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D9" w:rsidRPr="005765BF" w:rsidRDefault="005E19D9" w:rsidP="005E19D9">
      <w:pPr>
        <w:adjustRightInd w:val="0"/>
        <w:snapToGrid w:val="0"/>
        <w:spacing w:line="35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5E19D9">
        <w:rPr>
          <w:rFonts w:asciiTheme="minorEastAsia" w:eastAsiaTheme="minorEastAsia" w:hAnsiTheme="minorEastAsia"/>
          <w:kern w:val="0"/>
          <w:sz w:val="24"/>
        </w:rPr>
        <w:t>证券</w:t>
      </w:r>
      <w:r w:rsidRPr="005E19D9">
        <w:rPr>
          <w:rFonts w:asciiTheme="minorEastAsia" w:eastAsiaTheme="minorEastAsia" w:hAnsiTheme="minorEastAsia"/>
          <w:bCs/>
          <w:sz w:val="24"/>
        </w:rPr>
        <w:t xml:space="preserve">代码：000936         证券简称：华西股份     </w:t>
      </w:r>
      <w:r w:rsidRPr="005765BF">
        <w:rPr>
          <w:rFonts w:asciiTheme="minorEastAsia" w:eastAsiaTheme="minorEastAsia" w:hAnsiTheme="minorEastAsia"/>
          <w:bCs/>
          <w:sz w:val="24"/>
        </w:rPr>
        <w:t xml:space="preserve"> 公告编号：202</w:t>
      </w:r>
      <w:r w:rsidR="001C5E3B" w:rsidRPr="005765BF">
        <w:rPr>
          <w:rFonts w:asciiTheme="minorEastAsia" w:eastAsiaTheme="minorEastAsia" w:hAnsiTheme="minorEastAsia" w:hint="eastAsia"/>
          <w:bCs/>
          <w:sz w:val="24"/>
        </w:rPr>
        <w:t>1</w:t>
      </w:r>
      <w:r w:rsidRPr="005765BF">
        <w:rPr>
          <w:rFonts w:asciiTheme="minorEastAsia" w:eastAsiaTheme="minorEastAsia" w:hAnsiTheme="minorEastAsia"/>
          <w:bCs/>
          <w:sz w:val="24"/>
        </w:rPr>
        <w:t>-</w:t>
      </w:r>
      <w:r w:rsidR="000273F8" w:rsidRPr="005765BF">
        <w:rPr>
          <w:rFonts w:asciiTheme="minorEastAsia" w:eastAsiaTheme="minorEastAsia" w:hAnsiTheme="minorEastAsia" w:hint="eastAsia"/>
          <w:bCs/>
          <w:sz w:val="24"/>
        </w:rPr>
        <w:t>013</w:t>
      </w:r>
    </w:p>
    <w:p w:rsidR="005E19D9" w:rsidRPr="005E19D9" w:rsidRDefault="005E19D9" w:rsidP="005E19D9">
      <w:pPr>
        <w:spacing w:line="560" w:lineRule="exact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</w:p>
    <w:p w:rsidR="005E19D9" w:rsidRPr="00BC3C1E" w:rsidRDefault="005E19D9" w:rsidP="001770C6">
      <w:pPr>
        <w:spacing w:line="56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BC3C1E">
        <w:rPr>
          <w:rFonts w:ascii="黑体" w:eastAsia="黑体" w:hAnsi="黑体" w:hint="eastAsia"/>
          <w:b/>
          <w:sz w:val="30"/>
          <w:szCs w:val="30"/>
        </w:rPr>
        <w:t>江苏华西村</w:t>
      </w:r>
      <w:r w:rsidR="00201BD9" w:rsidRPr="00BC3C1E">
        <w:rPr>
          <w:rFonts w:ascii="黑体" w:eastAsia="黑体" w:hAnsi="黑体" w:hint="eastAsia"/>
          <w:b/>
          <w:sz w:val="30"/>
          <w:szCs w:val="30"/>
        </w:rPr>
        <w:t>股份有限公司</w:t>
      </w:r>
    </w:p>
    <w:p w:rsidR="00201BD9" w:rsidRPr="00BC3C1E" w:rsidRDefault="005E19D9" w:rsidP="001770C6">
      <w:pPr>
        <w:spacing w:line="56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BC3C1E">
        <w:rPr>
          <w:rFonts w:ascii="黑体" w:eastAsia="黑体" w:hAnsi="黑体" w:hint="eastAsia"/>
          <w:b/>
          <w:sz w:val="30"/>
          <w:szCs w:val="30"/>
        </w:rPr>
        <w:t>关于</w:t>
      </w:r>
      <w:r w:rsidR="00201BD9" w:rsidRPr="00BC3C1E">
        <w:rPr>
          <w:rFonts w:ascii="黑体" w:eastAsia="黑体" w:hAnsi="黑体" w:hint="eastAsia"/>
          <w:b/>
          <w:sz w:val="30"/>
          <w:szCs w:val="30"/>
        </w:rPr>
        <w:t>放弃</w:t>
      </w:r>
      <w:r w:rsidR="000273F8">
        <w:rPr>
          <w:rFonts w:ascii="黑体" w:eastAsia="黑体" w:hAnsi="黑体" w:hint="eastAsia"/>
          <w:b/>
          <w:sz w:val="30"/>
          <w:szCs w:val="30"/>
        </w:rPr>
        <w:t>优先</w:t>
      </w:r>
      <w:r w:rsidR="00DE53FE">
        <w:rPr>
          <w:rFonts w:ascii="黑体" w:eastAsia="黑体" w:hAnsi="黑体" w:hint="eastAsia"/>
          <w:b/>
          <w:sz w:val="30"/>
          <w:szCs w:val="30"/>
        </w:rPr>
        <w:t>认购</w:t>
      </w:r>
      <w:r w:rsidR="00201BD9" w:rsidRPr="00BC3C1E">
        <w:rPr>
          <w:rFonts w:ascii="黑体" w:eastAsia="黑体" w:hAnsi="黑体" w:hint="eastAsia"/>
          <w:b/>
          <w:sz w:val="30"/>
          <w:szCs w:val="30"/>
        </w:rPr>
        <w:t>权</w:t>
      </w:r>
      <w:r w:rsidR="007A6F05">
        <w:rPr>
          <w:rFonts w:ascii="黑体" w:eastAsia="黑体" w:hAnsi="黑体" w:hint="eastAsia"/>
          <w:b/>
          <w:sz w:val="30"/>
          <w:szCs w:val="30"/>
        </w:rPr>
        <w:t>暨关联交易</w:t>
      </w:r>
      <w:r w:rsidR="00E60B94" w:rsidRPr="00BC3C1E">
        <w:rPr>
          <w:rFonts w:ascii="黑体" w:eastAsia="黑体" w:hAnsi="黑体" w:hint="eastAsia"/>
          <w:b/>
          <w:sz w:val="30"/>
          <w:szCs w:val="30"/>
        </w:rPr>
        <w:t>的</w:t>
      </w:r>
      <w:r w:rsidR="00201BD9" w:rsidRPr="00BC3C1E">
        <w:rPr>
          <w:rFonts w:ascii="黑体" w:eastAsia="黑体" w:hAnsi="黑体" w:hint="eastAsia"/>
          <w:b/>
          <w:sz w:val="30"/>
          <w:szCs w:val="30"/>
        </w:rPr>
        <w:t>公告</w:t>
      </w:r>
    </w:p>
    <w:p w:rsidR="005E19D9" w:rsidRPr="005E19D9" w:rsidRDefault="005E19D9" w:rsidP="001770C6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5E19D9" w:rsidRPr="005E19D9" w:rsidRDefault="005E19D9" w:rsidP="005E19D9">
      <w:pPr>
        <w:tabs>
          <w:tab w:val="num" w:pos="900"/>
        </w:tabs>
        <w:spacing w:line="35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E19D9">
        <w:rPr>
          <w:rFonts w:asciiTheme="minorEastAsia" w:eastAsiaTheme="minorEastAsia" w:hAnsiTheme="minorEastAsia"/>
          <w:sz w:val="24"/>
        </w:rPr>
        <w:t>本公司及董事会全体成员保证信息披露内容的真实、准确和完整，没有虚假记载、误导性陈述或重大遗漏。</w:t>
      </w:r>
    </w:p>
    <w:p w:rsidR="005E19D9" w:rsidRPr="00E75F56" w:rsidRDefault="005E19D9" w:rsidP="005E19D9">
      <w:pPr>
        <w:spacing w:line="560" w:lineRule="exact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</w:p>
    <w:p w:rsidR="00201BD9" w:rsidRPr="005E19D9" w:rsidRDefault="00201BD9" w:rsidP="00D6110E">
      <w:pPr>
        <w:adjustRightInd w:val="0"/>
        <w:snapToGrid w:val="0"/>
        <w:spacing w:line="360" w:lineRule="auto"/>
        <w:ind w:firstLineChars="176" w:firstLine="424"/>
        <w:rPr>
          <w:rFonts w:asciiTheme="minorEastAsia" w:eastAsiaTheme="minorEastAsia" w:hAnsiTheme="minorEastAsia"/>
          <w:b/>
          <w:sz w:val="24"/>
        </w:rPr>
      </w:pPr>
      <w:r w:rsidRPr="005E19D9">
        <w:rPr>
          <w:rFonts w:asciiTheme="minorEastAsia" w:eastAsiaTheme="minorEastAsia" w:hAnsiTheme="minorEastAsia" w:hint="eastAsia"/>
          <w:b/>
          <w:sz w:val="24"/>
        </w:rPr>
        <w:t>一、</w:t>
      </w:r>
      <w:r w:rsidR="00E75F56">
        <w:rPr>
          <w:rFonts w:asciiTheme="minorEastAsia" w:eastAsiaTheme="minorEastAsia" w:hAnsiTheme="minorEastAsia" w:hint="eastAsia"/>
          <w:b/>
          <w:sz w:val="24"/>
        </w:rPr>
        <w:t>放弃权利事项</w:t>
      </w:r>
      <w:r w:rsidRPr="005E19D9">
        <w:rPr>
          <w:rFonts w:asciiTheme="minorEastAsia" w:eastAsiaTheme="minorEastAsia" w:hAnsiTheme="minorEastAsia" w:hint="eastAsia"/>
          <w:b/>
          <w:sz w:val="24"/>
        </w:rPr>
        <w:t>概述</w:t>
      </w:r>
    </w:p>
    <w:p w:rsidR="0014490C" w:rsidRDefault="00E60B94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14490C">
        <w:rPr>
          <w:rFonts w:asciiTheme="minorEastAsia" w:eastAsiaTheme="minorEastAsia" w:hAnsiTheme="minorEastAsia" w:hint="eastAsia"/>
          <w:sz w:val="24"/>
        </w:rPr>
        <w:t>概述</w:t>
      </w:r>
    </w:p>
    <w:p w:rsidR="000273F8" w:rsidRPr="000273F8" w:rsidRDefault="00E60B94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江苏华西村股份有限公司（以下简称“公司”）参股子公司</w:t>
      </w:r>
      <w:r w:rsidR="00686483" w:rsidRPr="00686483">
        <w:rPr>
          <w:rFonts w:asciiTheme="minorEastAsia" w:eastAsiaTheme="minorEastAsia" w:hAnsiTheme="minorEastAsia"/>
          <w:sz w:val="24"/>
        </w:rPr>
        <w:t>联储证券有限责任公司</w:t>
      </w:r>
      <w:r>
        <w:rPr>
          <w:rFonts w:asciiTheme="minorEastAsia" w:eastAsiaTheme="minorEastAsia" w:hAnsiTheme="minorEastAsia" w:hint="eastAsia"/>
          <w:sz w:val="24"/>
        </w:rPr>
        <w:t>（以下简称“</w:t>
      </w:r>
      <w:r w:rsidR="00686483">
        <w:rPr>
          <w:rFonts w:asciiTheme="minorEastAsia" w:eastAsiaTheme="minorEastAsia" w:hAnsiTheme="minorEastAsia" w:hint="eastAsia"/>
          <w:sz w:val="24"/>
        </w:rPr>
        <w:t>联储证券</w:t>
      </w:r>
      <w:r>
        <w:rPr>
          <w:rFonts w:asciiTheme="minorEastAsia" w:eastAsiaTheme="minorEastAsia" w:hAnsiTheme="minorEastAsia" w:hint="eastAsia"/>
          <w:sz w:val="24"/>
        </w:rPr>
        <w:t>”）</w:t>
      </w:r>
      <w:r w:rsidR="000273F8" w:rsidRPr="000273F8">
        <w:rPr>
          <w:rFonts w:asciiTheme="minorEastAsia" w:eastAsiaTheme="minorEastAsia" w:hAnsiTheme="minorEastAsia" w:hint="eastAsia"/>
          <w:sz w:val="24"/>
        </w:rPr>
        <w:t>拟以每元注册资本3.3元的价格增加注册资本</w:t>
      </w:r>
      <w:r w:rsidR="000273F8">
        <w:rPr>
          <w:rFonts w:asciiTheme="minorEastAsia" w:eastAsiaTheme="minorEastAsia" w:hAnsiTheme="minorEastAsia" w:hint="eastAsia"/>
          <w:sz w:val="24"/>
        </w:rPr>
        <w:t>，</w:t>
      </w:r>
      <w:r w:rsidR="00026CC7">
        <w:rPr>
          <w:rFonts w:asciiTheme="minorEastAsia" w:eastAsiaTheme="minorEastAsia" w:hAnsiTheme="minorEastAsia" w:hint="eastAsia"/>
          <w:sz w:val="24"/>
        </w:rPr>
        <w:t>青岛全球财富中心开发建设有限公司、山东寿光金鑫投资发展控股集团有限公司</w:t>
      </w:r>
      <w:r w:rsidR="000273F8">
        <w:rPr>
          <w:rFonts w:asciiTheme="minorEastAsia" w:eastAsiaTheme="minorEastAsia" w:hAnsiTheme="minorEastAsia" w:hint="eastAsia"/>
          <w:sz w:val="24"/>
        </w:rPr>
        <w:t>拟</w:t>
      </w:r>
      <w:r w:rsidR="00026CC7">
        <w:rPr>
          <w:rFonts w:asciiTheme="minorEastAsia" w:eastAsiaTheme="minorEastAsia" w:hAnsiTheme="minorEastAsia" w:hint="eastAsia"/>
          <w:sz w:val="24"/>
        </w:rPr>
        <w:t>分别</w:t>
      </w:r>
      <w:r w:rsidR="000273F8">
        <w:rPr>
          <w:rFonts w:asciiTheme="minorEastAsia" w:eastAsiaTheme="minorEastAsia" w:hAnsiTheme="minorEastAsia" w:hint="eastAsia"/>
          <w:sz w:val="24"/>
        </w:rPr>
        <w:t>认购注册资本5</w:t>
      </w:r>
      <w:r w:rsidR="00026CC7">
        <w:rPr>
          <w:rFonts w:asciiTheme="minorEastAsia" w:eastAsiaTheme="minorEastAsia" w:hAnsiTheme="minorEastAsia" w:hint="eastAsia"/>
          <w:sz w:val="24"/>
        </w:rPr>
        <w:t>0</w:t>
      </w:r>
      <w:r w:rsidR="00026CC7">
        <w:rPr>
          <w:rFonts w:asciiTheme="minorEastAsia" w:eastAsiaTheme="minorEastAsia" w:hAnsiTheme="minorEastAsia"/>
          <w:sz w:val="24"/>
        </w:rPr>
        <w:t>,</w:t>
      </w:r>
      <w:r w:rsidR="00026CC7">
        <w:rPr>
          <w:rFonts w:asciiTheme="minorEastAsia" w:eastAsiaTheme="minorEastAsia" w:hAnsiTheme="minorEastAsia" w:hint="eastAsia"/>
          <w:sz w:val="24"/>
        </w:rPr>
        <w:t>000</w:t>
      </w:r>
      <w:r w:rsidR="000273F8">
        <w:rPr>
          <w:rFonts w:asciiTheme="minorEastAsia" w:eastAsiaTheme="minorEastAsia" w:hAnsiTheme="minorEastAsia" w:hint="eastAsia"/>
          <w:sz w:val="24"/>
        </w:rPr>
        <w:t>万元</w:t>
      </w:r>
      <w:r w:rsidR="00026CC7">
        <w:rPr>
          <w:rFonts w:asciiTheme="minorEastAsia" w:eastAsiaTheme="minorEastAsia" w:hAnsiTheme="minorEastAsia" w:hint="eastAsia"/>
          <w:sz w:val="24"/>
        </w:rPr>
        <w:t>和6,061万元，</w:t>
      </w:r>
      <w:r w:rsidR="003B5EF7">
        <w:rPr>
          <w:rFonts w:asciiTheme="minorEastAsia" w:eastAsiaTheme="minorEastAsia" w:hAnsiTheme="minorEastAsia" w:hint="eastAsia"/>
          <w:sz w:val="24"/>
        </w:rPr>
        <w:t>共</w:t>
      </w:r>
      <w:r w:rsidR="00026CC7">
        <w:rPr>
          <w:rFonts w:asciiTheme="minorEastAsia" w:eastAsiaTheme="minorEastAsia" w:hAnsiTheme="minorEastAsia" w:hint="eastAsia"/>
          <w:sz w:val="24"/>
        </w:rPr>
        <w:t>占增资后注册资本的17.89%。</w:t>
      </w:r>
      <w:r w:rsidR="007357D4">
        <w:rPr>
          <w:rFonts w:asciiTheme="minorEastAsia" w:eastAsiaTheme="minorEastAsia" w:hAnsiTheme="minorEastAsia" w:hint="eastAsia"/>
          <w:sz w:val="24"/>
        </w:rPr>
        <w:t>增资完成后，联储证券注册资本将达到313,371万元。</w:t>
      </w:r>
      <w:r w:rsidR="0012121A">
        <w:rPr>
          <w:rFonts w:asciiTheme="minorEastAsia" w:eastAsiaTheme="minorEastAsia" w:hAnsiTheme="minorEastAsia" w:hint="eastAsia"/>
          <w:sz w:val="24"/>
        </w:rPr>
        <w:t>公司拟放弃本次优先认购权。</w:t>
      </w:r>
    </w:p>
    <w:p w:rsidR="00201BD9" w:rsidRDefault="004E35B5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本次联储证券增资扩股前，</w:t>
      </w:r>
      <w:r w:rsidR="00E60B94">
        <w:rPr>
          <w:rFonts w:asciiTheme="minorEastAsia" w:eastAsiaTheme="minorEastAsia" w:hAnsiTheme="minorEastAsia" w:hint="eastAsia"/>
          <w:sz w:val="24"/>
        </w:rPr>
        <w:t>公司持有</w:t>
      </w:r>
      <w:r w:rsidR="00686483">
        <w:rPr>
          <w:rFonts w:asciiTheme="minorEastAsia" w:eastAsiaTheme="minorEastAsia" w:hAnsiTheme="minorEastAsia" w:hint="eastAsia"/>
          <w:sz w:val="24"/>
        </w:rPr>
        <w:t>联储证券</w:t>
      </w:r>
      <w:r w:rsidR="003C5F4D">
        <w:rPr>
          <w:rFonts w:asciiTheme="minorEastAsia" w:eastAsiaTheme="minorEastAsia" w:hAnsiTheme="minorEastAsia" w:hint="eastAsia"/>
          <w:sz w:val="24"/>
        </w:rPr>
        <w:t>的比例为</w:t>
      </w:r>
      <w:r w:rsidR="00686483">
        <w:rPr>
          <w:rFonts w:asciiTheme="minorEastAsia" w:eastAsiaTheme="minorEastAsia" w:hAnsiTheme="minorEastAsia" w:hint="eastAsia"/>
          <w:sz w:val="24"/>
        </w:rPr>
        <w:t>14.77</w:t>
      </w:r>
      <w:r w:rsidR="00F12FC7">
        <w:rPr>
          <w:rFonts w:asciiTheme="minorEastAsia" w:eastAsiaTheme="minorEastAsia" w:hAnsiTheme="minorEastAsia" w:hint="eastAsia"/>
          <w:sz w:val="24"/>
        </w:rPr>
        <w:t>%。</w:t>
      </w:r>
      <w:r>
        <w:rPr>
          <w:rFonts w:asciiTheme="minorEastAsia" w:eastAsiaTheme="minorEastAsia" w:hAnsiTheme="minorEastAsia" w:hint="eastAsia"/>
          <w:sz w:val="24"/>
        </w:rPr>
        <w:t>本次</w:t>
      </w:r>
      <w:r w:rsidR="000273F8">
        <w:rPr>
          <w:rFonts w:asciiTheme="minorEastAsia" w:eastAsiaTheme="minorEastAsia" w:hAnsiTheme="minorEastAsia" w:hint="eastAsia"/>
          <w:sz w:val="24"/>
        </w:rPr>
        <w:t>增资</w:t>
      </w:r>
      <w:r>
        <w:rPr>
          <w:rFonts w:asciiTheme="minorEastAsia" w:eastAsiaTheme="minorEastAsia" w:hAnsiTheme="minorEastAsia" w:hint="eastAsia"/>
          <w:sz w:val="24"/>
        </w:rPr>
        <w:t>扩股</w:t>
      </w:r>
      <w:r w:rsidR="000273F8">
        <w:rPr>
          <w:rFonts w:asciiTheme="minorEastAsia" w:eastAsiaTheme="minorEastAsia" w:hAnsiTheme="minorEastAsia" w:hint="eastAsia"/>
          <w:sz w:val="24"/>
        </w:rPr>
        <w:t>完成后，公司持有联储证券的比例将下降至12.13%。</w:t>
      </w:r>
    </w:p>
    <w:p w:rsidR="004E35B5" w:rsidRDefault="004E35B5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</w:p>
    <w:p w:rsidR="007A6F05" w:rsidRDefault="007A6F05" w:rsidP="00D6110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 w:rsidRPr="00D808B8">
        <w:rPr>
          <w:rFonts w:ascii="宋体" w:hAnsi="宋体" w:cs="宋体" w:hint="eastAsia"/>
          <w:color w:val="000000"/>
          <w:kern w:val="0"/>
          <w:sz w:val="24"/>
        </w:rPr>
        <w:t>、关</w:t>
      </w:r>
      <w:r w:rsidRPr="00A241D3">
        <w:rPr>
          <w:rFonts w:ascii="宋体" w:hAnsi="宋体" w:hint="eastAsia"/>
          <w:sz w:val="24"/>
        </w:rPr>
        <w:t>联关系</w:t>
      </w:r>
    </w:p>
    <w:p w:rsidR="007A6F05" w:rsidRPr="00A241D3" w:rsidRDefault="007357D4" w:rsidP="00D6110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公司原董事汤维清先生离任时间距</w:t>
      </w:r>
      <w:r w:rsidR="00884818">
        <w:rPr>
          <w:rFonts w:ascii="宋体" w:hAnsi="宋体" w:hint="eastAsia"/>
          <w:sz w:val="24"/>
        </w:rPr>
        <w:t>今</w:t>
      </w:r>
      <w:r>
        <w:rPr>
          <w:rFonts w:ascii="宋体" w:hAnsi="宋体" w:hint="eastAsia"/>
          <w:sz w:val="24"/>
        </w:rPr>
        <w:t>未满12</w:t>
      </w:r>
      <w:r w:rsidR="005765BF">
        <w:rPr>
          <w:rFonts w:ascii="宋体" w:hAnsi="宋体" w:hint="eastAsia"/>
          <w:sz w:val="24"/>
        </w:rPr>
        <w:t>个月，汤维清先生目前任职于联储证券董事</w:t>
      </w:r>
      <w:r>
        <w:rPr>
          <w:rFonts w:ascii="宋体" w:hAnsi="宋体" w:hint="eastAsia"/>
          <w:sz w:val="24"/>
        </w:rPr>
        <w:t>，根据</w:t>
      </w:r>
      <w:r w:rsidR="007A6F05" w:rsidRPr="00A241D3">
        <w:rPr>
          <w:rFonts w:ascii="宋体" w:hAnsi="宋体" w:hint="eastAsia"/>
          <w:sz w:val="24"/>
        </w:rPr>
        <w:t>《深圳证券交易所股票上市规则》规定的关联关系情形，</w:t>
      </w:r>
      <w:r w:rsidR="004E35B5">
        <w:rPr>
          <w:rFonts w:ascii="宋体" w:hAnsi="宋体" w:hint="eastAsia"/>
          <w:sz w:val="24"/>
        </w:rPr>
        <w:t>联储证券仍为公司关联法人。</w:t>
      </w:r>
      <w:r w:rsidR="007A6F05" w:rsidRPr="00A241D3">
        <w:rPr>
          <w:rFonts w:ascii="宋体" w:hAnsi="宋体" w:hint="eastAsia"/>
          <w:sz w:val="24"/>
        </w:rPr>
        <w:t>本次</w:t>
      </w:r>
      <w:r w:rsidR="004E35B5">
        <w:rPr>
          <w:rFonts w:ascii="宋体" w:hAnsi="宋体" w:hint="eastAsia"/>
          <w:sz w:val="24"/>
        </w:rPr>
        <w:t>放弃联储证券优先认购权</w:t>
      </w:r>
      <w:r w:rsidR="007A6F05" w:rsidRPr="00A241D3">
        <w:rPr>
          <w:rFonts w:ascii="宋体" w:hAnsi="宋体" w:hint="eastAsia"/>
          <w:sz w:val="24"/>
        </w:rPr>
        <w:t>构成关联交易。</w:t>
      </w:r>
    </w:p>
    <w:p w:rsidR="007A6F05" w:rsidRPr="007A6F05" w:rsidRDefault="007A6F05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</w:p>
    <w:p w:rsidR="00E60B94" w:rsidRPr="00F12FC7" w:rsidRDefault="004E35B5" w:rsidP="00D6110E">
      <w:pPr>
        <w:adjustRightInd w:val="0"/>
        <w:snapToGrid w:val="0"/>
        <w:spacing w:line="360" w:lineRule="auto"/>
        <w:ind w:firstLineChars="225" w:firstLine="5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E60B94" w:rsidRPr="00F12FC7">
        <w:rPr>
          <w:rFonts w:asciiTheme="minorEastAsia" w:eastAsiaTheme="minorEastAsia" w:hAnsiTheme="minorEastAsia" w:hint="eastAsia"/>
          <w:sz w:val="24"/>
        </w:rPr>
        <w:t>、</w:t>
      </w:r>
      <w:r w:rsidR="00E60B94" w:rsidRPr="00F12FC7">
        <w:rPr>
          <w:rFonts w:asciiTheme="minorEastAsia" w:eastAsiaTheme="minorEastAsia" w:hAnsiTheme="minorEastAsia"/>
          <w:sz w:val="24"/>
        </w:rPr>
        <w:t>审批程序</w:t>
      </w:r>
    </w:p>
    <w:p w:rsidR="004E35B5" w:rsidRDefault="00E60B94" w:rsidP="00D6110E">
      <w:pPr>
        <w:pStyle w:val="Default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0273F8">
        <w:rPr>
          <w:rFonts w:asciiTheme="minorEastAsia" w:eastAsiaTheme="minorEastAsia" w:hAnsiTheme="minorEastAsia"/>
        </w:rPr>
        <w:t>公司第八届董</w:t>
      </w:r>
      <w:r w:rsidRPr="008A568F">
        <w:rPr>
          <w:rFonts w:asciiTheme="minorEastAsia" w:eastAsiaTheme="minorEastAsia" w:hAnsiTheme="minorEastAsia"/>
          <w:color w:val="auto"/>
        </w:rPr>
        <w:t>事会第</w:t>
      </w:r>
      <w:r w:rsidR="000E62DE" w:rsidRPr="008A568F">
        <w:rPr>
          <w:rFonts w:asciiTheme="minorEastAsia" w:eastAsiaTheme="minorEastAsia" w:hAnsiTheme="minorEastAsia"/>
          <w:color w:val="auto"/>
        </w:rPr>
        <w:t>五</w:t>
      </w:r>
      <w:r w:rsidRPr="008A568F">
        <w:rPr>
          <w:rFonts w:asciiTheme="minorEastAsia" w:eastAsiaTheme="minorEastAsia" w:hAnsiTheme="minorEastAsia"/>
          <w:color w:val="auto"/>
        </w:rPr>
        <w:t>次会议</w:t>
      </w:r>
      <w:r w:rsidRPr="000273F8">
        <w:rPr>
          <w:rFonts w:asciiTheme="minorEastAsia" w:eastAsiaTheme="minorEastAsia" w:hAnsiTheme="minorEastAsia"/>
        </w:rPr>
        <w:t>以</w:t>
      </w:r>
      <w:r w:rsidR="000273F8" w:rsidRPr="000273F8">
        <w:rPr>
          <w:rFonts w:asciiTheme="minorEastAsia" w:eastAsiaTheme="minorEastAsia" w:hAnsiTheme="minorEastAsia" w:hint="eastAsia"/>
        </w:rPr>
        <w:t>8</w:t>
      </w:r>
      <w:r w:rsidRPr="000273F8">
        <w:rPr>
          <w:rFonts w:asciiTheme="minorEastAsia" w:eastAsiaTheme="minorEastAsia" w:hAnsiTheme="minorEastAsia"/>
        </w:rPr>
        <w:t>票同意，0票反对，0票弃权审议通过了《关于放弃</w:t>
      </w:r>
      <w:r w:rsidR="007357D4">
        <w:rPr>
          <w:rFonts w:asciiTheme="minorEastAsia" w:eastAsiaTheme="minorEastAsia" w:hAnsiTheme="minorEastAsia"/>
        </w:rPr>
        <w:t>优先认购权暨关联交易</w:t>
      </w:r>
      <w:r w:rsidR="000273F8" w:rsidRPr="000273F8">
        <w:rPr>
          <w:rFonts w:asciiTheme="minorEastAsia" w:eastAsiaTheme="minorEastAsia" w:hAnsiTheme="minorEastAsia"/>
        </w:rPr>
        <w:t>的</w:t>
      </w:r>
      <w:r w:rsidRPr="000273F8">
        <w:rPr>
          <w:rFonts w:asciiTheme="minorEastAsia" w:eastAsiaTheme="minorEastAsia" w:hAnsiTheme="minorEastAsia"/>
        </w:rPr>
        <w:t>议案》。</w:t>
      </w:r>
      <w:r w:rsidR="004E35B5" w:rsidRPr="005B3F04">
        <w:rPr>
          <w:rFonts w:ascii="宋体" w:hAnsi="宋体" w:hint="eastAsia"/>
        </w:rPr>
        <w:t>独立董事对本次关联交易事项事前认可并发表独立意</w:t>
      </w:r>
      <w:r w:rsidR="004E35B5" w:rsidRPr="001533C2">
        <w:rPr>
          <w:rFonts w:ascii="宋体" w:hAnsi="宋体" w:hint="eastAsia"/>
        </w:rPr>
        <w:t>见。</w:t>
      </w:r>
    </w:p>
    <w:p w:rsidR="00E60B94" w:rsidRDefault="00E60B94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  <w:r w:rsidRPr="000273F8">
        <w:rPr>
          <w:rFonts w:asciiTheme="minorEastAsia" w:eastAsiaTheme="minorEastAsia" w:hAnsiTheme="minorEastAsia"/>
          <w:sz w:val="24"/>
        </w:rPr>
        <w:t>根据深圳证券交易所《股票上市规则》、《公司章程》等规定，本次</w:t>
      </w:r>
      <w:r w:rsidR="004E35B5">
        <w:rPr>
          <w:rFonts w:asciiTheme="minorEastAsia" w:eastAsiaTheme="minorEastAsia" w:hAnsiTheme="minorEastAsia"/>
          <w:sz w:val="24"/>
        </w:rPr>
        <w:t>关联</w:t>
      </w:r>
      <w:r w:rsidRPr="000273F8">
        <w:rPr>
          <w:rFonts w:asciiTheme="minorEastAsia" w:eastAsiaTheme="minorEastAsia" w:hAnsiTheme="minorEastAsia"/>
          <w:sz w:val="24"/>
        </w:rPr>
        <w:t>交易</w:t>
      </w:r>
      <w:r w:rsidRPr="000273F8">
        <w:rPr>
          <w:rFonts w:asciiTheme="minorEastAsia" w:eastAsiaTheme="minorEastAsia" w:hAnsiTheme="minorEastAsia"/>
          <w:sz w:val="24"/>
        </w:rPr>
        <w:lastRenderedPageBreak/>
        <w:t>金额在董事会决策权限内，无需提交公司股东大会审议批准。</w:t>
      </w:r>
    </w:p>
    <w:p w:rsidR="00884818" w:rsidRPr="000273F8" w:rsidRDefault="00884818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</w:p>
    <w:p w:rsidR="00E60B94" w:rsidRPr="00F12FC7" w:rsidRDefault="00884818" w:rsidP="00D6110E">
      <w:pPr>
        <w:adjustRightInd w:val="0"/>
        <w:snapToGrid w:val="0"/>
        <w:spacing w:line="360" w:lineRule="auto"/>
        <w:ind w:firstLineChars="176" w:firstLine="4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E60B94" w:rsidRPr="00F12FC7">
        <w:rPr>
          <w:rFonts w:asciiTheme="minorEastAsia" w:eastAsiaTheme="minorEastAsia" w:hAnsiTheme="minorEastAsia" w:hint="eastAsia"/>
          <w:sz w:val="24"/>
        </w:rPr>
        <w:t>、</w:t>
      </w:r>
      <w:r w:rsidR="00E60B94" w:rsidRPr="00F12FC7">
        <w:rPr>
          <w:rFonts w:asciiTheme="minorEastAsia" w:eastAsiaTheme="minorEastAsia" w:hAnsiTheme="minorEastAsia"/>
          <w:sz w:val="24"/>
        </w:rPr>
        <w:t>本次</w:t>
      </w:r>
      <w:r>
        <w:rPr>
          <w:rFonts w:asciiTheme="minorEastAsia" w:eastAsiaTheme="minorEastAsia" w:hAnsiTheme="minorEastAsia"/>
          <w:sz w:val="24"/>
        </w:rPr>
        <w:t>关联</w:t>
      </w:r>
      <w:r w:rsidR="00E60B94" w:rsidRPr="00F12FC7">
        <w:rPr>
          <w:rFonts w:asciiTheme="minorEastAsia" w:eastAsiaTheme="minorEastAsia" w:hAnsiTheme="minorEastAsia"/>
          <w:sz w:val="24"/>
        </w:rPr>
        <w:t>交易不构成《上市公司重大资产重组管理办法》规定的重大资产重组。</w:t>
      </w:r>
    </w:p>
    <w:p w:rsidR="008E10A8" w:rsidRDefault="008E10A8" w:rsidP="00D6110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026CC7" w:rsidRDefault="00026CC7" w:rsidP="00D6110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二、</w:t>
      </w:r>
      <w:r w:rsidR="00E75F56">
        <w:rPr>
          <w:rFonts w:asciiTheme="minorEastAsia" w:eastAsiaTheme="minorEastAsia" w:hAnsiTheme="minorEastAsia" w:hint="eastAsia"/>
          <w:b/>
          <w:sz w:val="24"/>
        </w:rPr>
        <w:t>各方当事人</w:t>
      </w:r>
      <w:r>
        <w:rPr>
          <w:rFonts w:asciiTheme="minorEastAsia" w:eastAsiaTheme="minorEastAsia" w:hAnsiTheme="minorEastAsia" w:hint="eastAsia"/>
          <w:b/>
          <w:sz w:val="24"/>
        </w:rPr>
        <w:t>基本情况</w:t>
      </w:r>
    </w:p>
    <w:p w:rsidR="006850A8" w:rsidRPr="00026CC7" w:rsidRDefault="006850A8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26CC7">
        <w:rPr>
          <w:rFonts w:asciiTheme="minorEastAsia" w:eastAsiaTheme="minorEastAsia" w:hAnsiTheme="minorEastAsia" w:hint="eastAsia"/>
          <w:sz w:val="24"/>
        </w:rPr>
        <w:t>1、青岛全球财富中心开发建设有限公司</w:t>
      </w:r>
    </w:p>
    <w:p w:rsidR="006850A8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企业性质：有限责任公司（国有独资）</w:t>
      </w:r>
    </w:p>
    <w:p w:rsidR="006850A8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332A1C">
        <w:rPr>
          <w:rFonts w:ascii="宋体" w:hAnsi="宋体" w:hint="eastAsia"/>
          <w:color w:val="000000"/>
          <w:sz w:val="24"/>
        </w:rPr>
        <w:t>统一社会信用代码：</w:t>
      </w:r>
      <w:r>
        <w:rPr>
          <w:rFonts w:ascii="宋体" w:hAnsi="宋体" w:hint="eastAsia"/>
          <w:color w:val="000000"/>
          <w:sz w:val="24"/>
        </w:rPr>
        <w:t>91370212553993911T</w:t>
      </w:r>
    </w:p>
    <w:p w:rsidR="006850A8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法定代表人：安杰</w:t>
      </w:r>
    </w:p>
    <w:p w:rsidR="006850A8" w:rsidRPr="00332A1C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注册资本：450</w:t>
      </w:r>
      <w:r w:rsidR="005765BF">
        <w:rPr>
          <w:rFonts w:ascii="宋体" w:hAnsi="宋体" w:hint="eastAsia"/>
          <w:color w:val="000000"/>
          <w:sz w:val="24"/>
        </w:rPr>
        <w:t>,</w:t>
      </w:r>
      <w:r>
        <w:rPr>
          <w:rFonts w:ascii="宋体" w:hAnsi="宋体" w:hint="eastAsia"/>
          <w:color w:val="000000"/>
          <w:sz w:val="24"/>
        </w:rPr>
        <w:t>654万元人民币</w:t>
      </w:r>
    </w:p>
    <w:p w:rsidR="006850A8" w:rsidRPr="00332A1C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2830BB">
        <w:rPr>
          <w:rFonts w:ascii="宋体" w:hAnsi="宋体"/>
          <w:color w:val="000000"/>
          <w:sz w:val="24"/>
        </w:rPr>
        <w:t>成立日期：</w:t>
      </w:r>
      <w:r w:rsidRPr="00332A1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2010年06月04日</w:t>
      </w:r>
    </w:p>
    <w:p w:rsidR="006850A8" w:rsidRPr="00332A1C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2830BB">
        <w:rPr>
          <w:rFonts w:ascii="宋体" w:hAnsi="宋体"/>
          <w:color w:val="000000"/>
          <w:sz w:val="24"/>
        </w:rPr>
        <w:t>住所：</w:t>
      </w:r>
      <w:r>
        <w:rPr>
          <w:rFonts w:ascii="宋体" w:hAnsi="宋体" w:hint="eastAsia"/>
          <w:color w:val="000000"/>
          <w:sz w:val="24"/>
        </w:rPr>
        <w:t>山东省青岛市崂山区金家岭街道苏南岭路15号青岛金融中心大厦1801室</w:t>
      </w:r>
    </w:p>
    <w:p w:rsidR="006850A8" w:rsidRPr="00332A1C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2830BB">
        <w:rPr>
          <w:rFonts w:ascii="宋体" w:hAnsi="宋体"/>
          <w:color w:val="000000"/>
          <w:sz w:val="24"/>
        </w:rPr>
        <w:t>经营范围：</w:t>
      </w:r>
      <w:r>
        <w:rPr>
          <w:rFonts w:ascii="宋体" w:hAnsi="宋体" w:hint="eastAsia"/>
          <w:color w:val="000000"/>
          <w:sz w:val="24"/>
        </w:rPr>
        <w:t>区内土地开发建设和投资，房地产开发和经营，国有资产运行和资本运作，房屋租赁，发布国内广告业务。（依法须经批准的项目，经相关部门批准后方可开展经营活动）。</w:t>
      </w:r>
    </w:p>
    <w:p w:rsidR="006850A8" w:rsidRPr="00DC0963" w:rsidRDefault="006850A8" w:rsidP="00D6110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C0963">
        <w:rPr>
          <w:rFonts w:ascii="宋体" w:hAnsi="宋体" w:hint="eastAsia"/>
          <w:sz w:val="24"/>
        </w:rPr>
        <w:t>经核查，</w:t>
      </w:r>
      <w:r w:rsidRPr="00026CC7">
        <w:rPr>
          <w:rFonts w:asciiTheme="minorEastAsia" w:eastAsiaTheme="minorEastAsia" w:hAnsiTheme="minorEastAsia" w:hint="eastAsia"/>
          <w:sz w:val="24"/>
        </w:rPr>
        <w:t>青岛全球财富中心开发建设有限公司</w:t>
      </w:r>
      <w:r w:rsidRPr="00DC0963">
        <w:rPr>
          <w:rFonts w:ascii="宋体" w:hAnsi="宋体" w:hint="eastAsia"/>
          <w:sz w:val="24"/>
        </w:rPr>
        <w:t>不属于失信被执行人。</w:t>
      </w:r>
    </w:p>
    <w:p w:rsidR="006850A8" w:rsidRPr="00026CC7" w:rsidRDefault="006850A8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6850A8" w:rsidRDefault="006850A8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26CC7">
        <w:rPr>
          <w:rFonts w:asciiTheme="minorEastAsia" w:eastAsiaTheme="minorEastAsia" w:hAnsiTheme="minorEastAsia" w:hint="eastAsia"/>
          <w:sz w:val="24"/>
        </w:rPr>
        <w:t>2、山东寿光金鑫投资发展控股集团有限公司</w:t>
      </w:r>
    </w:p>
    <w:p w:rsidR="006850A8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企业性质：有限责任公司（非自然人投资或控股的法人独资）</w:t>
      </w:r>
    </w:p>
    <w:p w:rsidR="006850A8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332A1C">
        <w:rPr>
          <w:rFonts w:ascii="宋体" w:hAnsi="宋体" w:hint="eastAsia"/>
          <w:color w:val="000000"/>
          <w:sz w:val="24"/>
        </w:rPr>
        <w:t>统一社会信用代码：</w:t>
      </w:r>
      <w:r>
        <w:rPr>
          <w:rFonts w:ascii="宋体" w:hAnsi="宋体" w:hint="eastAsia"/>
          <w:color w:val="000000"/>
          <w:sz w:val="24"/>
        </w:rPr>
        <w:t>91370783785039174G</w:t>
      </w:r>
    </w:p>
    <w:p w:rsidR="006850A8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法定代表人：杨云龙</w:t>
      </w:r>
    </w:p>
    <w:p w:rsidR="006850A8" w:rsidRPr="00332A1C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注册资本：36</w:t>
      </w:r>
      <w:r w:rsidR="005765BF">
        <w:rPr>
          <w:rFonts w:ascii="宋体" w:hAnsi="宋体" w:hint="eastAsia"/>
          <w:color w:val="000000"/>
          <w:sz w:val="24"/>
        </w:rPr>
        <w:t>,</w:t>
      </w:r>
      <w:r>
        <w:rPr>
          <w:rFonts w:ascii="宋体" w:hAnsi="宋体" w:hint="eastAsia"/>
          <w:color w:val="000000"/>
          <w:sz w:val="24"/>
        </w:rPr>
        <w:t>000万元人民币</w:t>
      </w:r>
    </w:p>
    <w:p w:rsidR="006850A8" w:rsidRPr="00332A1C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2830BB">
        <w:rPr>
          <w:rFonts w:ascii="宋体" w:hAnsi="宋体"/>
          <w:color w:val="000000"/>
          <w:sz w:val="24"/>
        </w:rPr>
        <w:t>成立日期：</w:t>
      </w:r>
      <w:r>
        <w:rPr>
          <w:rFonts w:ascii="宋体" w:hAnsi="宋体" w:hint="eastAsia"/>
          <w:color w:val="000000"/>
          <w:sz w:val="24"/>
        </w:rPr>
        <w:t>2005年12月16日</w:t>
      </w:r>
    </w:p>
    <w:p w:rsidR="006850A8" w:rsidRPr="00332A1C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2830BB">
        <w:rPr>
          <w:rFonts w:ascii="宋体" w:hAnsi="宋体"/>
          <w:color w:val="000000"/>
          <w:sz w:val="24"/>
        </w:rPr>
        <w:t>住所：</w:t>
      </w:r>
      <w:r>
        <w:rPr>
          <w:rFonts w:ascii="宋体" w:hAnsi="宋体" w:hint="eastAsia"/>
          <w:color w:val="000000"/>
          <w:sz w:val="24"/>
        </w:rPr>
        <w:t>山东省寿光市商务小区5号楼A座</w:t>
      </w:r>
    </w:p>
    <w:p w:rsidR="006850A8" w:rsidRPr="00332A1C" w:rsidRDefault="006850A8" w:rsidP="00D6110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2830BB">
        <w:rPr>
          <w:rFonts w:ascii="宋体" w:hAnsi="宋体"/>
          <w:color w:val="000000"/>
          <w:sz w:val="24"/>
        </w:rPr>
        <w:t>经营范围：</w:t>
      </w:r>
      <w:r w:rsidRPr="00332A1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以企业自有资金对外投资（不得经营金融、证券、期货、理财、集资、融资等相关业务；未经金融监管部门批准，不得从事吸收存款、融资担保、代客理财等金融业务）；物业管理；房屋租赁；土地整理、开发；会展服务；企业管理；财务咨询及与上述业务相关的信息咨询服务（依法须经批准的项目，经</w:t>
      </w:r>
      <w:r>
        <w:rPr>
          <w:rFonts w:ascii="宋体" w:hAnsi="宋体" w:hint="eastAsia"/>
          <w:color w:val="000000"/>
          <w:sz w:val="24"/>
        </w:rPr>
        <w:lastRenderedPageBreak/>
        <w:t>相关部门批准后方可开展经营活动）。</w:t>
      </w:r>
    </w:p>
    <w:p w:rsidR="006850A8" w:rsidRPr="00DC0963" w:rsidRDefault="006850A8" w:rsidP="00D6110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C0963">
        <w:rPr>
          <w:rFonts w:ascii="宋体" w:hAnsi="宋体" w:hint="eastAsia"/>
          <w:sz w:val="24"/>
        </w:rPr>
        <w:t>经核查，</w:t>
      </w:r>
      <w:r w:rsidRPr="00026CC7">
        <w:rPr>
          <w:rFonts w:asciiTheme="minorEastAsia" w:eastAsiaTheme="minorEastAsia" w:hAnsiTheme="minorEastAsia" w:hint="eastAsia"/>
          <w:sz w:val="24"/>
        </w:rPr>
        <w:t>山东寿光金鑫投资发展控股集团有限公司</w:t>
      </w:r>
      <w:r w:rsidRPr="00DC0963">
        <w:rPr>
          <w:rFonts w:ascii="宋体" w:hAnsi="宋体" w:hint="eastAsia"/>
          <w:sz w:val="24"/>
        </w:rPr>
        <w:t>不属于失信被执行人。</w:t>
      </w:r>
    </w:p>
    <w:p w:rsidR="00026CC7" w:rsidRPr="006850A8" w:rsidRDefault="00026CC7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201BD9" w:rsidRPr="000E62DE" w:rsidRDefault="00026CC7" w:rsidP="00D6110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</w:t>
      </w:r>
      <w:r w:rsidR="00201BD9" w:rsidRPr="000E62DE">
        <w:rPr>
          <w:rFonts w:asciiTheme="minorEastAsia" w:eastAsiaTheme="minorEastAsia" w:hAnsiTheme="minorEastAsia" w:hint="eastAsia"/>
          <w:b/>
          <w:sz w:val="24"/>
        </w:rPr>
        <w:t>、</w:t>
      </w:r>
      <w:r w:rsidR="00E75F56">
        <w:rPr>
          <w:rFonts w:asciiTheme="minorEastAsia" w:eastAsiaTheme="minorEastAsia" w:hAnsiTheme="minorEastAsia" w:hint="eastAsia"/>
          <w:b/>
          <w:sz w:val="24"/>
        </w:rPr>
        <w:t>所涉标的</w:t>
      </w:r>
      <w:r w:rsidR="00201BD9" w:rsidRPr="000E62DE">
        <w:rPr>
          <w:rFonts w:asciiTheme="minorEastAsia" w:eastAsiaTheme="minorEastAsia" w:hAnsiTheme="minorEastAsia" w:hint="eastAsia"/>
          <w:b/>
          <w:sz w:val="24"/>
        </w:rPr>
        <w:t>基本情况</w:t>
      </w:r>
    </w:p>
    <w:p w:rsidR="000E62DE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1、基本情况</w:t>
      </w:r>
    </w:p>
    <w:p w:rsidR="000E62DE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公司名称：联储证券有限责任公司</w:t>
      </w:r>
    </w:p>
    <w:p w:rsidR="000E62DE" w:rsidRPr="0030347A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E62DE">
        <w:rPr>
          <w:rFonts w:asciiTheme="minorEastAsia" w:eastAsiaTheme="minorEastAsia" w:hAnsiTheme="minorEastAsia"/>
          <w:sz w:val="24"/>
        </w:rPr>
        <w:t>统一社会信用代码：91440300727132290A</w:t>
      </w:r>
    </w:p>
    <w:p w:rsidR="000E62DE" w:rsidRPr="000E62DE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注册地址：</w:t>
      </w:r>
      <w:r w:rsidRPr="000E62DE">
        <w:rPr>
          <w:rFonts w:asciiTheme="minorEastAsia" w:eastAsiaTheme="minorEastAsia" w:hAnsiTheme="minorEastAsia"/>
          <w:sz w:val="24"/>
        </w:rPr>
        <w:t>深圳市福田区福田街道岗厦社区深南大道南侧金地中心大厦9楼 </w:t>
      </w:r>
    </w:p>
    <w:p w:rsidR="000E62DE" w:rsidRPr="0030347A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企业类型：有限责任公司</w:t>
      </w:r>
    </w:p>
    <w:p w:rsidR="000E62DE" w:rsidRPr="0030347A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法定代表人：</w:t>
      </w:r>
      <w:r>
        <w:rPr>
          <w:rFonts w:asciiTheme="minorEastAsia" w:eastAsiaTheme="minorEastAsia" w:hAnsiTheme="minorEastAsia" w:hint="eastAsia"/>
          <w:sz w:val="24"/>
        </w:rPr>
        <w:t>吕春卫</w:t>
      </w:r>
    </w:p>
    <w:p w:rsidR="000E62DE" w:rsidRPr="0030347A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注册资本：</w:t>
      </w:r>
      <w:r w:rsidRPr="000E62DE">
        <w:rPr>
          <w:rFonts w:asciiTheme="minorEastAsia" w:eastAsiaTheme="minorEastAsia" w:hAnsiTheme="minorEastAsia"/>
          <w:sz w:val="24"/>
        </w:rPr>
        <w:t>257,310</w:t>
      </w:r>
      <w:r w:rsidRPr="0030347A">
        <w:rPr>
          <w:rFonts w:asciiTheme="minorEastAsia" w:eastAsiaTheme="minorEastAsia" w:hAnsiTheme="minorEastAsia"/>
          <w:sz w:val="24"/>
        </w:rPr>
        <w:t>万元</w:t>
      </w:r>
    </w:p>
    <w:p w:rsidR="000E62DE" w:rsidRPr="0030347A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/>
          <w:sz w:val="24"/>
        </w:rPr>
        <w:t>成立日期：</w:t>
      </w:r>
      <w:r w:rsidRPr="0030347A">
        <w:rPr>
          <w:rFonts w:asciiTheme="minorEastAsia" w:eastAsiaTheme="minorEastAsia" w:hAnsiTheme="minorEastAsia" w:hint="eastAsia"/>
          <w:sz w:val="24"/>
        </w:rPr>
        <w:t>2001年02月28日</w:t>
      </w:r>
    </w:p>
    <w:p w:rsidR="000E62DE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347A">
        <w:rPr>
          <w:rFonts w:asciiTheme="minorEastAsia" w:eastAsiaTheme="minorEastAsia" w:hAnsiTheme="minorEastAsia" w:hint="eastAsia"/>
          <w:sz w:val="24"/>
        </w:rPr>
        <w:t>经营范围：</w:t>
      </w:r>
      <w:r w:rsidRPr="000E62DE">
        <w:rPr>
          <w:rFonts w:asciiTheme="minorEastAsia" w:eastAsiaTheme="minorEastAsia" w:hAnsiTheme="minorEastAsia"/>
          <w:sz w:val="24"/>
        </w:rPr>
        <w:t>证券经纪、证券投资咨询、证券资产管理、融资融券、证券投资基金销售、证券自营、证券承销与保荐、与证券交易、证券投资活动有关的财务顾问、代销金融产品。</w:t>
      </w:r>
    </w:p>
    <w:p w:rsidR="00783194" w:rsidRDefault="00783194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0E62DE" w:rsidRPr="00456247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Pr="00456247">
        <w:rPr>
          <w:rFonts w:asciiTheme="minorEastAsia" w:eastAsiaTheme="minorEastAsia" w:hAnsiTheme="minorEastAsia" w:hint="eastAsia"/>
          <w:sz w:val="24"/>
        </w:rPr>
        <w:t>股权结构：</w:t>
      </w:r>
    </w:p>
    <w:p w:rsidR="00040870" w:rsidRPr="00040870" w:rsidRDefault="000E62DE" w:rsidP="00D6110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56247">
        <w:rPr>
          <w:rFonts w:asciiTheme="minorEastAsia" w:eastAsiaTheme="minorEastAsia" w:hAnsiTheme="minorEastAsia" w:hint="eastAsia"/>
          <w:sz w:val="24"/>
        </w:rPr>
        <w:t>本次</w:t>
      </w:r>
      <w:r w:rsidR="00040870" w:rsidRPr="00040870">
        <w:rPr>
          <w:rFonts w:asciiTheme="minorEastAsia" w:eastAsiaTheme="minorEastAsia" w:hAnsiTheme="minorEastAsia" w:hint="eastAsia"/>
          <w:sz w:val="24"/>
        </w:rPr>
        <w:t>增资前后</w:t>
      </w:r>
      <w:r w:rsidR="003C5F4D">
        <w:rPr>
          <w:rFonts w:asciiTheme="minorEastAsia" w:eastAsiaTheme="minorEastAsia" w:hAnsiTheme="minorEastAsia" w:hint="eastAsia"/>
          <w:sz w:val="24"/>
        </w:rPr>
        <w:t>前十名</w:t>
      </w:r>
      <w:r w:rsidR="00040870" w:rsidRPr="00040870">
        <w:rPr>
          <w:rFonts w:asciiTheme="minorEastAsia" w:eastAsiaTheme="minorEastAsia" w:hAnsiTheme="minorEastAsia" w:hint="eastAsia"/>
          <w:sz w:val="24"/>
        </w:rPr>
        <w:t>股东出资额及持股比例信息如下：</w:t>
      </w:r>
    </w:p>
    <w:tbl>
      <w:tblPr>
        <w:tblW w:w="8686" w:type="dxa"/>
        <w:tblInd w:w="-164" w:type="dxa"/>
        <w:tblLayout w:type="fixed"/>
        <w:tblLook w:val="04A0"/>
      </w:tblPr>
      <w:tblGrid>
        <w:gridCol w:w="855"/>
        <w:gridCol w:w="3001"/>
        <w:gridCol w:w="1119"/>
        <w:gridCol w:w="1296"/>
        <w:gridCol w:w="1119"/>
        <w:gridCol w:w="1296"/>
      </w:tblGrid>
      <w:tr w:rsidR="00040870" w:rsidRPr="00905D3D" w:rsidTr="00586D35">
        <w:trPr>
          <w:trHeight w:val="47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股东名称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增资前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增资后</w:t>
            </w:r>
          </w:p>
        </w:tc>
      </w:tr>
      <w:tr w:rsidR="00040870" w:rsidRPr="00905D3D" w:rsidTr="00586D35">
        <w:trPr>
          <w:trHeight w:val="610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出资额</w:t>
            </w: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出资额</w:t>
            </w: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  <w:t>比例</w:t>
            </w:r>
          </w:p>
        </w:tc>
      </w:tr>
      <w:tr w:rsidR="00040870" w:rsidRPr="00905D3D" w:rsidTr="00586D35">
        <w:trPr>
          <w:trHeight w:val="4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北京正润投资集团有限公司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56,657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22.0190%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56,657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18.0798%</w:t>
            </w:r>
          </w:p>
        </w:tc>
      </w:tr>
      <w:tr w:rsidR="00040870" w:rsidRPr="00905D3D" w:rsidTr="00586D35">
        <w:trPr>
          <w:trHeight w:val="4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青岛全球财富中心开发建设有限公司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50,000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905D3D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05D3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15.9555%</w:t>
            </w:r>
          </w:p>
        </w:tc>
      </w:tr>
      <w:tr w:rsidR="00040870" w:rsidRPr="00040870" w:rsidTr="00586D35">
        <w:trPr>
          <w:trHeight w:val="4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江苏华西村股份有限公司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14.7682%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12.1262%</w:t>
            </w:r>
          </w:p>
        </w:tc>
      </w:tr>
      <w:tr w:rsidR="00040870" w:rsidRPr="00040870" w:rsidTr="00586D35">
        <w:trPr>
          <w:trHeight w:val="4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北京中禾金盛实业发展有限责任公司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33,657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13.0803%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33,657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10.7403%</w:t>
            </w:r>
          </w:p>
        </w:tc>
      </w:tr>
      <w:tr w:rsidR="00040870" w:rsidRPr="00040870" w:rsidTr="00586D35">
        <w:trPr>
          <w:trHeight w:val="4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山东五证交投资控股有限公司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20,391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7.9247%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20,391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6.5070%</w:t>
            </w:r>
          </w:p>
        </w:tc>
      </w:tr>
      <w:tr w:rsidR="00040870" w:rsidRPr="00040870" w:rsidTr="00586D35">
        <w:trPr>
          <w:trHeight w:val="4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青岛融海金融控股有限公司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12,800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4.9745%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12,800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4.0846%</w:t>
            </w:r>
          </w:p>
        </w:tc>
      </w:tr>
      <w:tr w:rsidR="00040870" w:rsidRPr="00040870" w:rsidTr="00884818">
        <w:trPr>
          <w:trHeight w:val="4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宜宾市叙州区烨烽投资有限公司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4.6636%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3.8293%</w:t>
            </w:r>
          </w:p>
        </w:tc>
      </w:tr>
      <w:tr w:rsidR="00040870" w:rsidRPr="00040870" w:rsidTr="0053586D">
        <w:trPr>
          <w:trHeight w:val="4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江苏洋河酒厂股份有限公司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3.8864%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3.1911%</w:t>
            </w:r>
          </w:p>
        </w:tc>
      </w:tr>
      <w:tr w:rsidR="00040870" w:rsidRPr="00040870" w:rsidTr="0053586D">
        <w:trPr>
          <w:trHeight w:val="4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上海恒盟投资中心（有限合伙）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3.8864%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3.1911%</w:t>
            </w:r>
          </w:p>
        </w:tc>
      </w:tr>
      <w:tr w:rsidR="00040870" w:rsidRPr="00040870" w:rsidTr="0053586D">
        <w:trPr>
          <w:trHeight w:val="4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江苏中南建设集团股份有限公司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8,700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3.3811%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8,700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870" w:rsidRPr="00040870" w:rsidRDefault="00040870" w:rsidP="00266DC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08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2.7763%</w:t>
            </w:r>
          </w:p>
        </w:tc>
      </w:tr>
    </w:tbl>
    <w:p w:rsidR="00040870" w:rsidRDefault="00040870" w:rsidP="00266DC0">
      <w:pPr>
        <w:adjustRightInd w:val="0"/>
        <w:snapToGrid w:val="0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0E62DE" w:rsidRPr="00456247" w:rsidRDefault="000E62DE" w:rsidP="000E62DE">
      <w:pPr>
        <w:snapToGrid w:val="0"/>
        <w:spacing w:line="39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</w:t>
      </w:r>
      <w:r w:rsidRPr="00456247">
        <w:rPr>
          <w:rFonts w:asciiTheme="minorEastAsia" w:eastAsiaTheme="minorEastAsia" w:hAnsiTheme="minorEastAsia" w:hint="eastAsia"/>
          <w:sz w:val="24"/>
        </w:rPr>
        <w:t>主要财务指标：</w:t>
      </w:r>
    </w:p>
    <w:p w:rsidR="000E62DE" w:rsidRPr="009E65F5" w:rsidRDefault="000E62DE" w:rsidP="000E62DE">
      <w:pPr>
        <w:snapToGrid w:val="0"/>
        <w:spacing w:line="39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E65F5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</w:t>
      </w:r>
      <w:r w:rsidRPr="009E65F5">
        <w:rPr>
          <w:rFonts w:asciiTheme="minorEastAsia" w:eastAsiaTheme="minorEastAsia" w:hAnsiTheme="minorEastAsia" w:hint="eastAsia"/>
          <w:sz w:val="24"/>
        </w:rPr>
        <w:t>单位：万元</w:t>
      </w:r>
    </w:p>
    <w:tbl>
      <w:tblPr>
        <w:tblStyle w:val="a5"/>
        <w:tblW w:w="8505" w:type="dxa"/>
        <w:tblInd w:w="-34" w:type="dxa"/>
        <w:tblLook w:val="04A0"/>
      </w:tblPr>
      <w:tblGrid>
        <w:gridCol w:w="3403"/>
        <w:gridCol w:w="2551"/>
        <w:gridCol w:w="2551"/>
      </w:tblGrid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870" w:rsidRPr="00783194" w:rsidRDefault="00040870" w:rsidP="00421A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项   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Default="00040870" w:rsidP="000E62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2020年9月30日</w:t>
            </w:r>
          </w:p>
          <w:p w:rsidR="00040870" w:rsidRPr="00783194" w:rsidRDefault="00040870" w:rsidP="000E62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（未经审计）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Default="00040870" w:rsidP="003D3F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年12月31日</w:t>
            </w:r>
          </w:p>
          <w:p w:rsidR="00040870" w:rsidRPr="00783194" w:rsidRDefault="00040870" w:rsidP="003D3F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（已经审计）</w:t>
            </w:r>
          </w:p>
        </w:tc>
      </w:tr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421A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资产总额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132702" w:rsidP="00421A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1,722,249.25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040870" w:rsidP="003D3F74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1,725,009.58</w:t>
            </w:r>
          </w:p>
        </w:tc>
      </w:tr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421A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负债总额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132702" w:rsidP="00421A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1,165,320.72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040870" w:rsidP="003D3F74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1,155,677.10</w:t>
            </w:r>
          </w:p>
        </w:tc>
      </w:tr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421A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净资产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132702" w:rsidP="00421A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556,928.53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040870" w:rsidP="003D3F74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569,332.48</w:t>
            </w:r>
          </w:p>
        </w:tc>
      </w:tr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870" w:rsidRPr="00783194" w:rsidRDefault="00040870" w:rsidP="00421A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项    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132702" w:rsidP="00421A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2020年1-9月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040870" w:rsidP="003D3F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2019年度</w:t>
            </w:r>
          </w:p>
        </w:tc>
      </w:tr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421A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营业收入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3C5F4D" w:rsidP="00421A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66,316.07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040870" w:rsidP="003D3F74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91,541.92</w:t>
            </w:r>
          </w:p>
        </w:tc>
      </w:tr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421A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营业利润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3C5F4D" w:rsidP="0013270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18,802.23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040870" w:rsidP="003D3F74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14,562.92</w:t>
            </w:r>
          </w:p>
        </w:tc>
      </w:tr>
      <w:tr w:rsidR="00040870" w:rsidRPr="00783194" w:rsidTr="0004087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040870" w:rsidP="00421A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净利润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870" w:rsidRPr="00783194" w:rsidRDefault="003C5F4D" w:rsidP="00421A7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13,772.28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870" w:rsidRPr="00783194" w:rsidRDefault="00040870" w:rsidP="003D3F74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10,436.29</w:t>
            </w:r>
          </w:p>
        </w:tc>
      </w:tr>
    </w:tbl>
    <w:p w:rsidR="00342F81" w:rsidRPr="00C40FE7" w:rsidRDefault="00C40FE7" w:rsidP="00C40FE7">
      <w:pPr>
        <w:spacing w:line="560" w:lineRule="exact"/>
        <w:ind w:firstLineChars="200" w:firstLine="480"/>
        <w:rPr>
          <w:rFonts w:ascii="宋体" w:hAnsi="宋体"/>
          <w:sz w:val="24"/>
        </w:rPr>
      </w:pPr>
      <w:r w:rsidRPr="00C40FE7">
        <w:rPr>
          <w:rFonts w:asciiTheme="minorEastAsia" w:eastAsiaTheme="minorEastAsia" w:hAnsiTheme="minorEastAsia" w:hint="eastAsia"/>
          <w:sz w:val="24"/>
        </w:rPr>
        <w:t>4、经核查，联储证券</w:t>
      </w:r>
      <w:r w:rsidRPr="00C40FE7">
        <w:rPr>
          <w:rFonts w:ascii="宋体" w:hAnsi="宋体" w:hint="eastAsia"/>
          <w:sz w:val="24"/>
        </w:rPr>
        <w:t>不属于失信被执行人。</w:t>
      </w:r>
    </w:p>
    <w:p w:rsidR="00C40FE7" w:rsidRDefault="00C40FE7" w:rsidP="00C40FE7">
      <w:pPr>
        <w:spacing w:line="56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2C666E" w:rsidRPr="005E19D9" w:rsidRDefault="002C666E" w:rsidP="002C666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Pr="005E19D9">
        <w:rPr>
          <w:rFonts w:asciiTheme="minorEastAsia" w:eastAsiaTheme="minorEastAsia" w:hAnsiTheme="minorEastAsia" w:hint="eastAsia"/>
          <w:b/>
          <w:sz w:val="24"/>
        </w:rPr>
        <w:t>、放弃权利的定价政策及定价依据</w:t>
      </w:r>
    </w:p>
    <w:p w:rsidR="002C666E" w:rsidRDefault="002C666E" w:rsidP="002C666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C666E">
        <w:rPr>
          <w:rFonts w:asciiTheme="minorEastAsia" w:eastAsiaTheme="minorEastAsia" w:hAnsiTheme="minorEastAsia"/>
          <w:sz w:val="24"/>
        </w:rPr>
        <w:t>本次增资扩股的交易金额参考了</w:t>
      </w:r>
      <w:r>
        <w:rPr>
          <w:rFonts w:asciiTheme="minorEastAsia" w:eastAsiaTheme="minorEastAsia" w:hAnsiTheme="minorEastAsia"/>
          <w:sz w:val="24"/>
        </w:rPr>
        <w:t>联储证券</w:t>
      </w:r>
      <w:r w:rsidRPr="002C666E">
        <w:rPr>
          <w:rFonts w:asciiTheme="minorEastAsia" w:eastAsiaTheme="minorEastAsia" w:hAnsiTheme="minorEastAsia"/>
          <w:sz w:val="24"/>
        </w:rPr>
        <w:t>目前的经营情况、财务情况</w:t>
      </w:r>
      <w:r>
        <w:rPr>
          <w:rFonts w:asciiTheme="minorEastAsia" w:eastAsiaTheme="minorEastAsia" w:hAnsiTheme="minorEastAsia"/>
          <w:sz w:val="24"/>
        </w:rPr>
        <w:t>等</w:t>
      </w:r>
      <w:r w:rsidRPr="002C666E">
        <w:rPr>
          <w:rFonts w:asciiTheme="minorEastAsia" w:eastAsiaTheme="minorEastAsia" w:hAnsiTheme="minorEastAsia"/>
          <w:sz w:val="24"/>
        </w:rPr>
        <w:t>，依据市场原则并结合</w:t>
      </w:r>
      <w:r>
        <w:rPr>
          <w:rFonts w:asciiTheme="minorEastAsia" w:eastAsiaTheme="minorEastAsia" w:hAnsiTheme="minorEastAsia"/>
          <w:sz w:val="24"/>
        </w:rPr>
        <w:t>联储证券</w:t>
      </w:r>
      <w:r w:rsidRPr="002C666E">
        <w:rPr>
          <w:rFonts w:asciiTheme="minorEastAsia" w:eastAsiaTheme="minorEastAsia" w:hAnsiTheme="minorEastAsia"/>
          <w:sz w:val="24"/>
        </w:rPr>
        <w:t>未来发展前景，经交易各方协商达成一致。</w:t>
      </w:r>
    </w:p>
    <w:p w:rsidR="00127C02" w:rsidRPr="00127C02" w:rsidRDefault="00127C02" w:rsidP="00127C0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27C02">
        <w:rPr>
          <w:rFonts w:asciiTheme="minorEastAsia" w:eastAsiaTheme="minorEastAsia" w:hAnsiTheme="minorEastAsia" w:hint="eastAsia"/>
          <w:sz w:val="24"/>
        </w:rPr>
        <w:t>若公司不放弃本次联储证券增资扩股优先认购权，维持原持股比例所需出资的最高金额约为27,320万元，占公司最近一期经审计净资产的5.33%。</w:t>
      </w:r>
    </w:p>
    <w:p w:rsidR="002C666E" w:rsidRPr="005E19D9" w:rsidRDefault="002C666E" w:rsidP="002C666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27C02" w:rsidRPr="00127C02" w:rsidRDefault="002C666E" w:rsidP="00127C02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127C02">
        <w:rPr>
          <w:rFonts w:asciiTheme="minorEastAsia" w:eastAsiaTheme="minorEastAsia" w:hAnsiTheme="minorEastAsia" w:hint="eastAsia"/>
          <w:b/>
          <w:sz w:val="24"/>
        </w:rPr>
        <w:t>五、</w:t>
      </w:r>
      <w:r w:rsidR="00127C02" w:rsidRPr="00127C02">
        <w:rPr>
          <w:rFonts w:asciiTheme="minorEastAsia" w:eastAsiaTheme="minorEastAsia" w:hAnsiTheme="minorEastAsia"/>
          <w:b/>
          <w:sz w:val="24"/>
        </w:rPr>
        <w:t>放弃</w:t>
      </w:r>
      <w:r w:rsidR="00E75F56">
        <w:rPr>
          <w:rFonts w:asciiTheme="minorEastAsia" w:eastAsiaTheme="minorEastAsia" w:hAnsiTheme="minorEastAsia"/>
          <w:b/>
          <w:sz w:val="24"/>
        </w:rPr>
        <w:t>权利的原因及</w:t>
      </w:r>
      <w:r w:rsidR="00127C02" w:rsidRPr="00127C02">
        <w:rPr>
          <w:rFonts w:asciiTheme="minorEastAsia" w:eastAsiaTheme="minorEastAsia" w:hAnsiTheme="minorEastAsia"/>
          <w:b/>
          <w:sz w:val="24"/>
        </w:rPr>
        <w:t>对公司的影响</w:t>
      </w:r>
    </w:p>
    <w:p w:rsidR="002C666E" w:rsidRDefault="00127C02" w:rsidP="00127C0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27C02">
        <w:rPr>
          <w:rFonts w:asciiTheme="minorEastAsia" w:eastAsiaTheme="minorEastAsia" w:hAnsiTheme="minorEastAsia"/>
          <w:sz w:val="24"/>
        </w:rPr>
        <w:t>本次</w:t>
      </w:r>
      <w:r>
        <w:rPr>
          <w:rFonts w:asciiTheme="minorEastAsia" w:eastAsiaTheme="minorEastAsia" w:hAnsiTheme="minorEastAsia"/>
          <w:sz w:val="24"/>
        </w:rPr>
        <w:t>联储证券</w:t>
      </w:r>
      <w:r w:rsidRPr="00127C02">
        <w:rPr>
          <w:rFonts w:asciiTheme="minorEastAsia" w:eastAsiaTheme="minorEastAsia" w:hAnsiTheme="minorEastAsia"/>
          <w:sz w:val="24"/>
        </w:rPr>
        <w:t>增资扩股</w:t>
      </w:r>
      <w:r w:rsidR="006850A8">
        <w:rPr>
          <w:rFonts w:asciiTheme="minorEastAsia" w:eastAsiaTheme="minorEastAsia" w:hAnsiTheme="minorEastAsia"/>
          <w:sz w:val="24"/>
        </w:rPr>
        <w:t>可以</w:t>
      </w:r>
      <w:r w:rsidRPr="00127C02">
        <w:rPr>
          <w:rFonts w:asciiTheme="minorEastAsia" w:eastAsiaTheme="minorEastAsia" w:hAnsiTheme="minorEastAsia"/>
          <w:sz w:val="24"/>
        </w:rPr>
        <w:t>增强</w:t>
      </w:r>
      <w:r>
        <w:rPr>
          <w:rFonts w:asciiTheme="minorEastAsia" w:eastAsiaTheme="minorEastAsia" w:hAnsiTheme="minorEastAsia"/>
          <w:sz w:val="24"/>
        </w:rPr>
        <w:t>联储证券</w:t>
      </w:r>
      <w:r w:rsidRPr="00127C02">
        <w:rPr>
          <w:rFonts w:asciiTheme="minorEastAsia" w:eastAsiaTheme="minorEastAsia" w:hAnsiTheme="minorEastAsia"/>
          <w:sz w:val="24"/>
        </w:rPr>
        <w:t>的资金实力，提升</w:t>
      </w:r>
      <w:r>
        <w:rPr>
          <w:rFonts w:asciiTheme="minorEastAsia" w:eastAsiaTheme="minorEastAsia" w:hAnsiTheme="minorEastAsia"/>
          <w:sz w:val="24"/>
        </w:rPr>
        <w:t>联储证券</w:t>
      </w:r>
      <w:r w:rsidRPr="00127C02">
        <w:rPr>
          <w:rFonts w:asciiTheme="minorEastAsia" w:eastAsiaTheme="minorEastAsia" w:hAnsiTheme="minorEastAsia"/>
          <w:sz w:val="24"/>
        </w:rPr>
        <w:t>的运营实力和业务规模</w:t>
      </w:r>
      <w:r w:rsidR="00E75F56">
        <w:rPr>
          <w:rFonts w:asciiTheme="minorEastAsia" w:eastAsiaTheme="minorEastAsia" w:hAnsiTheme="minorEastAsia"/>
          <w:sz w:val="24"/>
        </w:rPr>
        <w:t>。基于公司目前战略规划，</w:t>
      </w:r>
      <w:r w:rsidRPr="00127C02">
        <w:rPr>
          <w:rFonts w:asciiTheme="minorEastAsia" w:eastAsiaTheme="minorEastAsia" w:hAnsiTheme="minorEastAsia"/>
          <w:sz w:val="24"/>
        </w:rPr>
        <w:t>公司同意放弃</w:t>
      </w:r>
      <w:r w:rsidR="00E75F56">
        <w:rPr>
          <w:rFonts w:asciiTheme="minorEastAsia" w:eastAsiaTheme="minorEastAsia" w:hAnsiTheme="minorEastAsia"/>
          <w:sz w:val="24"/>
        </w:rPr>
        <w:t>联储证券</w:t>
      </w:r>
      <w:r w:rsidRPr="00127C02">
        <w:rPr>
          <w:rFonts w:asciiTheme="minorEastAsia" w:eastAsiaTheme="minorEastAsia" w:hAnsiTheme="minorEastAsia"/>
          <w:sz w:val="24"/>
        </w:rPr>
        <w:t>增资扩股的优先认购权，符合有关法律法规的规定，不会对公司财务及经营状况产生不利影响，不存在损害本公司及全体股东利益的情形，未影响公司的独立性。</w:t>
      </w:r>
    </w:p>
    <w:p w:rsidR="00127C02" w:rsidRDefault="00127C02" w:rsidP="00127C0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27C02" w:rsidRPr="00127C02" w:rsidRDefault="00127C02" w:rsidP="00127C02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127C02">
        <w:rPr>
          <w:rFonts w:asciiTheme="minorEastAsia" w:eastAsiaTheme="minorEastAsia" w:hAnsiTheme="minorEastAsia"/>
          <w:b/>
          <w:sz w:val="24"/>
        </w:rPr>
        <w:t>六</w:t>
      </w:r>
      <w:r w:rsidR="002C666E" w:rsidRPr="00127C02">
        <w:rPr>
          <w:rFonts w:asciiTheme="minorEastAsia" w:eastAsiaTheme="minorEastAsia" w:hAnsiTheme="minorEastAsia"/>
          <w:b/>
          <w:sz w:val="24"/>
        </w:rPr>
        <w:t>、与该关联人累计已发生的各类关联交易的情况</w:t>
      </w:r>
    </w:p>
    <w:p w:rsidR="00127C02" w:rsidRPr="006850A8" w:rsidRDefault="003C5F4D" w:rsidP="006850A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当年</w:t>
      </w:r>
      <w:r w:rsidR="00127C02" w:rsidRPr="006850A8">
        <w:rPr>
          <w:rFonts w:ascii="宋体" w:hAnsi="宋体" w:hint="eastAsia"/>
          <w:sz w:val="24"/>
        </w:rPr>
        <w:t>年初至202</w:t>
      </w:r>
      <w:r w:rsidR="006850A8">
        <w:rPr>
          <w:rFonts w:ascii="宋体" w:hAnsi="宋体" w:hint="eastAsia"/>
          <w:sz w:val="24"/>
        </w:rPr>
        <w:t>1</w:t>
      </w:r>
      <w:r w:rsidR="00127C02" w:rsidRPr="006850A8">
        <w:rPr>
          <w:rFonts w:ascii="宋体" w:hAnsi="宋体" w:hint="eastAsia"/>
          <w:sz w:val="24"/>
        </w:rPr>
        <w:t>年2月末，公司与</w:t>
      </w:r>
      <w:r w:rsidR="00127C02" w:rsidRPr="006850A8">
        <w:rPr>
          <w:rFonts w:asciiTheme="minorEastAsia" w:eastAsiaTheme="minorEastAsia" w:hAnsiTheme="minorEastAsia" w:hint="eastAsia"/>
          <w:sz w:val="24"/>
        </w:rPr>
        <w:t>联储证券</w:t>
      </w:r>
      <w:r w:rsidR="00127C02" w:rsidRPr="006850A8">
        <w:rPr>
          <w:rFonts w:ascii="宋体" w:hAnsi="宋体" w:hint="eastAsia"/>
          <w:sz w:val="24"/>
        </w:rPr>
        <w:t>累计已发生的各类关联交易总金额为</w:t>
      </w:r>
      <w:r w:rsidR="00127C02" w:rsidRPr="006850A8">
        <w:rPr>
          <w:rFonts w:asciiTheme="minorEastAsia" w:eastAsiaTheme="minorEastAsia" w:hAnsiTheme="minorEastAsia" w:hint="eastAsia"/>
          <w:sz w:val="24"/>
        </w:rPr>
        <w:t>0</w:t>
      </w:r>
      <w:r w:rsidR="00127C02" w:rsidRPr="006850A8">
        <w:rPr>
          <w:rFonts w:ascii="宋体" w:hAnsi="宋体" w:hint="eastAsia"/>
          <w:sz w:val="24"/>
        </w:rPr>
        <w:t>万元。</w:t>
      </w:r>
    </w:p>
    <w:p w:rsidR="002C666E" w:rsidRPr="006850A8" w:rsidRDefault="002C666E" w:rsidP="006850A8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27C02" w:rsidRDefault="00127C02" w:rsidP="00127C02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七</w:t>
      </w:r>
      <w:r w:rsidR="002C666E" w:rsidRPr="00127C02">
        <w:rPr>
          <w:rFonts w:asciiTheme="minorEastAsia" w:eastAsiaTheme="minorEastAsia" w:hAnsiTheme="minorEastAsia"/>
          <w:b/>
          <w:sz w:val="24"/>
        </w:rPr>
        <w:t>、独立董事事前认可和独立意见</w:t>
      </w:r>
    </w:p>
    <w:p w:rsidR="00127C02" w:rsidRPr="006850A8" w:rsidRDefault="002C666E" w:rsidP="006850A8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850A8">
        <w:rPr>
          <w:rFonts w:asciiTheme="minorEastAsia" w:eastAsiaTheme="minorEastAsia" w:hAnsiTheme="minorEastAsia"/>
          <w:sz w:val="24"/>
        </w:rPr>
        <w:t>1、独立董事事前认可意见</w:t>
      </w:r>
    </w:p>
    <w:p w:rsidR="006850A8" w:rsidRPr="006850A8" w:rsidRDefault="006850A8" w:rsidP="006850A8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850A8">
        <w:rPr>
          <w:rFonts w:asciiTheme="minorEastAsia" w:eastAsiaTheme="minorEastAsia" w:hAnsiTheme="minorEastAsia" w:hint="eastAsia"/>
          <w:sz w:val="24"/>
        </w:rPr>
        <w:t>公司参股子公司联储证券</w:t>
      </w:r>
      <w:r>
        <w:rPr>
          <w:rFonts w:asciiTheme="minorEastAsia" w:eastAsiaTheme="minorEastAsia" w:hAnsiTheme="minorEastAsia" w:hint="eastAsia"/>
          <w:sz w:val="24"/>
        </w:rPr>
        <w:t>拟增加注册资本，</w:t>
      </w:r>
      <w:r w:rsidRPr="006850A8">
        <w:rPr>
          <w:rFonts w:asciiTheme="minorEastAsia" w:eastAsiaTheme="minorEastAsia" w:hAnsiTheme="minorEastAsia" w:hint="eastAsia"/>
          <w:sz w:val="24"/>
        </w:rPr>
        <w:t>因公司原董事汤维清先生离任时间距今未满12个月，汤维清先生目前任职于联储证券董事，根据《深圳证券交易所股票上市规则》规定的关联关系情形，联储证券仍为公司关联法人，本次公司拟放弃联储证券优先认购权构成关联交易。</w:t>
      </w:r>
      <w:r>
        <w:rPr>
          <w:rFonts w:asciiTheme="minorEastAsia" w:eastAsiaTheme="minorEastAsia" w:hAnsiTheme="minorEastAsia"/>
          <w:sz w:val="24"/>
        </w:rPr>
        <w:t>公司</w:t>
      </w:r>
      <w:r w:rsidR="003C5F4D">
        <w:rPr>
          <w:rFonts w:asciiTheme="minorEastAsia" w:eastAsiaTheme="minorEastAsia" w:hAnsiTheme="minorEastAsia" w:hint="eastAsia"/>
          <w:sz w:val="24"/>
        </w:rPr>
        <w:t>本次放弃联储证券股权优先认购权完成后，</w:t>
      </w:r>
      <w:r w:rsidRPr="006850A8">
        <w:rPr>
          <w:rFonts w:asciiTheme="minorEastAsia" w:eastAsiaTheme="minorEastAsia" w:hAnsiTheme="minorEastAsia" w:hint="eastAsia"/>
          <w:sz w:val="24"/>
        </w:rPr>
        <w:t>公司仍持有联储证券12.13</w:t>
      </w:r>
      <w:r w:rsidRPr="006850A8">
        <w:rPr>
          <w:rFonts w:asciiTheme="minorEastAsia" w:eastAsiaTheme="minorEastAsia" w:hAnsiTheme="minorEastAsia"/>
          <w:sz w:val="24"/>
        </w:rPr>
        <w:t>%</w:t>
      </w:r>
      <w:r w:rsidRPr="006850A8">
        <w:rPr>
          <w:rFonts w:asciiTheme="minorEastAsia" w:eastAsiaTheme="minorEastAsia" w:hAnsiTheme="minorEastAsia" w:hint="eastAsia"/>
          <w:sz w:val="24"/>
        </w:rPr>
        <w:t>的股权。</w:t>
      </w:r>
    </w:p>
    <w:p w:rsidR="006850A8" w:rsidRPr="006850A8" w:rsidRDefault="006850A8" w:rsidP="006850A8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850A8">
        <w:rPr>
          <w:rFonts w:asciiTheme="minorEastAsia" w:eastAsiaTheme="minorEastAsia" w:hAnsiTheme="minorEastAsia" w:hint="eastAsia"/>
          <w:sz w:val="24"/>
        </w:rPr>
        <w:t>作为公司独立董事，已对上述议案相关资料进行了审阅并就有关情况进行了充分了解，同意将上述关联交易事项提交董事会审议</w:t>
      </w:r>
      <w:r w:rsidRPr="006850A8">
        <w:rPr>
          <w:rFonts w:asciiTheme="minorEastAsia" w:eastAsiaTheme="minorEastAsia" w:hAnsiTheme="minorEastAsia"/>
          <w:sz w:val="24"/>
        </w:rPr>
        <w:t>。</w:t>
      </w:r>
    </w:p>
    <w:p w:rsidR="006850A8" w:rsidRPr="006850A8" w:rsidRDefault="006850A8" w:rsidP="006850A8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27C02" w:rsidRPr="006850A8" w:rsidRDefault="002C666E" w:rsidP="006850A8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850A8">
        <w:rPr>
          <w:rFonts w:asciiTheme="minorEastAsia" w:eastAsiaTheme="minorEastAsia" w:hAnsiTheme="minorEastAsia"/>
          <w:sz w:val="24"/>
        </w:rPr>
        <w:t>2、独立董事意见</w:t>
      </w:r>
    </w:p>
    <w:p w:rsidR="003F7DC4" w:rsidRDefault="003F7DC4" w:rsidP="003F7DC4">
      <w:pPr>
        <w:adjustRightInd w:val="0"/>
        <w:snapToGrid w:val="0"/>
        <w:spacing w:line="348" w:lineRule="auto"/>
        <w:ind w:firstLineChars="200" w:firstLine="480"/>
        <w:rPr>
          <w:rFonts w:ascii="宋体" w:hAnsi="宋体" w:cs="宋体"/>
          <w:sz w:val="24"/>
        </w:rPr>
      </w:pPr>
      <w:r w:rsidRPr="00075D08">
        <w:rPr>
          <w:rFonts w:ascii="宋体" w:hAnsi="宋体" w:cs="宋体" w:hint="eastAsia"/>
          <w:sz w:val="24"/>
        </w:rPr>
        <w:t>公司本次放弃联储证券增资优先认购权符合</w:t>
      </w:r>
      <w:r>
        <w:rPr>
          <w:rFonts w:ascii="宋体" w:hAnsi="宋体" w:cs="宋体" w:hint="eastAsia"/>
          <w:sz w:val="24"/>
        </w:rPr>
        <w:t>有关法律、法规的规定，</w:t>
      </w:r>
      <w:r w:rsidRPr="00075D08">
        <w:rPr>
          <w:rFonts w:ascii="宋体" w:hAnsi="宋体" w:cs="宋体" w:hint="eastAsia"/>
          <w:sz w:val="24"/>
        </w:rPr>
        <w:t>董事会</w:t>
      </w:r>
      <w:r>
        <w:rPr>
          <w:rFonts w:ascii="宋体" w:hAnsi="宋体" w:cs="宋体" w:hint="eastAsia"/>
          <w:sz w:val="24"/>
        </w:rPr>
        <w:t>审议</w:t>
      </w:r>
      <w:r w:rsidRPr="00075D08">
        <w:rPr>
          <w:rFonts w:ascii="宋体" w:hAnsi="宋体" w:cs="宋体" w:hint="eastAsia"/>
          <w:sz w:val="24"/>
        </w:rPr>
        <w:t>和表决程序合法</w:t>
      </w:r>
      <w:r>
        <w:rPr>
          <w:rFonts w:ascii="宋体" w:hAnsi="宋体" w:cs="宋体" w:hint="eastAsia"/>
          <w:sz w:val="24"/>
        </w:rPr>
        <w:t>、合规</w:t>
      </w:r>
      <w:r w:rsidRPr="00075D08">
        <w:rPr>
          <w:rFonts w:ascii="宋体" w:hAnsi="宋体" w:cs="宋体" w:hint="eastAsia"/>
          <w:sz w:val="24"/>
        </w:rPr>
        <w:t>，不存在损害公司及全体股东特别是中小股东利益的情况。本次交易完成后，公司持有联储证券</w:t>
      </w:r>
      <w:r w:rsidRPr="00266DC0">
        <w:rPr>
          <w:rFonts w:ascii="宋体" w:hAnsi="宋体" w:cs="宋体" w:hint="eastAsia"/>
          <w:sz w:val="24"/>
        </w:rPr>
        <w:t>比例下降至12.13</w:t>
      </w:r>
      <w:r w:rsidRPr="00266DC0">
        <w:rPr>
          <w:rFonts w:ascii="宋体" w:hAnsi="宋体" w:cs="宋体"/>
          <w:sz w:val="24"/>
        </w:rPr>
        <w:t>%</w:t>
      </w:r>
      <w:r w:rsidRPr="00266DC0">
        <w:rPr>
          <w:rFonts w:ascii="宋体" w:hAnsi="宋体" w:cs="宋体" w:hint="eastAsia"/>
          <w:sz w:val="24"/>
        </w:rPr>
        <w:t>，</w:t>
      </w:r>
      <w:r w:rsidRPr="00075D08">
        <w:rPr>
          <w:rFonts w:ascii="宋体" w:hAnsi="宋体" w:cs="宋体"/>
          <w:sz w:val="24"/>
        </w:rPr>
        <w:t xml:space="preserve">不会对公司财务及经营状况产生不利影响，不存在损害本公司及全体股东利益的情形，未影响公司的独立性。同意本次放弃参股公司联储证券增资优先认购权暨关联交易事项。 </w:t>
      </w:r>
    </w:p>
    <w:p w:rsidR="003F7DC4" w:rsidRPr="00075D08" w:rsidRDefault="003F7DC4" w:rsidP="003F7DC4">
      <w:pPr>
        <w:adjustRightInd w:val="0"/>
        <w:snapToGrid w:val="0"/>
        <w:spacing w:line="348" w:lineRule="auto"/>
        <w:ind w:firstLineChars="200" w:firstLine="480"/>
        <w:rPr>
          <w:rFonts w:ascii="宋体" w:hAnsi="宋体" w:cs="宋体"/>
          <w:sz w:val="24"/>
        </w:rPr>
      </w:pPr>
    </w:p>
    <w:p w:rsidR="00201BD9" w:rsidRPr="005E19D9" w:rsidRDefault="00127C02" w:rsidP="00F1414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八</w:t>
      </w:r>
      <w:r w:rsidR="00201BD9" w:rsidRPr="005E19D9">
        <w:rPr>
          <w:rFonts w:asciiTheme="minorEastAsia" w:eastAsiaTheme="minorEastAsia" w:hAnsiTheme="minorEastAsia" w:hint="eastAsia"/>
          <w:b/>
          <w:sz w:val="24"/>
        </w:rPr>
        <w:t>、备查文件</w:t>
      </w:r>
    </w:p>
    <w:p w:rsidR="00201BD9" w:rsidRDefault="00A315A2" w:rsidP="00F1414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1414E">
        <w:rPr>
          <w:rFonts w:asciiTheme="minorEastAsia" w:eastAsiaTheme="minorEastAsia" w:hAnsiTheme="minorEastAsia" w:hint="eastAsia"/>
          <w:sz w:val="24"/>
        </w:rPr>
        <w:t>1、第八届董事会第</w:t>
      </w:r>
      <w:r w:rsidR="00F1414E" w:rsidRPr="00F1414E">
        <w:rPr>
          <w:rFonts w:asciiTheme="minorEastAsia" w:eastAsiaTheme="minorEastAsia" w:hAnsiTheme="minorEastAsia" w:hint="eastAsia"/>
          <w:sz w:val="24"/>
        </w:rPr>
        <w:t>五</w:t>
      </w:r>
      <w:r w:rsidRPr="00F1414E">
        <w:rPr>
          <w:rFonts w:asciiTheme="minorEastAsia" w:eastAsiaTheme="minorEastAsia" w:hAnsiTheme="minorEastAsia" w:hint="eastAsia"/>
          <w:sz w:val="24"/>
        </w:rPr>
        <w:t>次会议决议</w:t>
      </w:r>
      <w:r w:rsidR="00201BD9" w:rsidRPr="00F1414E">
        <w:rPr>
          <w:rFonts w:asciiTheme="minorEastAsia" w:eastAsiaTheme="minorEastAsia" w:hAnsiTheme="minorEastAsia" w:hint="eastAsia"/>
          <w:sz w:val="24"/>
        </w:rPr>
        <w:t>；</w:t>
      </w:r>
    </w:p>
    <w:p w:rsidR="00266DC0" w:rsidRPr="00F1414E" w:rsidRDefault="00266DC0" w:rsidP="00F1414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2、独立董事</w:t>
      </w:r>
      <w:r w:rsidRPr="00266DC0">
        <w:rPr>
          <w:rFonts w:asciiTheme="minorEastAsia" w:eastAsiaTheme="minorEastAsia" w:hAnsiTheme="minorEastAsia" w:hint="eastAsia"/>
          <w:sz w:val="24"/>
        </w:rPr>
        <w:t>关于放弃优先认购权暨关联交易事项的</w:t>
      </w:r>
      <w:r>
        <w:rPr>
          <w:rFonts w:asciiTheme="minorEastAsia" w:eastAsiaTheme="minorEastAsia" w:hAnsiTheme="minorEastAsia" w:hint="eastAsia"/>
          <w:sz w:val="24"/>
        </w:rPr>
        <w:t>事前认可及独立意见；</w:t>
      </w:r>
    </w:p>
    <w:p w:rsidR="00201BD9" w:rsidRPr="00F1414E" w:rsidRDefault="00266DC0" w:rsidP="00F1414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315A2" w:rsidRPr="00F1414E">
        <w:rPr>
          <w:rFonts w:asciiTheme="minorEastAsia" w:eastAsiaTheme="minorEastAsia" w:hAnsiTheme="minorEastAsia" w:hint="eastAsia"/>
          <w:sz w:val="24"/>
        </w:rPr>
        <w:t>、</w:t>
      </w:r>
      <w:r w:rsidR="000E62DE" w:rsidRPr="00F1414E">
        <w:rPr>
          <w:rFonts w:asciiTheme="minorEastAsia" w:eastAsiaTheme="minorEastAsia" w:hAnsiTheme="minorEastAsia" w:hint="eastAsia"/>
          <w:sz w:val="24"/>
        </w:rPr>
        <w:t>联储证券</w:t>
      </w:r>
      <w:r w:rsidR="00F1414E" w:rsidRPr="00F1414E">
        <w:rPr>
          <w:rFonts w:asciiTheme="minorEastAsia" w:eastAsiaTheme="minorEastAsia" w:hAnsiTheme="minorEastAsia" w:hint="eastAsia"/>
          <w:sz w:val="24"/>
        </w:rPr>
        <w:t>增资说明书。</w:t>
      </w:r>
    </w:p>
    <w:p w:rsidR="00201BD9" w:rsidRDefault="00201BD9" w:rsidP="00F1414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770C6" w:rsidRDefault="008B2B27" w:rsidP="00F1414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特此公告。</w:t>
      </w:r>
    </w:p>
    <w:p w:rsidR="008B2B27" w:rsidRDefault="008B2B27" w:rsidP="00F1414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8B2B27" w:rsidRDefault="008B2B27" w:rsidP="00F1414E">
      <w:pPr>
        <w:adjustRightInd w:val="0"/>
        <w:snapToGrid w:val="0"/>
        <w:spacing w:line="360" w:lineRule="auto"/>
        <w:ind w:firstLineChars="176" w:firstLine="422"/>
        <w:jc w:val="right"/>
        <w:rPr>
          <w:rFonts w:asciiTheme="minorEastAsia" w:eastAsiaTheme="minorEastAsia" w:hAnsiTheme="minorEastAsia"/>
          <w:sz w:val="24"/>
        </w:rPr>
      </w:pPr>
    </w:p>
    <w:p w:rsidR="00201BD9" w:rsidRPr="005E19D9" w:rsidRDefault="00A315A2" w:rsidP="00266DC0">
      <w:pPr>
        <w:adjustRightInd w:val="0"/>
        <w:snapToGrid w:val="0"/>
        <w:spacing w:line="360" w:lineRule="auto"/>
        <w:ind w:right="360" w:firstLineChars="176" w:firstLine="422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江苏华西村</w:t>
      </w:r>
      <w:r w:rsidR="00201BD9" w:rsidRPr="005E19D9">
        <w:rPr>
          <w:rFonts w:asciiTheme="minorEastAsia" w:eastAsiaTheme="minorEastAsia" w:hAnsiTheme="minorEastAsia" w:hint="eastAsia"/>
          <w:sz w:val="24"/>
        </w:rPr>
        <w:t>股份有限公司董事会</w:t>
      </w:r>
    </w:p>
    <w:p w:rsidR="00DE755F" w:rsidRPr="005E19D9" w:rsidRDefault="001770C6" w:rsidP="00F1414E">
      <w:pPr>
        <w:adjustRightInd w:val="0"/>
        <w:snapToGrid w:val="0"/>
        <w:spacing w:line="360" w:lineRule="auto"/>
        <w:ind w:right="480" w:firstLineChars="176" w:firstLine="422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</w:t>
      </w:r>
      <w:r w:rsidR="00266DC0">
        <w:rPr>
          <w:rFonts w:asciiTheme="minorEastAsia" w:eastAsiaTheme="minorEastAsia" w:hAnsiTheme="minorEastAsia" w:hint="eastAsia"/>
          <w:sz w:val="24"/>
        </w:rPr>
        <w:t xml:space="preserve">                            </w:t>
      </w:r>
      <w:r w:rsidR="00A315A2">
        <w:rPr>
          <w:rFonts w:asciiTheme="minorEastAsia" w:eastAsiaTheme="minorEastAsia" w:hAnsiTheme="minorEastAsia" w:hint="eastAsia"/>
          <w:sz w:val="24"/>
        </w:rPr>
        <w:t>202</w:t>
      </w:r>
      <w:r w:rsidR="00F1414E">
        <w:rPr>
          <w:rFonts w:asciiTheme="minorEastAsia" w:eastAsiaTheme="minorEastAsia" w:hAnsiTheme="minorEastAsia" w:hint="eastAsia"/>
          <w:sz w:val="24"/>
        </w:rPr>
        <w:t>1</w:t>
      </w:r>
      <w:r w:rsidR="00201BD9" w:rsidRPr="005E19D9">
        <w:rPr>
          <w:rFonts w:asciiTheme="minorEastAsia" w:eastAsiaTheme="minorEastAsia" w:hAnsiTheme="minorEastAsia" w:hint="eastAsia"/>
          <w:sz w:val="24"/>
        </w:rPr>
        <w:t>年</w:t>
      </w:r>
      <w:r w:rsidR="00F1414E">
        <w:rPr>
          <w:rFonts w:asciiTheme="minorEastAsia" w:eastAsiaTheme="minorEastAsia" w:hAnsiTheme="minorEastAsia" w:hint="eastAsia"/>
          <w:sz w:val="24"/>
        </w:rPr>
        <w:t>3</w:t>
      </w:r>
      <w:r w:rsidR="00201BD9" w:rsidRPr="005E19D9">
        <w:rPr>
          <w:rFonts w:asciiTheme="minorEastAsia" w:eastAsiaTheme="minorEastAsia" w:hAnsiTheme="minorEastAsia" w:hint="eastAsia"/>
          <w:sz w:val="24"/>
        </w:rPr>
        <w:t>月</w:t>
      </w:r>
      <w:r w:rsidR="00F1414E">
        <w:rPr>
          <w:rFonts w:asciiTheme="minorEastAsia" w:eastAsiaTheme="minorEastAsia" w:hAnsiTheme="minorEastAsia" w:hint="eastAsia"/>
          <w:sz w:val="24"/>
        </w:rPr>
        <w:t>25</w:t>
      </w:r>
      <w:r w:rsidR="007C3BC3">
        <w:rPr>
          <w:rFonts w:asciiTheme="minorEastAsia" w:eastAsiaTheme="minorEastAsia" w:hAnsiTheme="minorEastAsia" w:hint="eastAsia"/>
          <w:sz w:val="24"/>
        </w:rPr>
        <w:t>日</w:t>
      </w:r>
    </w:p>
    <w:sectPr w:rsidR="00DE755F" w:rsidRPr="005E19D9" w:rsidSect="00DE7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E8B" w:rsidRDefault="007F6E8B" w:rsidP="005E19D9">
      <w:r>
        <w:separator/>
      </w:r>
    </w:p>
  </w:endnote>
  <w:endnote w:type="continuationSeparator" w:id="1">
    <w:p w:rsidR="007F6E8B" w:rsidRDefault="007F6E8B" w:rsidP="005E1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E8B" w:rsidRDefault="007F6E8B" w:rsidP="005E19D9">
      <w:r>
        <w:separator/>
      </w:r>
    </w:p>
  </w:footnote>
  <w:footnote w:type="continuationSeparator" w:id="1">
    <w:p w:rsidR="007F6E8B" w:rsidRDefault="007F6E8B" w:rsidP="005E1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BD9"/>
    <w:rsid w:val="00013E6F"/>
    <w:rsid w:val="00026CC7"/>
    <w:rsid w:val="000273F8"/>
    <w:rsid w:val="00040870"/>
    <w:rsid w:val="000E62DE"/>
    <w:rsid w:val="000F3DAD"/>
    <w:rsid w:val="000F4E8B"/>
    <w:rsid w:val="0012121A"/>
    <w:rsid w:val="00127C02"/>
    <w:rsid w:val="00132702"/>
    <w:rsid w:val="0014490C"/>
    <w:rsid w:val="001770C6"/>
    <w:rsid w:val="00197445"/>
    <w:rsid w:val="001C36D8"/>
    <w:rsid w:val="001C5E3B"/>
    <w:rsid w:val="00201BD9"/>
    <w:rsid w:val="00264B89"/>
    <w:rsid w:val="00266DC0"/>
    <w:rsid w:val="00274879"/>
    <w:rsid w:val="002C666E"/>
    <w:rsid w:val="002F608C"/>
    <w:rsid w:val="0030474D"/>
    <w:rsid w:val="00307FE7"/>
    <w:rsid w:val="00315359"/>
    <w:rsid w:val="00315EC4"/>
    <w:rsid w:val="003238EB"/>
    <w:rsid w:val="0032550B"/>
    <w:rsid w:val="00334E72"/>
    <w:rsid w:val="00342F81"/>
    <w:rsid w:val="003A0E7A"/>
    <w:rsid w:val="003B2B89"/>
    <w:rsid w:val="003B5EF7"/>
    <w:rsid w:val="003C4066"/>
    <w:rsid w:val="003C5F4D"/>
    <w:rsid w:val="003E0859"/>
    <w:rsid w:val="003F262A"/>
    <w:rsid w:val="003F7DC4"/>
    <w:rsid w:val="00422787"/>
    <w:rsid w:val="004608B6"/>
    <w:rsid w:val="00467E8A"/>
    <w:rsid w:val="004D7ACF"/>
    <w:rsid w:val="004E35B5"/>
    <w:rsid w:val="005273A9"/>
    <w:rsid w:val="0053586D"/>
    <w:rsid w:val="005566AD"/>
    <w:rsid w:val="00560404"/>
    <w:rsid w:val="005765BF"/>
    <w:rsid w:val="005C4F3F"/>
    <w:rsid w:val="005E19D9"/>
    <w:rsid w:val="00607281"/>
    <w:rsid w:val="006850A8"/>
    <w:rsid w:val="00686477"/>
    <w:rsid w:val="00686483"/>
    <w:rsid w:val="007357D4"/>
    <w:rsid w:val="007442C2"/>
    <w:rsid w:val="00744EEE"/>
    <w:rsid w:val="00783194"/>
    <w:rsid w:val="007A41CB"/>
    <w:rsid w:val="007A6F05"/>
    <w:rsid w:val="007C3BC3"/>
    <w:rsid w:val="007D5855"/>
    <w:rsid w:val="007F6E8B"/>
    <w:rsid w:val="007F7B04"/>
    <w:rsid w:val="008502C2"/>
    <w:rsid w:val="0087250C"/>
    <w:rsid w:val="00876747"/>
    <w:rsid w:val="00884818"/>
    <w:rsid w:val="008A568F"/>
    <w:rsid w:val="008B2B27"/>
    <w:rsid w:val="008D6502"/>
    <w:rsid w:val="008E10A8"/>
    <w:rsid w:val="009054DE"/>
    <w:rsid w:val="00905D3D"/>
    <w:rsid w:val="00924E4C"/>
    <w:rsid w:val="009567E7"/>
    <w:rsid w:val="00995A50"/>
    <w:rsid w:val="009A56AA"/>
    <w:rsid w:val="009F4C72"/>
    <w:rsid w:val="00A2709D"/>
    <w:rsid w:val="00A3054C"/>
    <w:rsid w:val="00A315A2"/>
    <w:rsid w:val="00A74288"/>
    <w:rsid w:val="00B03B7D"/>
    <w:rsid w:val="00BA5631"/>
    <w:rsid w:val="00BC1E15"/>
    <w:rsid w:val="00BC3C1E"/>
    <w:rsid w:val="00BF681E"/>
    <w:rsid w:val="00C350B0"/>
    <w:rsid w:val="00C40FE7"/>
    <w:rsid w:val="00C4601E"/>
    <w:rsid w:val="00C94870"/>
    <w:rsid w:val="00CB066F"/>
    <w:rsid w:val="00CB0D2C"/>
    <w:rsid w:val="00D05386"/>
    <w:rsid w:val="00D6110E"/>
    <w:rsid w:val="00D7498E"/>
    <w:rsid w:val="00D82F13"/>
    <w:rsid w:val="00D8334F"/>
    <w:rsid w:val="00D83A1D"/>
    <w:rsid w:val="00DE53FE"/>
    <w:rsid w:val="00DE6A64"/>
    <w:rsid w:val="00DE755F"/>
    <w:rsid w:val="00E60B94"/>
    <w:rsid w:val="00E75F56"/>
    <w:rsid w:val="00EC1D2E"/>
    <w:rsid w:val="00F12FC7"/>
    <w:rsid w:val="00F1414E"/>
    <w:rsid w:val="00F1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68648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9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9D9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F6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8648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efault">
    <w:name w:val="Default"/>
    <w:rsid w:val="004E35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</cp:revision>
  <dcterms:created xsi:type="dcterms:W3CDTF">2020-09-03T00:08:00Z</dcterms:created>
  <dcterms:modified xsi:type="dcterms:W3CDTF">2021-03-25T05:32:00Z</dcterms:modified>
</cp:coreProperties>
</file>