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56235B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 </w:t>
      </w:r>
      <w:r w:rsidR="00B9587F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2716A2" w:rsidRPr="00A10217">
        <w:rPr>
          <w:rFonts w:asciiTheme="minorEastAsia" w:eastAsiaTheme="minorEastAsia" w:hAnsiTheme="minorEastAsia" w:hint="eastAsia"/>
          <w:bCs/>
          <w:color w:val="FF0000"/>
          <w:sz w:val="24"/>
        </w:rPr>
        <w:t xml:space="preserve"> </w:t>
      </w:r>
      <w:r w:rsidR="003E7C55" w:rsidRPr="0056235B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56235B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56235B">
        <w:rPr>
          <w:rFonts w:asciiTheme="minorEastAsia" w:eastAsiaTheme="minorEastAsia" w:hAnsiTheme="minorEastAsia"/>
          <w:bCs/>
          <w:sz w:val="24"/>
        </w:rPr>
        <w:t>20</w:t>
      </w:r>
      <w:r w:rsidR="006D154F" w:rsidRPr="0056235B">
        <w:rPr>
          <w:rFonts w:asciiTheme="minorEastAsia" w:eastAsiaTheme="minorEastAsia" w:hAnsiTheme="minorEastAsia" w:hint="eastAsia"/>
          <w:bCs/>
          <w:sz w:val="24"/>
        </w:rPr>
        <w:t>2</w:t>
      </w:r>
      <w:r w:rsidR="002B4565" w:rsidRPr="0056235B">
        <w:rPr>
          <w:rFonts w:asciiTheme="minorEastAsia" w:eastAsiaTheme="minorEastAsia" w:hAnsiTheme="minorEastAsia" w:hint="eastAsia"/>
          <w:bCs/>
          <w:sz w:val="24"/>
        </w:rPr>
        <w:t>5</w:t>
      </w:r>
      <w:r w:rsidR="004E3E4F" w:rsidRPr="0056235B">
        <w:rPr>
          <w:rFonts w:asciiTheme="minorEastAsia" w:eastAsiaTheme="minorEastAsia" w:hAnsiTheme="minorEastAsia"/>
          <w:bCs/>
          <w:sz w:val="24"/>
        </w:rPr>
        <w:t>-</w:t>
      </w:r>
      <w:r w:rsidR="002B4565" w:rsidRPr="0056235B">
        <w:rPr>
          <w:rFonts w:asciiTheme="minorEastAsia" w:eastAsiaTheme="minorEastAsia" w:hAnsiTheme="minorEastAsia" w:hint="eastAsia"/>
          <w:bCs/>
          <w:sz w:val="24"/>
        </w:rPr>
        <w:t>0</w:t>
      </w:r>
      <w:r w:rsidR="00E57467" w:rsidRPr="0056235B">
        <w:rPr>
          <w:rFonts w:asciiTheme="minorEastAsia" w:eastAsiaTheme="minorEastAsia" w:hAnsiTheme="minorEastAsia" w:hint="eastAsia"/>
          <w:bCs/>
          <w:sz w:val="24"/>
        </w:rPr>
        <w:t>35</w:t>
      </w:r>
    </w:p>
    <w:p w:rsidR="005C72B1" w:rsidRPr="002716A2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CF64E1">
        <w:rPr>
          <w:rFonts w:asciiTheme="minorHAnsi" w:eastAsia="黑体" w:hAnsiTheme="minorHAnsi"/>
          <w:b/>
          <w:sz w:val="30"/>
          <w:szCs w:val="30"/>
        </w:rPr>
        <w:t>转让参股公司股份的</w:t>
      </w:r>
      <w:r w:rsidR="00EE274D">
        <w:rPr>
          <w:rFonts w:asciiTheme="minorHAnsi" w:eastAsia="黑体" w:hAnsiTheme="minorHAnsi"/>
          <w:b/>
          <w:sz w:val="30"/>
          <w:szCs w:val="30"/>
        </w:rPr>
        <w:t>补充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公告</w:t>
      </w:r>
    </w:p>
    <w:p w:rsidR="00E949C7" w:rsidRDefault="00E949C7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4242D7" w:rsidRDefault="00A1212E" w:rsidP="007A670D">
      <w:pPr>
        <w:tabs>
          <w:tab w:val="num" w:pos="900"/>
        </w:tabs>
        <w:adjustRightInd w:val="0"/>
        <w:snapToGrid w:val="0"/>
        <w:spacing w:line="348" w:lineRule="auto"/>
        <w:ind w:firstLineChars="200" w:firstLine="480"/>
        <w:rPr>
          <w:rFonts w:asciiTheme="minorHAnsi" w:eastAsiaTheme="minorEastAsia" w:hAnsiTheme="minorHAnsi"/>
          <w:sz w:val="24"/>
        </w:rPr>
      </w:pPr>
      <w:r w:rsidRPr="00827F5D">
        <w:rPr>
          <w:rFonts w:asciiTheme="minorHAnsi" w:eastAsiaTheme="minorEastAsia" w:hAnsiTheme="minorHAnsi"/>
          <w:sz w:val="24"/>
        </w:rPr>
        <w:t>本公司及董事会全体成员保证信息披露内容的真实、准确和完整，没有虚假记载、误导性陈述或重大遗漏。</w:t>
      </w:r>
    </w:p>
    <w:p w:rsidR="00A1212E" w:rsidRPr="004242D7" w:rsidRDefault="00A1212E" w:rsidP="007A670D">
      <w:pPr>
        <w:tabs>
          <w:tab w:val="num" w:pos="900"/>
        </w:tabs>
        <w:adjustRightInd w:val="0"/>
        <w:snapToGrid w:val="0"/>
        <w:spacing w:line="348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270DCB" w:rsidRPr="006653C9" w:rsidRDefault="00270DCB" w:rsidP="006653C9">
      <w:pPr>
        <w:adjustRightInd w:val="0"/>
        <w:snapToGrid w:val="0"/>
        <w:spacing w:line="360" w:lineRule="auto"/>
        <w:ind w:firstLineChars="177" w:firstLine="426"/>
        <w:rPr>
          <w:b/>
          <w:sz w:val="24"/>
        </w:rPr>
      </w:pPr>
      <w:r w:rsidRPr="006653C9">
        <w:rPr>
          <w:rFonts w:hint="eastAsia"/>
          <w:b/>
          <w:sz w:val="24"/>
        </w:rPr>
        <w:t>一、交易概述</w:t>
      </w:r>
    </w:p>
    <w:p w:rsidR="00D932B1" w:rsidRDefault="0082413F" w:rsidP="0056235B">
      <w:pPr>
        <w:adjustRightInd w:val="0"/>
        <w:snapToGrid w:val="0"/>
        <w:spacing w:line="360" w:lineRule="auto"/>
        <w:ind w:firstLineChars="177" w:firstLine="425"/>
        <w:rPr>
          <w:sz w:val="24"/>
        </w:rPr>
      </w:pPr>
      <w:r>
        <w:rPr>
          <w:rFonts w:hint="eastAsia"/>
          <w:sz w:val="24"/>
        </w:rPr>
        <w:t>2025年6月13日，</w:t>
      </w:r>
      <w:r w:rsidR="00CF64E1" w:rsidRPr="00CF64E1">
        <w:rPr>
          <w:sz w:val="24"/>
        </w:rPr>
        <w:t>江苏华西村股份有限公司（以下简称“公司”）</w:t>
      </w:r>
      <w:r w:rsidR="00E57467">
        <w:rPr>
          <w:rFonts w:hint="eastAsia"/>
          <w:sz w:val="24"/>
        </w:rPr>
        <w:t>第九届董事会第九</w:t>
      </w:r>
      <w:r w:rsidR="00CF64E1" w:rsidRPr="00CF64E1">
        <w:rPr>
          <w:rFonts w:hint="eastAsia"/>
          <w:sz w:val="24"/>
        </w:rPr>
        <w:t>次会议审议通过了《关于转让参股公司股份的议案》，公司控制主体</w:t>
      </w:r>
      <w:bookmarkStart w:id="0" w:name="OLE_LINK5"/>
      <w:bookmarkStart w:id="1" w:name="OLE_LINK6"/>
      <w:r w:rsidR="00CF64E1" w:rsidRPr="008D3EAF">
        <w:rPr>
          <w:sz w:val="24"/>
        </w:rPr>
        <w:t>上海启</w:t>
      </w:r>
      <w:proofErr w:type="gramStart"/>
      <w:r w:rsidR="00CF64E1" w:rsidRPr="008D3EAF">
        <w:rPr>
          <w:sz w:val="24"/>
        </w:rPr>
        <w:t>澜</w:t>
      </w:r>
      <w:proofErr w:type="gramEnd"/>
      <w:r w:rsidR="00CF64E1" w:rsidRPr="008D3EAF">
        <w:rPr>
          <w:sz w:val="24"/>
        </w:rPr>
        <w:t>企业管理咨询合伙企业（有限合伙）（以下简称“上海启澜”）</w:t>
      </w:r>
      <w:r w:rsidR="00CF64E1" w:rsidRPr="00CF64E1">
        <w:rPr>
          <w:sz w:val="24"/>
        </w:rPr>
        <w:t>拟将其持有</w:t>
      </w:r>
      <w:r w:rsidR="0013523D">
        <w:rPr>
          <w:sz w:val="24"/>
        </w:rPr>
        <w:t>的</w:t>
      </w:r>
      <w:r w:rsidR="00CF64E1" w:rsidRPr="00D6370A">
        <w:rPr>
          <w:sz w:val="24"/>
        </w:rPr>
        <w:t>Source Photonics Holding</w:t>
      </w:r>
      <w:r w:rsidR="00CF64E1">
        <w:rPr>
          <w:rFonts w:hint="eastAsia"/>
          <w:sz w:val="24"/>
        </w:rPr>
        <w:t>s</w:t>
      </w:r>
      <w:r w:rsidR="00CF64E1" w:rsidRPr="00D6370A">
        <w:rPr>
          <w:sz w:val="24"/>
        </w:rPr>
        <w:t xml:space="preserve"> (Cayman) Limited（以下简称“</w:t>
      </w:r>
      <w:r w:rsidR="00CF64E1" w:rsidRPr="00B00041">
        <w:rPr>
          <w:sz w:val="24"/>
        </w:rPr>
        <w:t>索尔思光电”</w:t>
      </w:r>
      <w:r w:rsidR="00CF64E1" w:rsidRPr="00D6370A">
        <w:rPr>
          <w:sz w:val="24"/>
        </w:rPr>
        <w:t>）</w:t>
      </w:r>
      <w:r w:rsidR="00E57467" w:rsidRPr="00E57467">
        <w:rPr>
          <w:sz w:val="24"/>
        </w:rPr>
        <w:t xml:space="preserve"> </w:t>
      </w:r>
      <w:r w:rsidR="00E57467" w:rsidRPr="00CF64E1">
        <w:rPr>
          <w:sz w:val="24"/>
        </w:rPr>
        <w:t>556.03万股股份</w:t>
      </w:r>
      <w:r w:rsidR="00E57467" w:rsidRPr="00E57467">
        <w:rPr>
          <w:rFonts w:hint="eastAsia"/>
          <w:sz w:val="24"/>
        </w:rPr>
        <w:t>以及通过Diamond Hill, L.P.持有的5,993.62万股股份转让</w:t>
      </w:r>
      <w:proofErr w:type="gramStart"/>
      <w:r w:rsidR="00E57467" w:rsidRPr="00E57467">
        <w:rPr>
          <w:rFonts w:hint="eastAsia"/>
          <w:sz w:val="24"/>
        </w:rPr>
        <w:t>给</w:t>
      </w:r>
      <w:r w:rsidR="00E57467" w:rsidRPr="00E57467">
        <w:rPr>
          <w:sz w:val="24"/>
        </w:rPr>
        <w:t>超毅集团</w:t>
      </w:r>
      <w:proofErr w:type="gramEnd"/>
      <w:r w:rsidR="00E57467" w:rsidRPr="00E57467">
        <w:rPr>
          <w:sz w:val="24"/>
        </w:rPr>
        <w:t>（香港）有限公司</w:t>
      </w:r>
      <w:r w:rsidR="00E57467" w:rsidRPr="00E57467">
        <w:rPr>
          <w:rFonts w:hint="eastAsia"/>
          <w:sz w:val="24"/>
        </w:rPr>
        <w:t>，合计转让6,549.65万股索尔思光电股份，转让总价款为20,026.86万美元。</w:t>
      </w:r>
      <w:bookmarkEnd w:id="0"/>
      <w:bookmarkEnd w:id="1"/>
      <w:r w:rsidR="00E57467" w:rsidRPr="00E57467">
        <w:rPr>
          <w:rFonts w:hint="eastAsia"/>
          <w:sz w:val="24"/>
        </w:rPr>
        <w:t>本次转让完成后，上海启</w:t>
      </w:r>
      <w:proofErr w:type="gramStart"/>
      <w:r w:rsidR="00E57467" w:rsidRPr="00E57467">
        <w:rPr>
          <w:rFonts w:hint="eastAsia"/>
          <w:sz w:val="24"/>
        </w:rPr>
        <w:t>澜</w:t>
      </w:r>
      <w:proofErr w:type="gramEnd"/>
      <w:r w:rsidR="00E57467" w:rsidRPr="00E57467">
        <w:rPr>
          <w:rFonts w:hint="eastAsia"/>
          <w:sz w:val="24"/>
        </w:rPr>
        <w:t>不再持有索尔思光电股份。</w:t>
      </w:r>
      <w:r w:rsidR="00CF64E1" w:rsidRPr="00CF64E1">
        <w:rPr>
          <w:sz w:val="24"/>
        </w:rPr>
        <w:t>详见公司于</w:t>
      </w:r>
      <w:r w:rsidR="00E57467">
        <w:rPr>
          <w:sz w:val="24"/>
        </w:rPr>
        <w:t>202</w:t>
      </w:r>
      <w:r w:rsidR="00E57467">
        <w:rPr>
          <w:rFonts w:hint="eastAsia"/>
          <w:sz w:val="24"/>
        </w:rPr>
        <w:t>5</w:t>
      </w:r>
      <w:r w:rsidR="00CF64E1" w:rsidRPr="00CF64E1">
        <w:rPr>
          <w:sz w:val="24"/>
        </w:rPr>
        <w:t>年6月</w:t>
      </w:r>
      <w:r w:rsidR="00E57467">
        <w:rPr>
          <w:rFonts w:hint="eastAsia"/>
          <w:sz w:val="24"/>
        </w:rPr>
        <w:t>14</w:t>
      </w:r>
      <w:r w:rsidR="00CF64E1" w:rsidRPr="00CF64E1">
        <w:rPr>
          <w:sz w:val="24"/>
        </w:rPr>
        <w:t>日在《上海证券报》《证券时报》和</w:t>
      </w:r>
      <w:r w:rsidR="00CF64E1" w:rsidRPr="00FA4C5E">
        <w:rPr>
          <w:rFonts w:asciiTheme="minorEastAsia" w:eastAsiaTheme="minorEastAsia" w:hAnsiTheme="minorEastAsia"/>
          <w:sz w:val="24"/>
        </w:rPr>
        <w:t>巨潮资讯网披露</w:t>
      </w:r>
      <w:r w:rsidR="00CF64E1">
        <w:rPr>
          <w:rFonts w:asciiTheme="minorEastAsia" w:eastAsiaTheme="minorEastAsia" w:hAnsiTheme="minorEastAsia"/>
          <w:sz w:val="24"/>
        </w:rPr>
        <w:t>的</w:t>
      </w:r>
      <w:r w:rsidR="00CF64E1" w:rsidRPr="00CF64E1">
        <w:rPr>
          <w:sz w:val="24"/>
        </w:rPr>
        <w:t>《关于转让参股公司股份的公告》（公告编号：202</w:t>
      </w:r>
      <w:r w:rsidR="00E57467">
        <w:rPr>
          <w:rFonts w:hint="eastAsia"/>
          <w:sz w:val="24"/>
        </w:rPr>
        <w:t>5</w:t>
      </w:r>
      <w:r w:rsidR="00CF64E1" w:rsidRPr="00CF64E1">
        <w:rPr>
          <w:sz w:val="24"/>
        </w:rPr>
        <w:t>-0</w:t>
      </w:r>
      <w:r w:rsidR="00E57467">
        <w:rPr>
          <w:rFonts w:hint="eastAsia"/>
          <w:sz w:val="24"/>
        </w:rPr>
        <w:t>30</w:t>
      </w:r>
      <w:r w:rsidR="00E57467">
        <w:rPr>
          <w:sz w:val="24"/>
        </w:rPr>
        <w:t>）、《第九届董事会第九</w:t>
      </w:r>
      <w:r w:rsidR="00CF64E1" w:rsidRPr="00CF64E1">
        <w:rPr>
          <w:sz w:val="24"/>
        </w:rPr>
        <w:t>次会议决议公告》（公告编号：202</w:t>
      </w:r>
      <w:r w:rsidR="00E57467">
        <w:rPr>
          <w:rFonts w:hint="eastAsia"/>
          <w:sz w:val="24"/>
        </w:rPr>
        <w:t>5</w:t>
      </w:r>
      <w:r w:rsidR="00CF64E1" w:rsidRPr="00CF64E1">
        <w:rPr>
          <w:sz w:val="24"/>
        </w:rPr>
        <w:t>-03</w:t>
      </w:r>
      <w:r w:rsidR="00E57467">
        <w:rPr>
          <w:rFonts w:hint="eastAsia"/>
          <w:sz w:val="24"/>
        </w:rPr>
        <w:t>1</w:t>
      </w:r>
      <w:r w:rsidR="00CF64E1">
        <w:rPr>
          <w:sz w:val="24"/>
        </w:rPr>
        <w:t>）</w:t>
      </w:r>
      <w:r w:rsidR="009E317E" w:rsidRPr="00AB688D">
        <w:rPr>
          <w:rFonts w:hint="eastAsia"/>
          <w:sz w:val="24"/>
        </w:rPr>
        <w:t>。</w:t>
      </w:r>
    </w:p>
    <w:p w:rsidR="00D932B1" w:rsidRDefault="00EE274D" w:rsidP="0056235B">
      <w:pPr>
        <w:adjustRightInd w:val="0"/>
        <w:snapToGrid w:val="0"/>
        <w:spacing w:line="360" w:lineRule="auto"/>
        <w:ind w:firstLineChars="177" w:firstLine="425"/>
        <w:rPr>
          <w:rFonts w:asciiTheme="minorEastAsia" w:eastAsiaTheme="minorEastAsia" w:hAnsiTheme="minorEastAsia"/>
          <w:sz w:val="24"/>
        </w:rPr>
      </w:pPr>
      <w:r w:rsidRPr="00270DCB">
        <w:rPr>
          <w:rFonts w:asciiTheme="minorEastAsia" w:eastAsiaTheme="minorEastAsia" w:hAnsiTheme="minorEastAsia"/>
          <w:sz w:val="24"/>
        </w:rPr>
        <w:t>本公告补充了</w:t>
      </w:r>
      <w:r w:rsidR="00270DCB" w:rsidRPr="00270DCB">
        <w:rPr>
          <w:rFonts w:asciiTheme="minorEastAsia" w:eastAsiaTheme="minorEastAsia" w:hAnsiTheme="minorEastAsia"/>
          <w:sz w:val="24"/>
        </w:rPr>
        <w:t>索尔思光电</w:t>
      </w:r>
      <w:r w:rsidR="00270DCB" w:rsidRPr="00270DCB">
        <w:rPr>
          <w:rFonts w:asciiTheme="minorEastAsia" w:eastAsiaTheme="minorEastAsia" w:hAnsiTheme="minorEastAsia" w:hint="eastAsia"/>
          <w:sz w:val="24"/>
        </w:rPr>
        <w:t>2025年一季度经审计的</w:t>
      </w:r>
      <w:r w:rsidR="00D932B1">
        <w:rPr>
          <w:rFonts w:asciiTheme="minorEastAsia" w:eastAsiaTheme="minorEastAsia" w:hAnsiTheme="minorEastAsia" w:hint="eastAsia"/>
          <w:sz w:val="24"/>
        </w:rPr>
        <w:t>主要财务</w:t>
      </w:r>
      <w:r w:rsidR="001965F3">
        <w:rPr>
          <w:rFonts w:asciiTheme="minorEastAsia" w:eastAsiaTheme="minorEastAsia" w:hAnsiTheme="minorEastAsia" w:hint="eastAsia"/>
          <w:sz w:val="24"/>
        </w:rPr>
        <w:t>数据</w:t>
      </w:r>
      <w:r w:rsidRPr="00270DCB">
        <w:rPr>
          <w:rFonts w:asciiTheme="minorEastAsia" w:eastAsiaTheme="minorEastAsia" w:hAnsiTheme="minorEastAsia"/>
          <w:sz w:val="24"/>
        </w:rPr>
        <w:t>，</w:t>
      </w:r>
      <w:r w:rsidR="00270DCB" w:rsidRPr="00270DCB">
        <w:rPr>
          <w:rFonts w:asciiTheme="minorEastAsia" w:eastAsiaTheme="minorEastAsia" w:hAnsiTheme="minorEastAsia"/>
          <w:sz w:val="24"/>
        </w:rPr>
        <w:t>具体</w:t>
      </w:r>
      <w:r w:rsidRPr="00270DCB">
        <w:rPr>
          <w:rFonts w:asciiTheme="minorEastAsia" w:eastAsiaTheme="minorEastAsia" w:hAnsiTheme="minorEastAsia"/>
          <w:sz w:val="24"/>
        </w:rPr>
        <w:t>如下：</w:t>
      </w:r>
    </w:p>
    <w:p w:rsidR="00270DCB" w:rsidRPr="00D932B1" w:rsidRDefault="00270DCB" w:rsidP="00D932B1">
      <w:pPr>
        <w:adjustRightInd w:val="0"/>
        <w:snapToGrid w:val="0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  <w:r w:rsidRPr="00270DCB">
        <w:rPr>
          <w:rFonts w:hint="eastAsia"/>
          <w:sz w:val="24"/>
          <w:szCs w:val="22"/>
        </w:rPr>
        <w:t xml:space="preserve">          </w:t>
      </w:r>
      <w:r w:rsidRPr="00270DCB">
        <w:rPr>
          <w:rFonts w:hint="eastAsia"/>
          <w:sz w:val="21"/>
          <w:szCs w:val="21"/>
        </w:rPr>
        <w:t xml:space="preserve">              </w:t>
      </w:r>
      <w:r>
        <w:rPr>
          <w:rFonts w:hint="eastAsia"/>
          <w:sz w:val="21"/>
          <w:szCs w:val="21"/>
        </w:rPr>
        <w:t xml:space="preserve"> </w:t>
      </w:r>
      <w:r w:rsidR="00D932B1">
        <w:rPr>
          <w:rFonts w:hint="eastAsia"/>
          <w:sz w:val="21"/>
          <w:szCs w:val="21"/>
        </w:rPr>
        <w:t xml:space="preserve">                            </w:t>
      </w:r>
      <w:r w:rsidRPr="00270DCB">
        <w:rPr>
          <w:rFonts w:hint="eastAsia"/>
          <w:sz w:val="21"/>
          <w:szCs w:val="21"/>
        </w:rPr>
        <w:t>单位：人民币万元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757"/>
        <w:gridCol w:w="2382"/>
        <w:gridCol w:w="2383"/>
      </w:tblGrid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项</w:t>
            </w:r>
            <w:r w:rsidRPr="00270DCB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   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2025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年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月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31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日</w:t>
            </w:r>
          </w:p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（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经审计）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2024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年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月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31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日</w:t>
            </w:r>
          </w:p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（经审计）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资产总额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center"/>
          </w:tcPr>
          <w:p w:rsidR="00270DCB" w:rsidRPr="0056235B" w:rsidRDefault="0056235B" w:rsidP="00270DCB">
            <w:pPr>
              <w:widowControl/>
              <w:jc w:val="righ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356,700.89</w:t>
            </w:r>
            <w:r w:rsidR="00270DCB" w:rsidRPr="0056235B">
              <w:rPr>
                <w:rFonts w:asciiTheme="minorEastAsia" w:eastAsiaTheme="minorEastAsia" w:hAnsiTheme="minorEastAsia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316,810.78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负债总额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center"/>
          </w:tcPr>
          <w:p w:rsidR="00270DCB" w:rsidRPr="0056235B" w:rsidRDefault="0056235B" w:rsidP="00270DCB">
            <w:pPr>
              <w:widowControl/>
              <w:jc w:val="righ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244,650.23</w:t>
            </w:r>
            <w:r w:rsidR="00270DCB" w:rsidRPr="0056235B">
              <w:rPr>
                <w:rFonts w:asciiTheme="minorEastAsia" w:eastAsiaTheme="minorEastAsia" w:hAnsiTheme="minorEastAsia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216,052.67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归属于母公司的所有者权益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center"/>
          </w:tcPr>
          <w:p w:rsidR="00270DCB" w:rsidRPr="0056235B" w:rsidRDefault="0056235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111,344.41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100,025.10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项</w:t>
            </w:r>
            <w:r w:rsidRPr="00270DCB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   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2025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年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1-3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月</w:t>
            </w:r>
          </w:p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（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经审计）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2024</w:t>
            </w: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年度</w:t>
            </w:r>
          </w:p>
          <w:p w:rsidR="00270DCB" w:rsidRPr="00270DCB" w:rsidRDefault="00270DCB" w:rsidP="00270D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70DCB">
              <w:rPr>
                <w:rFonts w:ascii="Times New Roman" w:hAnsi="Times New Roman"/>
                <w:b/>
                <w:bCs/>
                <w:sz w:val="21"/>
                <w:szCs w:val="21"/>
              </w:rPr>
              <w:t>（经审计）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营业收入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0DCB" w:rsidRPr="0056235B" w:rsidRDefault="0056235B" w:rsidP="00270DCB">
            <w:pPr>
              <w:widowControl/>
              <w:jc w:val="righ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93,569.71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293,166.23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营业利润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center"/>
          </w:tcPr>
          <w:p w:rsidR="00270DCB" w:rsidRPr="0056235B" w:rsidRDefault="0056235B" w:rsidP="00270DCB">
            <w:pPr>
              <w:widowControl/>
              <w:jc w:val="righ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13,718.80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48,555.79</w:t>
            </w:r>
          </w:p>
        </w:tc>
      </w:tr>
      <w:tr w:rsidR="00270DCB" w:rsidRPr="00270DCB" w:rsidTr="00654720">
        <w:trPr>
          <w:trHeight w:val="397"/>
          <w:jc w:val="center"/>
        </w:trPr>
        <w:tc>
          <w:tcPr>
            <w:tcW w:w="2204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净利润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center"/>
          </w:tcPr>
          <w:p w:rsidR="00270DCB" w:rsidRPr="0056235B" w:rsidRDefault="0056235B" w:rsidP="00270DCB">
            <w:pPr>
              <w:widowControl/>
              <w:jc w:val="righ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23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bidi="ar"/>
              </w:rPr>
              <w:t>11,224.48</w:t>
            </w:r>
          </w:p>
        </w:tc>
        <w:tc>
          <w:tcPr>
            <w:tcW w:w="1398" w:type="pct"/>
            <w:tcBorders>
              <w:tl2br w:val="nil"/>
              <w:tr2bl w:val="nil"/>
            </w:tcBorders>
            <w:vAlign w:val="center"/>
          </w:tcPr>
          <w:p w:rsidR="00270DCB" w:rsidRPr="00270DCB" w:rsidRDefault="00270DCB" w:rsidP="00270DC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0DCB">
              <w:rPr>
                <w:rFonts w:asciiTheme="minorEastAsia" w:eastAsiaTheme="minorEastAsia" w:hAnsiTheme="minorEastAsia"/>
                <w:sz w:val="21"/>
                <w:szCs w:val="21"/>
              </w:rPr>
              <w:t>40,452.55</w:t>
            </w:r>
          </w:p>
        </w:tc>
      </w:tr>
    </w:tbl>
    <w:p w:rsidR="00270DCB" w:rsidRPr="00270DCB" w:rsidRDefault="00270DCB" w:rsidP="00270DCB">
      <w:pPr>
        <w:spacing w:line="360" w:lineRule="auto"/>
        <w:ind w:firstLineChars="200" w:firstLine="480"/>
        <w:rPr>
          <w:sz w:val="24"/>
        </w:rPr>
      </w:pPr>
      <w:r w:rsidRPr="00270DCB">
        <w:rPr>
          <w:sz w:val="24"/>
        </w:rPr>
        <w:lastRenderedPageBreak/>
        <w:t>注：</w:t>
      </w:r>
      <w:r w:rsidRPr="006653C9">
        <w:rPr>
          <w:rFonts w:hint="eastAsia"/>
          <w:sz w:val="24"/>
        </w:rPr>
        <w:t>考虑索尔思光电股权架构拆分影响，公司2024年</w:t>
      </w:r>
      <w:r w:rsidR="001F2AD7">
        <w:rPr>
          <w:rFonts w:hint="eastAsia"/>
          <w:sz w:val="24"/>
        </w:rPr>
        <w:t>年</w:t>
      </w:r>
      <w:r w:rsidRPr="006653C9">
        <w:rPr>
          <w:rFonts w:hint="eastAsia"/>
          <w:sz w:val="24"/>
        </w:rPr>
        <w:t>度报告中披露的索尔思光电财务指标为</w:t>
      </w:r>
      <w:r w:rsidRPr="00270DCB">
        <w:rPr>
          <w:rFonts w:hint="eastAsia"/>
          <w:sz w:val="24"/>
        </w:rPr>
        <w:t>还原后VENUS PEARL SPV2 CO LIMITED的数据。</w:t>
      </w:r>
    </w:p>
    <w:p w:rsidR="000958C3" w:rsidRPr="006653C9" w:rsidRDefault="000958C3" w:rsidP="006653C9">
      <w:pPr>
        <w:spacing w:line="360" w:lineRule="auto"/>
        <w:ind w:firstLineChars="200" w:firstLine="480"/>
        <w:rPr>
          <w:sz w:val="24"/>
        </w:rPr>
      </w:pPr>
    </w:p>
    <w:p w:rsidR="009E317E" w:rsidRPr="006653C9" w:rsidRDefault="00270DCB" w:rsidP="006653C9">
      <w:pPr>
        <w:spacing w:line="360" w:lineRule="auto"/>
        <w:ind w:firstLineChars="200" w:firstLine="482"/>
        <w:rPr>
          <w:b/>
          <w:sz w:val="24"/>
        </w:rPr>
      </w:pPr>
      <w:r w:rsidRPr="006653C9">
        <w:rPr>
          <w:rFonts w:hint="eastAsia"/>
          <w:b/>
          <w:sz w:val="24"/>
        </w:rPr>
        <w:t>二</w:t>
      </w:r>
      <w:r w:rsidR="009E317E" w:rsidRPr="006653C9">
        <w:rPr>
          <w:rFonts w:hint="eastAsia"/>
          <w:b/>
          <w:sz w:val="24"/>
        </w:rPr>
        <w:t>、风险提示</w:t>
      </w:r>
    </w:p>
    <w:p w:rsidR="009E317E" w:rsidRPr="006653C9" w:rsidRDefault="009E317E" w:rsidP="006653C9">
      <w:pPr>
        <w:spacing w:line="360" w:lineRule="auto"/>
        <w:ind w:firstLineChars="200" w:firstLine="480"/>
        <w:rPr>
          <w:sz w:val="24"/>
        </w:rPr>
      </w:pPr>
      <w:r w:rsidRPr="006653C9">
        <w:rPr>
          <w:sz w:val="24"/>
        </w:rPr>
        <w:t>公司指定的信息披露媒体为《上海证券报》《证券时报》及巨潮资讯网 （http://www.cninfo.com.cn），公司所有信息均以在上述指定媒体刊登的信息为准，</w:t>
      </w:r>
      <w:r w:rsidRPr="006653C9">
        <w:rPr>
          <w:rFonts w:hint="eastAsia"/>
          <w:sz w:val="24"/>
        </w:rPr>
        <w:t>敬请广大投资者注意投资风险。</w:t>
      </w:r>
    </w:p>
    <w:p w:rsidR="009E317E" w:rsidRPr="006653C9" w:rsidRDefault="009E317E" w:rsidP="006653C9">
      <w:pPr>
        <w:spacing w:line="360" w:lineRule="auto"/>
        <w:ind w:firstLineChars="200" w:firstLine="480"/>
        <w:rPr>
          <w:sz w:val="24"/>
        </w:rPr>
      </w:pPr>
    </w:p>
    <w:p w:rsidR="009E317E" w:rsidRPr="0021719C" w:rsidRDefault="00270DCB" w:rsidP="007A670D">
      <w:pPr>
        <w:pStyle w:val="a6"/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三</w:t>
      </w:r>
      <w:r w:rsidR="009E317E" w:rsidRPr="0021719C">
        <w:rPr>
          <w:rFonts w:asciiTheme="minorEastAsia" w:eastAsiaTheme="minorEastAsia" w:hAnsiTheme="minorEastAsia"/>
          <w:b/>
          <w:sz w:val="24"/>
        </w:rPr>
        <w:t>、备查文件</w:t>
      </w:r>
      <w:bookmarkStart w:id="2" w:name="_GoBack"/>
      <w:bookmarkEnd w:id="2"/>
    </w:p>
    <w:p w:rsidR="009E317E" w:rsidRPr="00EF4859" w:rsidRDefault="009E317E" w:rsidP="007A670D">
      <w:pPr>
        <w:adjustRightInd w:val="0"/>
        <w:snapToGrid w:val="0"/>
        <w:spacing w:line="348" w:lineRule="auto"/>
        <w:ind w:firstLine="465"/>
        <w:jc w:val="left"/>
        <w:rPr>
          <w:sz w:val="24"/>
        </w:rPr>
      </w:pPr>
      <w:r w:rsidRPr="00EF4859">
        <w:rPr>
          <w:rFonts w:hint="eastAsia"/>
          <w:sz w:val="24"/>
        </w:rPr>
        <w:t>1</w:t>
      </w:r>
      <w:r w:rsidRPr="00EF4859">
        <w:rPr>
          <w:sz w:val="24"/>
        </w:rPr>
        <w:t>、</w:t>
      </w:r>
      <w:r w:rsidR="00270DCB">
        <w:rPr>
          <w:sz w:val="24"/>
        </w:rPr>
        <w:t>索尔思光电</w:t>
      </w:r>
      <w:r w:rsidR="00270DCB">
        <w:rPr>
          <w:rFonts w:hint="eastAsia"/>
          <w:sz w:val="24"/>
        </w:rPr>
        <w:t>2025年1-3月审计报告。</w:t>
      </w:r>
    </w:p>
    <w:p w:rsidR="007A670D" w:rsidRDefault="007A670D" w:rsidP="007A670D">
      <w:pPr>
        <w:adjustRightInd w:val="0"/>
        <w:snapToGrid w:val="0"/>
        <w:spacing w:line="348" w:lineRule="auto"/>
        <w:ind w:firstLine="465"/>
        <w:jc w:val="left"/>
        <w:rPr>
          <w:color w:val="000000"/>
          <w:sz w:val="24"/>
        </w:rPr>
      </w:pPr>
    </w:p>
    <w:p w:rsidR="000958C3" w:rsidRDefault="000958C3" w:rsidP="007A670D">
      <w:pPr>
        <w:adjustRightInd w:val="0"/>
        <w:snapToGrid w:val="0"/>
        <w:spacing w:line="348" w:lineRule="auto"/>
        <w:ind w:firstLine="465"/>
        <w:jc w:val="left"/>
        <w:rPr>
          <w:color w:val="000000"/>
          <w:sz w:val="24"/>
        </w:rPr>
      </w:pPr>
    </w:p>
    <w:p w:rsidR="0056235B" w:rsidRPr="0001350A" w:rsidRDefault="0056235B" w:rsidP="007A670D">
      <w:pPr>
        <w:adjustRightInd w:val="0"/>
        <w:snapToGrid w:val="0"/>
        <w:spacing w:line="348" w:lineRule="auto"/>
        <w:ind w:firstLine="465"/>
        <w:jc w:val="left"/>
        <w:rPr>
          <w:color w:val="000000"/>
          <w:sz w:val="24"/>
        </w:rPr>
      </w:pPr>
    </w:p>
    <w:p w:rsidR="009E317E" w:rsidRDefault="009E317E" w:rsidP="007A670D">
      <w:pPr>
        <w:topLinePunct/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  <w:r w:rsidRPr="009D2EF7">
        <w:rPr>
          <w:rFonts w:asciiTheme="minorEastAsia" w:eastAsiaTheme="minorEastAsia" w:hAnsiTheme="minorEastAsia" w:cs="Calibri"/>
          <w:kern w:val="24"/>
          <w:sz w:val="24"/>
        </w:rPr>
        <w:t>特此公告。</w:t>
      </w:r>
    </w:p>
    <w:p w:rsidR="00B9587F" w:rsidRDefault="00B9587F" w:rsidP="007A670D">
      <w:pPr>
        <w:topLinePunct/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D932B1" w:rsidRDefault="00D932B1" w:rsidP="007A670D">
      <w:pPr>
        <w:topLinePunct/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4B267C" w:rsidRDefault="004B267C" w:rsidP="007A670D">
      <w:pPr>
        <w:topLinePunct/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1965F3" w:rsidRPr="001965F3" w:rsidRDefault="001965F3" w:rsidP="007A670D">
      <w:pPr>
        <w:topLinePunct/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9E317E" w:rsidRPr="00C574D4" w:rsidRDefault="009E317E" w:rsidP="007A670D">
      <w:pPr>
        <w:tabs>
          <w:tab w:val="num" w:pos="900"/>
        </w:tabs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                           </w:t>
      </w:r>
      <w:r w:rsidRPr="00C574D4">
        <w:rPr>
          <w:rFonts w:asciiTheme="minorHAnsi" w:eastAsiaTheme="minorEastAsia" w:hAnsiTheme="minorHAnsi" w:hint="eastAsia"/>
          <w:sz w:val="24"/>
        </w:rPr>
        <w:t xml:space="preserve">   </w:t>
      </w:r>
      <w:r w:rsidRPr="00C574D4">
        <w:rPr>
          <w:rFonts w:asciiTheme="minorEastAsia" w:eastAsiaTheme="minorEastAsia" w:hAnsiTheme="minorEastAsia" w:hint="eastAsia"/>
          <w:sz w:val="24"/>
        </w:rPr>
        <w:t xml:space="preserve"> </w:t>
      </w:r>
      <w:r w:rsidRPr="00C574D4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9E317E" w:rsidRPr="0056235B" w:rsidRDefault="009E317E" w:rsidP="007A670D">
      <w:pPr>
        <w:tabs>
          <w:tab w:val="num" w:pos="900"/>
        </w:tabs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574D4">
        <w:rPr>
          <w:rFonts w:asciiTheme="minorEastAsia" w:eastAsiaTheme="minorEastAsia" w:hAnsiTheme="minorEastAsia"/>
          <w:sz w:val="24"/>
        </w:rPr>
        <w:t xml:space="preserve">                               </w:t>
      </w:r>
      <w:r w:rsidRPr="00C574D4">
        <w:rPr>
          <w:rFonts w:asciiTheme="minorEastAsia" w:eastAsiaTheme="minorEastAsia" w:hAnsiTheme="minorEastAsia" w:hint="eastAsia"/>
          <w:sz w:val="24"/>
        </w:rPr>
        <w:t xml:space="preserve">   </w:t>
      </w:r>
      <w:r w:rsidRPr="0056235B">
        <w:rPr>
          <w:rFonts w:asciiTheme="minorEastAsia" w:eastAsiaTheme="minorEastAsia" w:hAnsiTheme="minorEastAsia"/>
          <w:sz w:val="24"/>
        </w:rPr>
        <w:t xml:space="preserve"> </w:t>
      </w:r>
      <w:r w:rsidRPr="0056235B">
        <w:rPr>
          <w:rFonts w:asciiTheme="minorEastAsia" w:eastAsiaTheme="minorEastAsia" w:hAnsiTheme="minorEastAsia" w:hint="eastAsia"/>
          <w:sz w:val="24"/>
        </w:rPr>
        <w:t xml:space="preserve"> </w:t>
      </w:r>
      <w:r w:rsidRPr="0056235B">
        <w:rPr>
          <w:rFonts w:asciiTheme="minorEastAsia" w:eastAsiaTheme="minorEastAsia" w:hAnsiTheme="minorEastAsia"/>
          <w:sz w:val="24"/>
        </w:rPr>
        <w:t xml:space="preserve"> </w:t>
      </w:r>
      <w:r w:rsidR="005D74A3" w:rsidRPr="0056235B">
        <w:rPr>
          <w:rFonts w:asciiTheme="minorEastAsia" w:eastAsiaTheme="minorEastAsia" w:hAnsiTheme="minorEastAsia" w:hint="eastAsia"/>
          <w:sz w:val="24"/>
        </w:rPr>
        <w:t xml:space="preserve"> </w:t>
      </w:r>
      <w:r w:rsidRPr="0056235B">
        <w:rPr>
          <w:rFonts w:asciiTheme="minorEastAsia" w:eastAsiaTheme="minorEastAsia" w:hAnsiTheme="minorEastAsia" w:hint="eastAsia"/>
          <w:sz w:val="24"/>
        </w:rPr>
        <w:t>202</w:t>
      </w:r>
      <w:r w:rsidR="002B4565" w:rsidRPr="0056235B">
        <w:rPr>
          <w:rFonts w:asciiTheme="minorEastAsia" w:eastAsiaTheme="minorEastAsia" w:hAnsiTheme="minorEastAsia" w:hint="eastAsia"/>
          <w:sz w:val="24"/>
        </w:rPr>
        <w:t>5</w:t>
      </w:r>
      <w:r w:rsidRPr="0056235B">
        <w:rPr>
          <w:rFonts w:asciiTheme="minorEastAsia" w:eastAsiaTheme="minorEastAsia" w:hAnsiTheme="minorEastAsia"/>
          <w:sz w:val="24"/>
        </w:rPr>
        <w:t>年</w:t>
      </w:r>
      <w:r w:rsidR="00270DCB" w:rsidRPr="0056235B">
        <w:rPr>
          <w:rFonts w:asciiTheme="minorEastAsia" w:eastAsiaTheme="minorEastAsia" w:hAnsiTheme="minorEastAsia" w:hint="eastAsia"/>
          <w:sz w:val="24"/>
        </w:rPr>
        <w:t>7</w:t>
      </w:r>
      <w:r w:rsidRPr="0056235B">
        <w:rPr>
          <w:rFonts w:asciiTheme="minorEastAsia" w:eastAsiaTheme="minorEastAsia" w:hAnsiTheme="minorEastAsia"/>
          <w:sz w:val="24"/>
        </w:rPr>
        <w:t>月</w:t>
      </w:r>
      <w:r w:rsidR="0082413F" w:rsidRPr="0056235B">
        <w:rPr>
          <w:rFonts w:asciiTheme="minorEastAsia" w:eastAsiaTheme="minorEastAsia" w:hAnsiTheme="minorEastAsia" w:hint="eastAsia"/>
          <w:sz w:val="24"/>
        </w:rPr>
        <w:t>21</w:t>
      </w:r>
      <w:r w:rsidRPr="0056235B">
        <w:rPr>
          <w:rFonts w:asciiTheme="minorEastAsia" w:eastAsiaTheme="minorEastAsia" w:hAnsiTheme="minorEastAsia"/>
          <w:sz w:val="24"/>
        </w:rPr>
        <w:t>日</w:t>
      </w:r>
    </w:p>
    <w:sectPr w:rsidR="009E317E" w:rsidRPr="0056235B" w:rsidSect="00BF4E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D5" w:rsidRDefault="007C07D5" w:rsidP="005C72B1">
      <w:r>
        <w:separator/>
      </w:r>
    </w:p>
  </w:endnote>
  <w:endnote w:type="continuationSeparator" w:id="0">
    <w:p w:rsidR="007C07D5" w:rsidRDefault="007C07D5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63"/>
      <w:docPartObj>
        <w:docPartGallery w:val="Page Numbers (Bottom of Page)"/>
        <w:docPartUnique/>
      </w:docPartObj>
    </w:sdtPr>
    <w:sdtEndPr/>
    <w:sdtContent>
      <w:p w:rsidR="003E7C55" w:rsidRDefault="009D797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AD7" w:rsidRPr="001F2AD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E7C55" w:rsidRDefault="003E7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D5" w:rsidRDefault="007C07D5" w:rsidP="005C72B1">
      <w:r>
        <w:separator/>
      </w:r>
    </w:p>
  </w:footnote>
  <w:footnote w:type="continuationSeparator" w:id="0">
    <w:p w:rsidR="007C07D5" w:rsidRDefault="007C07D5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01460"/>
    <w:multiLevelType w:val="singleLevel"/>
    <w:tmpl w:val="99301460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0F714CC"/>
    <w:multiLevelType w:val="multilevel"/>
    <w:tmpl w:val="10F714CC"/>
    <w:lvl w:ilvl="0">
      <w:start w:val="1"/>
      <w:numFmt w:val="decimal"/>
      <w:lvlText w:val="6.%1"/>
      <w:lvlJc w:val="left"/>
      <w:pPr>
        <w:tabs>
          <w:tab w:val="left" w:pos="360"/>
        </w:tabs>
        <w:ind w:left="360" w:hanging="360"/>
      </w:pPr>
      <w:rPr>
        <w:rFonts w:hint="eastAsia"/>
        <w:sz w:val="24"/>
      </w:rPr>
    </w:lvl>
    <w:lvl w:ilvl="1">
      <w:start w:val="1"/>
      <w:numFmt w:val="decimal"/>
      <w:lvlText w:val="（%2）"/>
      <w:lvlJc w:val="left"/>
      <w:pPr>
        <w:tabs>
          <w:tab w:val="left" w:pos="810"/>
        </w:tabs>
        <w:ind w:left="810" w:hanging="390"/>
      </w:pPr>
      <w:rPr>
        <w:rFonts w:hint="eastAsia"/>
      </w:rPr>
    </w:lvl>
    <w:lvl w:ilvl="2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2DEA19F6"/>
    <w:multiLevelType w:val="multilevel"/>
    <w:tmpl w:val="AD56680A"/>
    <w:lvl w:ilvl="0">
      <w:start w:val="1"/>
      <w:numFmt w:val="decimal"/>
      <w:lvlText w:val="4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1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3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6">
    <w:nsid w:val="37962C64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7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8">
    <w:nsid w:val="3E6C661D"/>
    <w:multiLevelType w:val="singleLevel"/>
    <w:tmpl w:val="3E6C661D"/>
    <w:lvl w:ilvl="0">
      <w:start w:val="1"/>
      <w:numFmt w:val="decimal"/>
      <w:suff w:val="nothing"/>
      <w:lvlText w:val="（%1）"/>
      <w:lvlJc w:val="left"/>
      <w:pPr>
        <w:ind w:left="866" w:hanging="440"/>
      </w:pPr>
      <w:rPr>
        <w:rFonts w:ascii="Times New Roman" w:hAnsi="Times New Roman" w:cs="Times New Roman" w:hint="default"/>
      </w:rPr>
    </w:lvl>
  </w:abstractNum>
  <w:abstractNum w:abstractNumId="19">
    <w:nsid w:val="40BC392F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20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6">
    <w:nsid w:val="4CD66C19"/>
    <w:multiLevelType w:val="multilevel"/>
    <w:tmpl w:val="4CD66C19"/>
    <w:lvl w:ilvl="0">
      <w:start w:val="1"/>
      <w:numFmt w:val="decimal"/>
      <w:lvlText w:val="3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7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3F76F5B"/>
    <w:multiLevelType w:val="multilevel"/>
    <w:tmpl w:val="53F76F5B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lang w:eastAsia="zh-CN"/>
      </w:rPr>
    </w:lvl>
    <w:lvl w:ilvl="3">
      <w:start w:val="1"/>
      <w:numFmt w:val="decimal"/>
      <w:lvlText w:val="（%4）"/>
      <w:lvlJc w:val="left"/>
      <w:pPr>
        <w:tabs>
          <w:tab w:val="left" w:pos="2580"/>
        </w:tabs>
        <w:ind w:left="2580" w:hanging="737"/>
      </w:pPr>
      <w:rPr>
        <w:rFonts w:ascii="Times New Roman" w:hAnsi="Times New Roman" w:cs="Times New Roman" w:hint="default"/>
        <w:sz w:val="24"/>
        <w:lang w:val="en-US"/>
      </w:rPr>
    </w:lvl>
    <w:lvl w:ilvl="4">
      <w:start w:val="1"/>
      <w:numFmt w:val="lowerLetter"/>
      <w:lvlText w:val="%5）"/>
      <w:lvlJc w:val="left"/>
      <w:pPr>
        <w:tabs>
          <w:tab w:val="left" w:pos="2325"/>
        </w:tabs>
        <w:ind w:left="2325" w:hanging="73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left" w:pos="3062"/>
        </w:tabs>
        <w:ind w:left="3062" w:hanging="73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9">
    <w:nsid w:val="5578FAEE"/>
    <w:multiLevelType w:val="singleLevel"/>
    <w:tmpl w:val="5578FAEE"/>
    <w:lvl w:ilvl="0">
      <w:start w:val="1"/>
      <w:numFmt w:val="chineseCounting"/>
      <w:suff w:val="nothing"/>
      <w:lvlText w:val="（%1）"/>
      <w:lvlJc w:val="left"/>
    </w:lvl>
  </w:abstractNum>
  <w:abstractNum w:abstractNumId="30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5D8E4DE6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32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4">
    <w:nsid w:val="6B502EE1"/>
    <w:multiLevelType w:val="multilevel"/>
    <w:tmpl w:val="0CB24BD4"/>
    <w:lvl w:ilvl="0">
      <w:start w:val="1"/>
      <w:numFmt w:val="decimal"/>
      <w:lvlText w:val="3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5">
    <w:nsid w:val="6DE72A23"/>
    <w:multiLevelType w:val="multilevel"/>
    <w:tmpl w:val="6DE72A23"/>
    <w:lvl w:ilvl="0">
      <w:start w:val="1"/>
      <w:numFmt w:val="chineseCounting"/>
      <w:suff w:val="space"/>
      <w:lvlText w:val="第%1条"/>
      <w:lvlJc w:val="left"/>
      <w:rPr>
        <w:rFonts w:hint="eastAsia"/>
      </w:rPr>
    </w:lvl>
    <w:lvl w:ilvl="1">
      <w:start w:val="1"/>
      <w:numFmt w:val="chineseCounting"/>
      <w:suff w:val="nothing"/>
      <w:lvlText w:val="%2、"/>
      <w:lvlJc w:val="left"/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rPr>
        <w:rFonts w:hint="eastAsia"/>
      </w:rPr>
    </w:lvl>
    <w:lvl w:ilvl="5">
      <w:start w:val="1"/>
      <w:numFmt w:val="decimalEnclosedCircleChinese"/>
      <w:suff w:val="nothing"/>
      <w:lvlText w:val="%6"/>
      <w:lvlJc w:val="left"/>
      <w:rPr>
        <w:rFonts w:hint="eastAsia"/>
      </w:rPr>
    </w:lvl>
    <w:lvl w:ilvl="6">
      <w:start w:val="1"/>
      <w:numFmt w:val="decimal"/>
      <w:suff w:val="nothing"/>
      <w:lvlText w:val="%7）"/>
      <w:lvlJc w:val="left"/>
      <w:rPr>
        <w:rFonts w:hint="eastAsia"/>
      </w:rPr>
    </w:lvl>
    <w:lvl w:ilvl="7">
      <w:start w:val="1"/>
      <w:numFmt w:val="lowerLetter"/>
      <w:suff w:val="nothing"/>
      <w:lvlText w:val="%8．"/>
      <w:lvlJc w:val="left"/>
      <w:rPr>
        <w:rFonts w:hint="eastAsia"/>
      </w:rPr>
    </w:lvl>
    <w:lvl w:ilvl="8">
      <w:start w:val="1"/>
      <w:numFmt w:val="lowerLetter"/>
      <w:suff w:val="nothing"/>
      <w:lvlText w:val="%9）"/>
      <w:lvlJc w:val="left"/>
      <w:rPr>
        <w:rFonts w:hint="eastAsia"/>
      </w:rPr>
    </w:lvl>
  </w:abstractNum>
  <w:abstractNum w:abstractNumId="36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8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6253314"/>
    <w:multiLevelType w:val="multilevel"/>
    <w:tmpl w:val="7625331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2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3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3"/>
  </w:num>
  <w:num w:numId="5">
    <w:abstractNumId w:val="42"/>
  </w:num>
  <w:num w:numId="6">
    <w:abstractNumId w:val="22"/>
  </w:num>
  <w:num w:numId="7">
    <w:abstractNumId w:val="37"/>
  </w:num>
  <w:num w:numId="8">
    <w:abstractNumId w:val="9"/>
  </w:num>
  <w:num w:numId="9">
    <w:abstractNumId w:val="38"/>
  </w:num>
  <w:num w:numId="10">
    <w:abstractNumId w:val="39"/>
  </w:num>
  <w:num w:numId="11">
    <w:abstractNumId w:val="25"/>
  </w:num>
  <w:num w:numId="12">
    <w:abstractNumId w:val="15"/>
  </w:num>
  <w:num w:numId="13">
    <w:abstractNumId w:val="1"/>
  </w:num>
  <w:num w:numId="14">
    <w:abstractNumId w:val="41"/>
  </w:num>
  <w:num w:numId="15">
    <w:abstractNumId w:val="14"/>
  </w:num>
  <w:num w:numId="16">
    <w:abstractNumId w:val="6"/>
  </w:num>
  <w:num w:numId="17">
    <w:abstractNumId w:val="33"/>
  </w:num>
  <w:num w:numId="18">
    <w:abstractNumId w:val="2"/>
  </w:num>
  <w:num w:numId="19">
    <w:abstractNumId w:val="21"/>
  </w:num>
  <w:num w:numId="20">
    <w:abstractNumId w:val="23"/>
  </w:num>
  <w:num w:numId="21">
    <w:abstractNumId w:val="13"/>
  </w:num>
  <w:num w:numId="22">
    <w:abstractNumId w:val="36"/>
  </w:num>
  <w:num w:numId="23">
    <w:abstractNumId w:val="32"/>
  </w:num>
  <w:num w:numId="24">
    <w:abstractNumId w:val="24"/>
  </w:num>
  <w:num w:numId="25">
    <w:abstractNumId w:val="4"/>
  </w:num>
  <w:num w:numId="26">
    <w:abstractNumId w:val="7"/>
  </w:num>
  <w:num w:numId="27">
    <w:abstractNumId w:val="27"/>
  </w:num>
  <w:num w:numId="28">
    <w:abstractNumId w:val="17"/>
  </w:num>
  <w:num w:numId="29">
    <w:abstractNumId w:val="12"/>
  </w:num>
  <w:num w:numId="30">
    <w:abstractNumId w:val="30"/>
  </w:num>
  <w:num w:numId="31">
    <w:abstractNumId w:val="20"/>
  </w:num>
  <w:num w:numId="32">
    <w:abstractNumId w:val="35"/>
  </w:num>
  <w:num w:numId="33">
    <w:abstractNumId w:val="29"/>
  </w:num>
  <w:num w:numId="34">
    <w:abstractNumId w:val="28"/>
  </w:num>
  <w:num w:numId="35">
    <w:abstractNumId w:val="40"/>
  </w:num>
  <w:num w:numId="36">
    <w:abstractNumId w:val="18"/>
  </w:num>
  <w:num w:numId="37">
    <w:abstractNumId w:val="0"/>
  </w:num>
  <w:num w:numId="38">
    <w:abstractNumId w:val="16"/>
  </w:num>
  <w:num w:numId="39">
    <w:abstractNumId w:val="31"/>
  </w:num>
  <w:num w:numId="40">
    <w:abstractNumId w:val="19"/>
  </w:num>
  <w:num w:numId="41">
    <w:abstractNumId w:val="10"/>
  </w:num>
  <w:num w:numId="42">
    <w:abstractNumId w:val="34"/>
  </w:num>
  <w:num w:numId="43">
    <w:abstractNumId w:val="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15A4"/>
    <w:rsid w:val="000126EE"/>
    <w:rsid w:val="00012E43"/>
    <w:rsid w:val="0001350A"/>
    <w:rsid w:val="00013ECB"/>
    <w:rsid w:val="000411FA"/>
    <w:rsid w:val="0004245E"/>
    <w:rsid w:val="00046610"/>
    <w:rsid w:val="000474D5"/>
    <w:rsid w:val="00053404"/>
    <w:rsid w:val="00061B45"/>
    <w:rsid w:val="00062533"/>
    <w:rsid w:val="00065000"/>
    <w:rsid w:val="00065EF3"/>
    <w:rsid w:val="00080E52"/>
    <w:rsid w:val="00082619"/>
    <w:rsid w:val="0008640A"/>
    <w:rsid w:val="000958C3"/>
    <w:rsid w:val="000B4593"/>
    <w:rsid w:val="000C1193"/>
    <w:rsid w:val="000C4240"/>
    <w:rsid w:val="000C7CBB"/>
    <w:rsid w:val="000E779C"/>
    <w:rsid w:val="000F32DE"/>
    <w:rsid w:val="00104E55"/>
    <w:rsid w:val="001061D8"/>
    <w:rsid w:val="0013523D"/>
    <w:rsid w:val="00140ECC"/>
    <w:rsid w:val="00142632"/>
    <w:rsid w:val="00156A9A"/>
    <w:rsid w:val="00162C46"/>
    <w:rsid w:val="0016528C"/>
    <w:rsid w:val="00171DB8"/>
    <w:rsid w:val="0017287A"/>
    <w:rsid w:val="00173A54"/>
    <w:rsid w:val="00173CFF"/>
    <w:rsid w:val="001757C2"/>
    <w:rsid w:val="001856AA"/>
    <w:rsid w:val="001965F3"/>
    <w:rsid w:val="001A45B3"/>
    <w:rsid w:val="001A7B4E"/>
    <w:rsid w:val="001B016C"/>
    <w:rsid w:val="001B03C9"/>
    <w:rsid w:val="001B2B9D"/>
    <w:rsid w:val="001B3CF7"/>
    <w:rsid w:val="001B558F"/>
    <w:rsid w:val="001C00D3"/>
    <w:rsid w:val="001C1EF7"/>
    <w:rsid w:val="001C4DA6"/>
    <w:rsid w:val="001D05E3"/>
    <w:rsid w:val="001D390C"/>
    <w:rsid w:val="001D44CD"/>
    <w:rsid w:val="001D6062"/>
    <w:rsid w:val="001D6F10"/>
    <w:rsid w:val="001E2773"/>
    <w:rsid w:val="001F280E"/>
    <w:rsid w:val="001F2AD7"/>
    <w:rsid w:val="001F51FB"/>
    <w:rsid w:val="00201EDE"/>
    <w:rsid w:val="0021326C"/>
    <w:rsid w:val="0021719C"/>
    <w:rsid w:val="00220677"/>
    <w:rsid w:val="00223D34"/>
    <w:rsid w:val="00232212"/>
    <w:rsid w:val="00235035"/>
    <w:rsid w:val="002403AF"/>
    <w:rsid w:val="00245A70"/>
    <w:rsid w:val="00245F4A"/>
    <w:rsid w:val="002500CA"/>
    <w:rsid w:val="00251637"/>
    <w:rsid w:val="0025469C"/>
    <w:rsid w:val="00255A26"/>
    <w:rsid w:val="00256FD8"/>
    <w:rsid w:val="0026553A"/>
    <w:rsid w:val="0026595A"/>
    <w:rsid w:val="00267F19"/>
    <w:rsid w:val="00270DCB"/>
    <w:rsid w:val="002716A2"/>
    <w:rsid w:val="00282CA4"/>
    <w:rsid w:val="00291E79"/>
    <w:rsid w:val="00295533"/>
    <w:rsid w:val="002968C5"/>
    <w:rsid w:val="002A2583"/>
    <w:rsid w:val="002A2D80"/>
    <w:rsid w:val="002A6FAA"/>
    <w:rsid w:val="002B1568"/>
    <w:rsid w:val="002B285F"/>
    <w:rsid w:val="002B3D1B"/>
    <w:rsid w:val="002B4565"/>
    <w:rsid w:val="002B74CF"/>
    <w:rsid w:val="002C3994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156F5"/>
    <w:rsid w:val="0032287C"/>
    <w:rsid w:val="003228F0"/>
    <w:rsid w:val="0032325D"/>
    <w:rsid w:val="00324D88"/>
    <w:rsid w:val="00326DB0"/>
    <w:rsid w:val="00331F7A"/>
    <w:rsid w:val="00350402"/>
    <w:rsid w:val="0035193A"/>
    <w:rsid w:val="00353AD2"/>
    <w:rsid w:val="0036056B"/>
    <w:rsid w:val="00365258"/>
    <w:rsid w:val="00383BD7"/>
    <w:rsid w:val="003947CA"/>
    <w:rsid w:val="00395C29"/>
    <w:rsid w:val="003A3DDD"/>
    <w:rsid w:val="003A3ECC"/>
    <w:rsid w:val="003A4E99"/>
    <w:rsid w:val="003A5F03"/>
    <w:rsid w:val="003C01CE"/>
    <w:rsid w:val="003D622F"/>
    <w:rsid w:val="003E6448"/>
    <w:rsid w:val="003E71F1"/>
    <w:rsid w:val="003E7C55"/>
    <w:rsid w:val="003F7823"/>
    <w:rsid w:val="004013F9"/>
    <w:rsid w:val="00416E74"/>
    <w:rsid w:val="0041775F"/>
    <w:rsid w:val="00417FCE"/>
    <w:rsid w:val="00422F3A"/>
    <w:rsid w:val="00423661"/>
    <w:rsid w:val="004242D7"/>
    <w:rsid w:val="00424B62"/>
    <w:rsid w:val="00431222"/>
    <w:rsid w:val="00432BDD"/>
    <w:rsid w:val="004513A9"/>
    <w:rsid w:val="00452A23"/>
    <w:rsid w:val="00457386"/>
    <w:rsid w:val="004615EA"/>
    <w:rsid w:val="0046349C"/>
    <w:rsid w:val="004635A4"/>
    <w:rsid w:val="004660A1"/>
    <w:rsid w:val="004700ED"/>
    <w:rsid w:val="00472760"/>
    <w:rsid w:val="004812FB"/>
    <w:rsid w:val="00481E41"/>
    <w:rsid w:val="004913CC"/>
    <w:rsid w:val="004964CF"/>
    <w:rsid w:val="0049796E"/>
    <w:rsid w:val="004A1870"/>
    <w:rsid w:val="004A4A2A"/>
    <w:rsid w:val="004A58E9"/>
    <w:rsid w:val="004A6895"/>
    <w:rsid w:val="004A68C6"/>
    <w:rsid w:val="004B152C"/>
    <w:rsid w:val="004B1BA8"/>
    <w:rsid w:val="004B267C"/>
    <w:rsid w:val="004B5FD2"/>
    <w:rsid w:val="004B7125"/>
    <w:rsid w:val="004C229E"/>
    <w:rsid w:val="004E3E4F"/>
    <w:rsid w:val="004E7644"/>
    <w:rsid w:val="004F20EA"/>
    <w:rsid w:val="005024FA"/>
    <w:rsid w:val="00502FB3"/>
    <w:rsid w:val="0050603C"/>
    <w:rsid w:val="00506259"/>
    <w:rsid w:val="00507FB7"/>
    <w:rsid w:val="0051510D"/>
    <w:rsid w:val="00522E2D"/>
    <w:rsid w:val="00527239"/>
    <w:rsid w:val="00541449"/>
    <w:rsid w:val="0054260F"/>
    <w:rsid w:val="005456AB"/>
    <w:rsid w:val="005463A1"/>
    <w:rsid w:val="00550F58"/>
    <w:rsid w:val="00554B41"/>
    <w:rsid w:val="00555137"/>
    <w:rsid w:val="0056233E"/>
    <w:rsid w:val="0056235B"/>
    <w:rsid w:val="005709B1"/>
    <w:rsid w:val="00583512"/>
    <w:rsid w:val="00584A8A"/>
    <w:rsid w:val="005856D6"/>
    <w:rsid w:val="005B3AE5"/>
    <w:rsid w:val="005B5F52"/>
    <w:rsid w:val="005C2785"/>
    <w:rsid w:val="005C72B1"/>
    <w:rsid w:val="005D06B7"/>
    <w:rsid w:val="005D74A3"/>
    <w:rsid w:val="005E2D1B"/>
    <w:rsid w:val="005E354B"/>
    <w:rsid w:val="005E3E85"/>
    <w:rsid w:val="005E4C1B"/>
    <w:rsid w:val="005E7F25"/>
    <w:rsid w:val="00617661"/>
    <w:rsid w:val="006226B4"/>
    <w:rsid w:val="0062460F"/>
    <w:rsid w:val="00624EF4"/>
    <w:rsid w:val="006254C1"/>
    <w:rsid w:val="00633271"/>
    <w:rsid w:val="00643FB3"/>
    <w:rsid w:val="006445CC"/>
    <w:rsid w:val="0065340C"/>
    <w:rsid w:val="00653882"/>
    <w:rsid w:val="00656CD2"/>
    <w:rsid w:val="00664BD0"/>
    <w:rsid w:val="006653C9"/>
    <w:rsid w:val="00667F50"/>
    <w:rsid w:val="006772AA"/>
    <w:rsid w:val="006774D8"/>
    <w:rsid w:val="006860CB"/>
    <w:rsid w:val="00686364"/>
    <w:rsid w:val="00697F26"/>
    <w:rsid w:val="006A6C07"/>
    <w:rsid w:val="006B686D"/>
    <w:rsid w:val="006D154F"/>
    <w:rsid w:val="006D1DF3"/>
    <w:rsid w:val="006E376C"/>
    <w:rsid w:val="006E57AA"/>
    <w:rsid w:val="006E6650"/>
    <w:rsid w:val="006F3503"/>
    <w:rsid w:val="006F654F"/>
    <w:rsid w:val="0070426F"/>
    <w:rsid w:val="00707A7F"/>
    <w:rsid w:val="00707A98"/>
    <w:rsid w:val="00711DD1"/>
    <w:rsid w:val="00713D79"/>
    <w:rsid w:val="007144DE"/>
    <w:rsid w:val="0072689F"/>
    <w:rsid w:val="00734E7F"/>
    <w:rsid w:val="00736BD1"/>
    <w:rsid w:val="007372D9"/>
    <w:rsid w:val="007404F8"/>
    <w:rsid w:val="00740DE2"/>
    <w:rsid w:val="007548F0"/>
    <w:rsid w:val="007721E8"/>
    <w:rsid w:val="00781EB8"/>
    <w:rsid w:val="00782E7A"/>
    <w:rsid w:val="0078328E"/>
    <w:rsid w:val="00786786"/>
    <w:rsid w:val="007A29C3"/>
    <w:rsid w:val="007A2B10"/>
    <w:rsid w:val="007A39FD"/>
    <w:rsid w:val="007A670D"/>
    <w:rsid w:val="007A7FC8"/>
    <w:rsid w:val="007B6F49"/>
    <w:rsid w:val="007C07D5"/>
    <w:rsid w:val="007C2DFD"/>
    <w:rsid w:val="007C2F0A"/>
    <w:rsid w:val="007C6856"/>
    <w:rsid w:val="007D253C"/>
    <w:rsid w:val="007D6FB1"/>
    <w:rsid w:val="007E1CDC"/>
    <w:rsid w:val="007E4C84"/>
    <w:rsid w:val="007E7417"/>
    <w:rsid w:val="007F1FC5"/>
    <w:rsid w:val="007F628C"/>
    <w:rsid w:val="007F77E2"/>
    <w:rsid w:val="00816FC4"/>
    <w:rsid w:val="008209B5"/>
    <w:rsid w:val="0082413F"/>
    <w:rsid w:val="00827108"/>
    <w:rsid w:val="00827F5D"/>
    <w:rsid w:val="00833D40"/>
    <w:rsid w:val="00841DFF"/>
    <w:rsid w:val="00843648"/>
    <w:rsid w:val="00855A17"/>
    <w:rsid w:val="008606E3"/>
    <w:rsid w:val="00862041"/>
    <w:rsid w:val="00863AB6"/>
    <w:rsid w:val="00865166"/>
    <w:rsid w:val="00874C22"/>
    <w:rsid w:val="00880328"/>
    <w:rsid w:val="008818F1"/>
    <w:rsid w:val="00883EEB"/>
    <w:rsid w:val="008915A0"/>
    <w:rsid w:val="00897842"/>
    <w:rsid w:val="008A2430"/>
    <w:rsid w:val="008B26C0"/>
    <w:rsid w:val="008B49D9"/>
    <w:rsid w:val="008C0141"/>
    <w:rsid w:val="008C0D46"/>
    <w:rsid w:val="008C663C"/>
    <w:rsid w:val="008D5FEA"/>
    <w:rsid w:val="008D6590"/>
    <w:rsid w:val="008F3CEA"/>
    <w:rsid w:val="008F4371"/>
    <w:rsid w:val="008F563E"/>
    <w:rsid w:val="008F7600"/>
    <w:rsid w:val="00901BBB"/>
    <w:rsid w:val="00904251"/>
    <w:rsid w:val="009109A3"/>
    <w:rsid w:val="00911D89"/>
    <w:rsid w:val="00923A9F"/>
    <w:rsid w:val="00933965"/>
    <w:rsid w:val="009371E5"/>
    <w:rsid w:val="009529C3"/>
    <w:rsid w:val="00957594"/>
    <w:rsid w:val="00957611"/>
    <w:rsid w:val="0096137D"/>
    <w:rsid w:val="00964E14"/>
    <w:rsid w:val="00966A8F"/>
    <w:rsid w:val="00971DE0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C21A1"/>
    <w:rsid w:val="009D0C97"/>
    <w:rsid w:val="009D2EF7"/>
    <w:rsid w:val="009D670D"/>
    <w:rsid w:val="009D7974"/>
    <w:rsid w:val="009E0D17"/>
    <w:rsid w:val="009E2B52"/>
    <w:rsid w:val="009E317E"/>
    <w:rsid w:val="009E47E4"/>
    <w:rsid w:val="009E7B1B"/>
    <w:rsid w:val="009F348A"/>
    <w:rsid w:val="009F4E8A"/>
    <w:rsid w:val="009F5B90"/>
    <w:rsid w:val="00A01B6B"/>
    <w:rsid w:val="00A10217"/>
    <w:rsid w:val="00A1212E"/>
    <w:rsid w:val="00A24B4C"/>
    <w:rsid w:val="00A30727"/>
    <w:rsid w:val="00A369F0"/>
    <w:rsid w:val="00A36D50"/>
    <w:rsid w:val="00A536F1"/>
    <w:rsid w:val="00A553B3"/>
    <w:rsid w:val="00A63B0A"/>
    <w:rsid w:val="00A63D84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3097"/>
    <w:rsid w:val="00AB55FF"/>
    <w:rsid w:val="00AB688D"/>
    <w:rsid w:val="00AC4B35"/>
    <w:rsid w:val="00AC5C20"/>
    <w:rsid w:val="00AC6ABC"/>
    <w:rsid w:val="00AD138E"/>
    <w:rsid w:val="00AD56B7"/>
    <w:rsid w:val="00AE010B"/>
    <w:rsid w:val="00AE2331"/>
    <w:rsid w:val="00AE3FD2"/>
    <w:rsid w:val="00AE5ECC"/>
    <w:rsid w:val="00AE7E99"/>
    <w:rsid w:val="00B00041"/>
    <w:rsid w:val="00B00AE6"/>
    <w:rsid w:val="00B12C14"/>
    <w:rsid w:val="00B22543"/>
    <w:rsid w:val="00B24E09"/>
    <w:rsid w:val="00B26970"/>
    <w:rsid w:val="00B276FF"/>
    <w:rsid w:val="00B27841"/>
    <w:rsid w:val="00B30494"/>
    <w:rsid w:val="00B36A20"/>
    <w:rsid w:val="00B36E4F"/>
    <w:rsid w:val="00B50460"/>
    <w:rsid w:val="00B55645"/>
    <w:rsid w:val="00B93F55"/>
    <w:rsid w:val="00B9587F"/>
    <w:rsid w:val="00B97DA7"/>
    <w:rsid w:val="00BA233C"/>
    <w:rsid w:val="00BA5172"/>
    <w:rsid w:val="00BA6309"/>
    <w:rsid w:val="00BA7A52"/>
    <w:rsid w:val="00BB0918"/>
    <w:rsid w:val="00BC0E1D"/>
    <w:rsid w:val="00BD5068"/>
    <w:rsid w:val="00BD510A"/>
    <w:rsid w:val="00BE0434"/>
    <w:rsid w:val="00BE2001"/>
    <w:rsid w:val="00BE5A8B"/>
    <w:rsid w:val="00BF4937"/>
    <w:rsid w:val="00BF4E89"/>
    <w:rsid w:val="00C000A4"/>
    <w:rsid w:val="00C00175"/>
    <w:rsid w:val="00C02945"/>
    <w:rsid w:val="00C02C82"/>
    <w:rsid w:val="00C16C5F"/>
    <w:rsid w:val="00C20A68"/>
    <w:rsid w:val="00C33367"/>
    <w:rsid w:val="00C35243"/>
    <w:rsid w:val="00C4340D"/>
    <w:rsid w:val="00C51422"/>
    <w:rsid w:val="00C554BE"/>
    <w:rsid w:val="00C574D4"/>
    <w:rsid w:val="00C60CD9"/>
    <w:rsid w:val="00C63723"/>
    <w:rsid w:val="00C703FE"/>
    <w:rsid w:val="00C76073"/>
    <w:rsid w:val="00C91171"/>
    <w:rsid w:val="00CA3980"/>
    <w:rsid w:val="00CA6DF3"/>
    <w:rsid w:val="00CB1B8D"/>
    <w:rsid w:val="00CC0CED"/>
    <w:rsid w:val="00CC288A"/>
    <w:rsid w:val="00CD004C"/>
    <w:rsid w:val="00CD1BFB"/>
    <w:rsid w:val="00CD33C4"/>
    <w:rsid w:val="00CE1D0F"/>
    <w:rsid w:val="00CE24FE"/>
    <w:rsid w:val="00CE34AD"/>
    <w:rsid w:val="00CF64E1"/>
    <w:rsid w:val="00CF7F85"/>
    <w:rsid w:val="00D109C5"/>
    <w:rsid w:val="00D200C7"/>
    <w:rsid w:val="00D23751"/>
    <w:rsid w:val="00D44A2C"/>
    <w:rsid w:val="00D57ABA"/>
    <w:rsid w:val="00D65685"/>
    <w:rsid w:val="00D669C3"/>
    <w:rsid w:val="00D67EA9"/>
    <w:rsid w:val="00D709A6"/>
    <w:rsid w:val="00D70C2C"/>
    <w:rsid w:val="00D74F33"/>
    <w:rsid w:val="00D90E22"/>
    <w:rsid w:val="00D932B1"/>
    <w:rsid w:val="00DA5AC7"/>
    <w:rsid w:val="00DB01C0"/>
    <w:rsid w:val="00DB6F9B"/>
    <w:rsid w:val="00DB7B74"/>
    <w:rsid w:val="00DC075C"/>
    <w:rsid w:val="00DC59D5"/>
    <w:rsid w:val="00E01B38"/>
    <w:rsid w:val="00E05537"/>
    <w:rsid w:val="00E057CB"/>
    <w:rsid w:val="00E11E68"/>
    <w:rsid w:val="00E20A0C"/>
    <w:rsid w:val="00E20E5A"/>
    <w:rsid w:val="00E22722"/>
    <w:rsid w:val="00E2282E"/>
    <w:rsid w:val="00E2419A"/>
    <w:rsid w:val="00E46E80"/>
    <w:rsid w:val="00E53096"/>
    <w:rsid w:val="00E55F71"/>
    <w:rsid w:val="00E57467"/>
    <w:rsid w:val="00E57A1A"/>
    <w:rsid w:val="00E8309B"/>
    <w:rsid w:val="00E85A3B"/>
    <w:rsid w:val="00E9172C"/>
    <w:rsid w:val="00E949C7"/>
    <w:rsid w:val="00E9509D"/>
    <w:rsid w:val="00E97152"/>
    <w:rsid w:val="00EA4A0A"/>
    <w:rsid w:val="00EC1292"/>
    <w:rsid w:val="00EC19F4"/>
    <w:rsid w:val="00EC4392"/>
    <w:rsid w:val="00EC7931"/>
    <w:rsid w:val="00ED3594"/>
    <w:rsid w:val="00ED7BEC"/>
    <w:rsid w:val="00EE0463"/>
    <w:rsid w:val="00EE274D"/>
    <w:rsid w:val="00EE2E5D"/>
    <w:rsid w:val="00EF1A5F"/>
    <w:rsid w:val="00EF4859"/>
    <w:rsid w:val="00EF6ACB"/>
    <w:rsid w:val="00F24457"/>
    <w:rsid w:val="00F268F7"/>
    <w:rsid w:val="00F31D02"/>
    <w:rsid w:val="00F32FE5"/>
    <w:rsid w:val="00F33A9A"/>
    <w:rsid w:val="00F45272"/>
    <w:rsid w:val="00F459C7"/>
    <w:rsid w:val="00F50C4B"/>
    <w:rsid w:val="00F52CF0"/>
    <w:rsid w:val="00F60E0D"/>
    <w:rsid w:val="00F61E2F"/>
    <w:rsid w:val="00F63E47"/>
    <w:rsid w:val="00F64D1D"/>
    <w:rsid w:val="00F73195"/>
    <w:rsid w:val="00F75CE8"/>
    <w:rsid w:val="00F77BEC"/>
    <w:rsid w:val="00F849DE"/>
    <w:rsid w:val="00F9156E"/>
    <w:rsid w:val="00F94B5F"/>
    <w:rsid w:val="00FA42FD"/>
    <w:rsid w:val="00FA4C5E"/>
    <w:rsid w:val="00FB213D"/>
    <w:rsid w:val="00FB5F43"/>
    <w:rsid w:val="00FB73E9"/>
    <w:rsid w:val="00FC5D41"/>
    <w:rsid w:val="00FC62D7"/>
    <w:rsid w:val="00FD1294"/>
    <w:rsid w:val="00FE6CED"/>
    <w:rsid w:val="00FE765E"/>
    <w:rsid w:val="00FF0064"/>
    <w:rsid w:val="00FF629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B5FD2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a">
    <w:name w:val="annotation text"/>
    <w:basedOn w:val="a"/>
    <w:link w:val="Char3"/>
    <w:autoRedefine/>
    <w:uiPriority w:val="99"/>
    <w:unhideWhenUsed/>
    <w:qFormat/>
    <w:rsid w:val="005456A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批注文字 Char"/>
    <w:basedOn w:val="a0"/>
    <w:link w:val="aa"/>
    <w:uiPriority w:val="99"/>
    <w:qFormat/>
    <w:rsid w:val="005456AB"/>
  </w:style>
  <w:style w:type="paragraph" w:styleId="ab">
    <w:name w:val="Balloon Text"/>
    <w:basedOn w:val="a"/>
    <w:link w:val="Char4"/>
    <w:uiPriority w:val="99"/>
    <w:semiHidden/>
    <w:unhideWhenUsed/>
    <w:rsid w:val="005456A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5456AB"/>
    <w:rPr>
      <w:rFonts w:ascii="宋体" w:eastAsia="宋体" w:hAnsi="宋体" w:cs="Times New Roman"/>
      <w:sz w:val="18"/>
      <w:szCs w:val="18"/>
    </w:rPr>
  </w:style>
  <w:style w:type="character" w:styleId="ac">
    <w:name w:val="Hyperlink"/>
    <w:autoRedefine/>
    <w:uiPriority w:val="99"/>
    <w:unhideWhenUsed/>
    <w:qFormat/>
    <w:rsid w:val="00D57ABA"/>
    <w:rPr>
      <w:color w:val="0563C1"/>
      <w:u w:val="single"/>
    </w:rPr>
  </w:style>
  <w:style w:type="table" w:customStyle="1" w:styleId="10">
    <w:name w:val="网格型1"/>
    <w:basedOn w:val="a1"/>
    <w:next w:val="a7"/>
    <w:qFormat/>
    <w:rsid w:val="00270DCB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7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8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400</cp:revision>
  <cp:lastPrinted>2025-01-02T00:05:00Z</cp:lastPrinted>
  <dcterms:created xsi:type="dcterms:W3CDTF">2017-04-28T02:34:00Z</dcterms:created>
  <dcterms:modified xsi:type="dcterms:W3CDTF">2025-07-21T07:36:00Z</dcterms:modified>
</cp:coreProperties>
</file>