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AF" w:rsidRPr="007026C4" w:rsidRDefault="005769AF" w:rsidP="00300941">
      <w:pPr>
        <w:adjustRightInd w:val="0"/>
        <w:snapToGrid w:val="0"/>
        <w:spacing w:line="360" w:lineRule="auto"/>
        <w:jc w:val="center"/>
        <w:rPr>
          <w:rFonts w:ascii="宋体" w:hAnsi="宋体"/>
          <w:bCs/>
          <w:sz w:val="24"/>
        </w:rPr>
      </w:pPr>
      <w:r w:rsidRPr="00F879D8">
        <w:rPr>
          <w:rFonts w:ascii="宋体" w:hAnsi="宋体" w:hint="eastAsia"/>
          <w:kern w:val="0"/>
          <w:sz w:val="24"/>
        </w:rPr>
        <w:t>证券</w:t>
      </w:r>
      <w:r w:rsidRPr="00F879D8">
        <w:rPr>
          <w:rFonts w:ascii="宋体" w:hAnsi="宋体" w:hint="eastAsia"/>
          <w:bCs/>
          <w:sz w:val="24"/>
        </w:rPr>
        <w:t xml:space="preserve">代码：000936         证券简称：华西股份      </w:t>
      </w:r>
      <w:r w:rsidRPr="007026C4">
        <w:rPr>
          <w:rFonts w:ascii="宋体" w:hAnsi="宋体" w:hint="eastAsia"/>
          <w:bCs/>
          <w:sz w:val="24"/>
        </w:rPr>
        <w:t xml:space="preserve"> 公告编号：20</w:t>
      </w:r>
      <w:r w:rsidR="00CC45A9" w:rsidRPr="007026C4">
        <w:rPr>
          <w:rFonts w:ascii="宋体" w:hAnsi="宋体" w:hint="eastAsia"/>
          <w:bCs/>
          <w:sz w:val="24"/>
        </w:rPr>
        <w:t>2</w:t>
      </w:r>
      <w:r w:rsidR="00376F28" w:rsidRPr="007026C4">
        <w:rPr>
          <w:rFonts w:ascii="宋体" w:hAnsi="宋体" w:hint="eastAsia"/>
          <w:bCs/>
          <w:sz w:val="24"/>
        </w:rPr>
        <w:t>5</w:t>
      </w:r>
      <w:r w:rsidRPr="007026C4">
        <w:rPr>
          <w:rFonts w:ascii="宋体" w:hAnsi="宋体" w:hint="eastAsia"/>
          <w:bCs/>
          <w:sz w:val="24"/>
        </w:rPr>
        <w:t>-</w:t>
      </w:r>
      <w:r w:rsidR="00A92189" w:rsidRPr="007026C4">
        <w:rPr>
          <w:rFonts w:ascii="宋体" w:hAnsi="宋体" w:hint="eastAsia"/>
          <w:bCs/>
          <w:sz w:val="24"/>
        </w:rPr>
        <w:t>0</w:t>
      </w:r>
      <w:r w:rsidR="007038D9" w:rsidRPr="007026C4">
        <w:rPr>
          <w:rFonts w:ascii="宋体" w:hAnsi="宋体" w:hint="eastAsia"/>
          <w:bCs/>
          <w:sz w:val="24"/>
        </w:rPr>
        <w:t>30</w:t>
      </w:r>
    </w:p>
    <w:p w:rsidR="005769AF" w:rsidRPr="007026C4" w:rsidRDefault="005769AF" w:rsidP="00300941">
      <w:pPr>
        <w:adjustRightInd w:val="0"/>
        <w:snapToGrid w:val="0"/>
        <w:spacing w:line="360" w:lineRule="auto"/>
      </w:pPr>
    </w:p>
    <w:p w:rsidR="005769AF" w:rsidRPr="00435F80" w:rsidRDefault="005769AF" w:rsidP="005769AF">
      <w:pPr>
        <w:adjustRightInd w:val="0"/>
        <w:snapToGrid w:val="0"/>
        <w:spacing w:line="360" w:lineRule="auto"/>
        <w:jc w:val="center"/>
        <w:rPr>
          <w:rFonts w:ascii="黑体" w:eastAsia="黑体" w:hAnsi="宋体"/>
          <w:b/>
          <w:sz w:val="30"/>
          <w:szCs w:val="30"/>
        </w:rPr>
      </w:pPr>
      <w:r w:rsidRPr="00435F80">
        <w:rPr>
          <w:rFonts w:ascii="黑体" w:eastAsia="黑体" w:hAnsi="宋体" w:hint="eastAsia"/>
          <w:b/>
          <w:sz w:val="30"/>
          <w:szCs w:val="30"/>
        </w:rPr>
        <w:t>江苏华西村股份有限公司</w:t>
      </w:r>
    </w:p>
    <w:p w:rsidR="005769AF" w:rsidRPr="00435F80" w:rsidRDefault="005769AF" w:rsidP="00FF6017">
      <w:pPr>
        <w:adjustRightInd w:val="0"/>
        <w:snapToGrid w:val="0"/>
        <w:spacing w:line="360" w:lineRule="auto"/>
        <w:jc w:val="center"/>
        <w:rPr>
          <w:rFonts w:ascii="黑体" w:eastAsia="黑体" w:hAnsi="宋体"/>
          <w:b/>
          <w:sz w:val="30"/>
          <w:szCs w:val="30"/>
        </w:rPr>
      </w:pPr>
      <w:r w:rsidRPr="00435F80">
        <w:rPr>
          <w:rFonts w:ascii="黑体" w:eastAsia="黑体" w:hAnsi="宋体" w:hint="eastAsia"/>
          <w:b/>
          <w:sz w:val="30"/>
          <w:szCs w:val="30"/>
        </w:rPr>
        <w:t>关于</w:t>
      </w:r>
      <w:r w:rsidR="00744BAC" w:rsidRPr="00435F80">
        <w:rPr>
          <w:rFonts w:ascii="黑体" w:eastAsia="黑体" w:hAnsi="宋体" w:hint="eastAsia"/>
          <w:b/>
          <w:sz w:val="30"/>
          <w:szCs w:val="30"/>
        </w:rPr>
        <w:t>转让参股公司</w:t>
      </w:r>
      <w:r w:rsidR="0028570E" w:rsidRPr="00435F80">
        <w:rPr>
          <w:rFonts w:ascii="黑体" w:eastAsia="黑体" w:hAnsi="宋体" w:hint="eastAsia"/>
          <w:b/>
          <w:sz w:val="30"/>
          <w:szCs w:val="30"/>
        </w:rPr>
        <w:t>股份</w:t>
      </w:r>
      <w:r w:rsidR="00E65FD0" w:rsidRPr="00435F80">
        <w:rPr>
          <w:rFonts w:ascii="黑体" w:eastAsia="黑体" w:hAnsi="宋体" w:hint="eastAsia"/>
          <w:b/>
          <w:sz w:val="30"/>
          <w:szCs w:val="30"/>
        </w:rPr>
        <w:t>的</w:t>
      </w:r>
      <w:r w:rsidRPr="00435F80">
        <w:rPr>
          <w:rFonts w:ascii="黑体" w:eastAsia="黑体" w:hAnsi="宋体" w:hint="eastAsia"/>
          <w:b/>
          <w:sz w:val="30"/>
          <w:szCs w:val="30"/>
        </w:rPr>
        <w:t>公告</w:t>
      </w:r>
    </w:p>
    <w:p w:rsidR="005769AF" w:rsidRPr="00EC7638" w:rsidRDefault="005769AF" w:rsidP="005769AF">
      <w:pPr>
        <w:adjustRightInd w:val="0"/>
        <w:snapToGrid w:val="0"/>
        <w:spacing w:line="360" w:lineRule="auto"/>
        <w:jc w:val="center"/>
        <w:rPr>
          <w:rFonts w:ascii="黑体" w:eastAsia="黑体" w:hAnsi="宋体"/>
          <w:b/>
          <w:sz w:val="32"/>
          <w:szCs w:val="32"/>
        </w:rPr>
      </w:pPr>
    </w:p>
    <w:p w:rsidR="005769AF" w:rsidRDefault="005769AF" w:rsidP="005769AF">
      <w:pPr>
        <w:adjustRightInd w:val="0"/>
        <w:snapToGrid w:val="0"/>
        <w:spacing w:line="360" w:lineRule="auto"/>
        <w:ind w:firstLineChars="192" w:firstLine="461"/>
        <w:rPr>
          <w:rFonts w:ascii="宋体"/>
          <w:sz w:val="24"/>
        </w:rPr>
      </w:pPr>
      <w:r w:rsidRPr="00CE0C61">
        <w:rPr>
          <w:rFonts w:ascii="宋体"/>
          <w:sz w:val="24"/>
        </w:rPr>
        <w:t>本公司及董事会全体成员保证信息披露内容的真实、准确和完整，没有虚假记载、误导性陈述或重大遗漏。</w:t>
      </w:r>
      <w:r w:rsidRPr="00CE0C61">
        <w:rPr>
          <w:rFonts w:ascii="宋体"/>
          <w:sz w:val="24"/>
        </w:rPr>
        <w:t> </w:t>
      </w:r>
    </w:p>
    <w:p w:rsidR="00BB74AA" w:rsidRPr="00744BAC" w:rsidRDefault="00BB74AA" w:rsidP="00BB74AA">
      <w:pPr>
        <w:autoSpaceDE w:val="0"/>
        <w:autoSpaceDN w:val="0"/>
        <w:adjustRightInd w:val="0"/>
        <w:spacing w:line="360" w:lineRule="auto"/>
        <w:jc w:val="center"/>
        <w:rPr>
          <w:rFonts w:ascii="宋体" w:hAnsi="宋体"/>
          <w:color w:val="FF0000"/>
          <w:sz w:val="24"/>
        </w:rPr>
      </w:pPr>
    </w:p>
    <w:p w:rsidR="0090417A" w:rsidRPr="0090417A" w:rsidRDefault="00CF0937" w:rsidP="0090417A">
      <w:pPr>
        <w:tabs>
          <w:tab w:val="num" w:pos="900"/>
        </w:tabs>
        <w:snapToGrid w:val="0"/>
        <w:spacing w:line="360" w:lineRule="auto"/>
        <w:ind w:firstLineChars="200" w:firstLine="482"/>
        <w:rPr>
          <w:rFonts w:ascii="宋体" w:hAnsi="宋体" w:cs="宋体"/>
          <w:b/>
          <w:kern w:val="0"/>
          <w:sz w:val="24"/>
        </w:rPr>
      </w:pPr>
      <w:r w:rsidRPr="0090417A">
        <w:rPr>
          <w:rFonts w:ascii="宋体" w:hAnsi="宋体" w:cs="宋体" w:hint="eastAsia"/>
          <w:b/>
          <w:kern w:val="0"/>
          <w:sz w:val="24"/>
        </w:rPr>
        <w:t>特别提示：</w:t>
      </w:r>
    </w:p>
    <w:p w:rsidR="002A4C64" w:rsidRPr="007038D9" w:rsidRDefault="0090417A" w:rsidP="006E7076">
      <w:pPr>
        <w:tabs>
          <w:tab w:val="num" w:pos="900"/>
        </w:tabs>
        <w:adjustRightInd w:val="0"/>
        <w:snapToGrid w:val="0"/>
        <w:spacing w:line="360" w:lineRule="auto"/>
        <w:ind w:firstLineChars="200" w:firstLine="480"/>
        <w:rPr>
          <w:rFonts w:ascii="宋体" w:hAnsi="宋体"/>
          <w:sz w:val="24"/>
        </w:rPr>
      </w:pPr>
      <w:r w:rsidRPr="005F3749">
        <w:rPr>
          <w:rStyle w:val="fontstyle01"/>
          <w:rFonts w:hint="default"/>
          <w:color w:val="auto"/>
        </w:rPr>
        <w:t>本次交易</w:t>
      </w:r>
      <w:r w:rsidRPr="005F3749">
        <w:rPr>
          <w:rFonts w:ascii="宋体" w:hAnsi="宋体"/>
          <w:sz w:val="24"/>
        </w:rPr>
        <w:t>需要履行必要的内外部相关决策、审批程序，存在未能通过该等决策、审批程序</w:t>
      </w:r>
      <w:r w:rsidR="005F3749" w:rsidRPr="005F3749">
        <w:rPr>
          <w:rFonts w:ascii="宋体" w:hAnsi="宋体"/>
          <w:sz w:val="24"/>
        </w:rPr>
        <w:t>的</w:t>
      </w:r>
      <w:r w:rsidR="002D2659">
        <w:rPr>
          <w:rFonts w:ascii="宋体" w:hAnsi="宋体"/>
          <w:sz w:val="24"/>
        </w:rPr>
        <w:t>风险。</w:t>
      </w:r>
      <w:r w:rsidR="002D2659" w:rsidRPr="007038D9">
        <w:rPr>
          <w:rFonts w:ascii="宋体" w:hAnsi="宋体" w:hint="eastAsia"/>
          <w:sz w:val="24"/>
        </w:rPr>
        <w:t>具体请关注本公告中</w:t>
      </w:r>
      <w:r w:rsidR="00F56866">
        <w:rPr>
          <w:rFonts w:ascii="宋体" w:hAnsi="宋体" w:hint="eastAsia"/>
          <w:sz w:val="24"/>
        </w:rPr>
        <w:t>“交割条件”、</w:t>
      </w:r>
      <w:r w:rsidR="002D2659" w:rsidRPr="007038D9">
        <w:rPr>
          <w:rFonts w:ascii="宋体" w:hAnsi="宋体" w:hint="eastAsia"/>
          <w:sz w:val="24"/>
        </w:rPr>
        <w:t>“协议的生效</w:t>
      </w:r>
      <w:r w:rsidR="00B76F86">
        <w:rPr>
          <w:rFonts w:ascii="宋体" w:hAnsi="宋体" w:hint="eastAsia"/>
          <w:sz w:val="24"/>
        </w:rPr>
        <w:t>与终止</w:t>
      </w:r>
      <w:r w:rsidR="002D2659" w:rsidRPr="007038D9">
        <w:rPr>
          <w:rFonts w:ascii="宋体" w:hAnsi="宋体" w:hint="eastAsia"/>
          <w:sz w:val="24"/>
        </w:rPr>
        <w:t>”等相关内容。</w:t>
      </w:r>
    </w:p>
    <w:p w:rsidR="00CF64EA" w:rsidRDefault="00CF64EA" w:rsidP="00CF64EA">
      <w:pPr>
        <w:tabs>
          <w:tab w:val="num" w:pos="900"/>
        </w:tabs>
        <w:snapToGrid w:val="0"/>
        <w:spacing w:line="360" w:lineRule="auto"/>
        <w:ind w:firstLineChars="200" w:firstLine="480"/>
        <w:rPr>
          <w:rFonts w:ascii="宋体" w:hAnsi="宋体"/>
          <w:sz w:val="24"/>
        </w:rPr>
      </w:pPr>
      <w:r>
        <w:rPr>
          <w:rFonts w:ascii="宋体" w:hAnsi="宋体" w:hint="eastAsia"/>
          <w:sz w:val="24"/>
        </w:rPr>
        <w:t>虽然交易各方就本次交易方案进行了充分沟通并达成一致，但</w:t>
      </w:r>
      <w:proofErr w:type="gramStart"/>
      <w:r>
        <w:rPr>
          <w:rFonts w:ascii="宋体" w:hAnsi="宋体" w:hint="eastAsia"/>
          <w:sz w:val="24"/>
        </w:rPr>
        <w:t>若各方</w:t>
      </w:r>
      <w:proofErr w:type="gramEnd"/>
      <w:r>
        <w:rPr>
          <w:rFonts w:ascii="宋体" w:hAnsi="宋体" w:hint="eastAsia"/>
          <w:sz w:val="24"/>
        </w:rPr>
        <w:t>未能按照协议约定及时履行相应的义务，将可能带来</w:t>
      </w:r>
      <w:r w:rsidR="0026438E">
        <w:rPr>
          <w:rFonts w:ascii="宋体" w:hAnsi="宋体" w:hint="eastAsia"/>
          <w:sz w:val="24"/>
        </w:rPr>
        <w:t>本次</w:t>
      </w:r>
      <w:r>
        <w:rPr>
          <w:rFonts w:ascii="宋体" w:hAnsi="宋体" w:hint="eastAsia"/>
          <w:sz w:val="24"/>
        </w:rPr>
        <w:t>交</w:t>
      </w:r>
      <w:r w:rsidR="0026438E">
        <w:rPr>
          <w:rFonts w:ascii="宋体" w:hAnsi="宋体" w:hint="eastAsia"/>
          <w:sz w:val="24"/>
        </w:rPr>
        <w:t>易</w:t>
      </w:r>
      <w:r>
        <w:rPr>
          <w:rFonts w:ascii="宋体" w:hAnsi="宋体" w:hint="eastAsia"/>
          <w:sz w:val="24"/>
        </w:rPr>
        <w:t>无法顺利实施的风险。</w:t>
      </w:r>
    </w:p>
    <w:p w:rsidR="0090417A" w:rsidRDefault="0090417A" w:rsidP="006E7076">
      <w:pPr>
        <w:adjustRightInd w:val="0"/>
        <w:snapToGrid w:val="0"/>
        <w:spacing w:line="360" w:lineRule="auto"/>
        <w:ind w:firstLineChars="200" w:firstLine="480"/>
        <w:rPr>
          <w:rFonts w:ascii="宋体" w:hAnsi="宋体"/>
          <w:sz w:val="24"/>
        </w:rPr>
      </w:pPr>
      <w:r w:rsidRPr="00E34148">
        <w:rPr>
          <w:rFonts w:ascii="宋体" w:hAnsi="宋体"/>
          <w:sz w:val="24"/>
        </w:rPr>
        <w:t>公司将按照相关法律法规要求及时履行信息披露义务。</w:t>
      </w:r>
      <w:r w:rsidRPr="0016125E">
        <w:rPr>
          <w:rFonts w:ascii="宋体" w:hAnsi="宋体"/>
          <w:sz w:val="24"/>
        </w:rPr>
        <w:t>敬请投资者关注公司后续相关公告并注意投资风险。</w:t>
      </w:r>
    </w:p>
    <w:p w:rsidR="00665A97" w:rsidRDefault="00665A97" w:rsidP="006E7076">
      <w:pPr>
        <w:adjustRightInd w:val="0"/>
        <w:snapToGrid w:val="0"/>
        <w:spacing w:line="360" w:lineRule="auto"/>
        <w:ind w:firstLineChars="200" w:firstLine="480"/>
        <w:rPr>
          <w:rFonts w:ascii="宋体" w:hAnsi="宋体"/>
          <w:sz w:val="24"/>
        </w:rPr>
      </w:pPr>
    </w:p>
    <w:p w:rsidR="0016125E" w:rsidRPr="00835BA0" w:rsidRDefault="0016125E" w:rsidP="00835BA0">
      <w:pPr>
        <w:adjustRightInd w:val="0"/>
        <w:snapToGrid w:val="0"/>
        <w:spacing w:line="360" w:lineRule="auto"/>
        <w:ind w:firstLineChars="200" w:firstLine="482"/>
        <w:rPr>
          <w:rFonts w:ascii="宋体" w:hAnsi="宋体"/>
          <w:b/>
          <w:sz w:val="24"/>
        </w:rPr>
      </w:pPr>
      <w:bookmarkStart w:id="0" w:name="OLE_LINK8"/>
      <w:bookmarkStart w:id="1" w:name="OLE_LINK13"/>
      <w:r w:rsidRPr="00835BA0">
        <w:rPr>
          <w:rFonts w:ascii="宋体" w:hAnsi="宋体" w:hint="eastAsia"/>
          <w:b/>
          <w:sz w:val="24"/>
        </w:rPr>
        <w:t>一、</w:t>
      </w:r>
      <w:r w:rsidR="00744BAC">
        <w:rPr>
          <w:rFonts w:ascii="宋体" w:hAnsi="宋体" w:hint="eastAsia"/>
          <w:b/>
          <w:sz w:val="24"/>
        </w:rPr>
        <w:t>交易概述</w:t>
      </w:r>
    </w:p>
    <w:p w:rsidR="00E94CF3" w:rsidRDefault="00E94CF3" w:rsidP="00096DA8">
      <w:pPr>
        <w:adjustRightInd w:val="0"/>
        <w:snapToGrid w:val="0"/>
        <w:spacing w:line="349" w:lineRule="auto"/>
        <w:ind w:firstLineChars="200" w:firstLine="480"/>
        <w:rPr>
          <w:rFonts w:ascii="宋体" w:hAnsi="宋体"/>
          <w:sz w:val="24"/>
        </w:rPr>
      </w:pPr>
      <w:r>
        <w:rPr>
          <w:rFonts w:ascii="宋体" w:hAnsi="宋体" w:hint="eastAsia"/>
          <w:sz w:val="24"/>
        </w:rPr>
        <w:t>1、基本情况</w:t>
      </w:r>
    </w:p>
    <w:p w:rsidR="007F057D" w:rsidRPr="00D6370A" w:rsidRDefault="0016125E" w:rsidP="00A34B9D">
      <w:pPr>
        <w:adjustRightInd w:val="0"/>
        <w:snapToGrid w:val="0"/>
        <w:spacing w:line="360" w:lineRule="auto"/>
        <w:ind w:firstLineChars="200" w:firstLine="480"/>
        <w:rPr>
          <w:rFonts w:ascii="宋体" w:hAnsi="宋体"/>
          <w:sz w:val="24"/>
        </w:rPr>
      </w:pPr>
      <w:r w:rsidRPr="008D3EAF">
        <w:rPr>
          <w:rFonts w:ascii="宋体" w:hAnsi="宋体"/>
          <w:sz w:val="24"/>
        </w:rPr>
        <w:t>江苏华西村股份有限公司（以下简称“公司”）</w:t>
      </w:r>
      <w:bookmarkStart w:id="2" w:name="OLE_LINK1"/>
      <w:bookmarkStart w:id="3" w:name="OLE_LINK2"/>
      <w:r w:rsidRPr="008D3EAF">
        <w:rPr>
          <w:rFonts w:ascii="宋体" w:hAnsi="宋体"/>
          <w:sz w:val="24"/>
        </w:rPr>
        <w:t>控制主体上海启</w:t>
      </w:r>
      <w:proofErr w:type="gramStart"/>
      <w:r w:rsidRPr="008D3EAF">
        <w:rPr>
          <w:rFonts w:ascii="宋体" w:hAnsi="宋体"/>
          <w:sz w:val="24"/>
        </w:rPr>
        <w:t>澜</w:t>
      </w:r>
      <w:proofErr w:type="gramEnd"/>
      <w:r w:rsidRPr="008D3EAF">
        <w:rPr>
          <w:rFonts w:ascii="宋体" w:hAnsi="宋体"/>
          <w:sz w:val="24"/>
        </w:rPr>
        <w:t>企业管理咨询合伙企业（有限合伙）（以下简称“上海启澜”）</w:t>
      </w:r>
      <w:bookmarkEnd w:id="2"/>
      <w:bookmarkEnd w:id="3"/>
      <w:r w:rsidR="00451F6F" w:rsidRPr="008D3EAF">
        <w:rPr>
          <w:rFonts w:ascii="宋体" w:hAnsi="宋体"/>
          <w:sz w:val="24"/>
        </w:rPr>
        <w:t>目前</w:t>
      </w:r>
      <w:r w:rsidR="005B0D5B" w:rsidRPr="008D3EAF">
        <w:rPr>
          <w:rFonts w:ascii="宋体" w:hAnsi="宋体"/>
          <w:sz w:val="24"/>
        </w:rPr>
        <w:t xml:space="preserve">通过Diamond </w:t>
      </w:r>
      <w:r w:rsidR="004C4F5E" w:rsidRPr="008D3EAF">
        <w:rPr>
          <w:rFonts w:ascii="宋体" w:hAnsi="宋体" w:hint="eastAsia"/>
          <w:sz w:val="24"/>
        </w:rPr>
        <w:t xml:space="preserve"> </w:t>
      </w:r>
      <w:r w:rsidR="005B0D5B" w:rsidRPr="008D3EAF">
        <w:rPr>
          <w:rFonts w:ascii="宋体" w:hAnsi="宋体"/>
          <w:sz w:val="24"/>
        </w:rPr>
        <w:t>Hill, L.P.</w:t>
      </w:r>
      <w:r w:rsidR="005B0D5B" w:rsidRPr="00D6370A">
        <w:rPr>
          <w:rFonts w:ascii="宋体" w:hAnsi="宋体"/>
          <w:sz w:val="24"/>
        </w:rPr>
        <w:t>持有</w:t>
      </w:r>
      <w:bookmarkStart w:id="4" w:name="OLE_LINK6"/>
      <w:bookmarkStart w:id="5" w:name="OLE_LINK7"/>
      <w:r w:rsidR="007F057D" w:rsidRPr="00D6370A">
        <w:rPr>
          <w:rFonts w:ascii="宋体" w:hAnsi="宋体"/>
          <w:sz w:val="24"/>
        </w:rPr>
        <w:t>Source Photonics Holding</w:t>
      </w:r>
      <w:r w:rsidR="00773A0A">
        <w:rPr>
          <w:rFonts w:ascii="宋体" w:hAnsi="宋体" w:hint="eastAsia"/>
          <w:sz w:val="24"/>
        </w:rPr>
        <w:t>s</w:t>
      </w:r>
      <w:r w:rsidR="007F057D" w:rsidRPr="00D6370A">
        <w:rPr>
          <w:rFonts w:ascii="宋体" w:hAnsi="宋体"/>
          <w:sz w:val="24"/>
        </w:rPr>
        <w:t xml:space="preserve"> (Cayman) Limited（以下简称“索尔思光电”</w:t>
      </w:r>
      <w:r w:rsidR="00FA0DB3" w:rsidRPr="00D6370A">
        <w:rPr>
          <w:rFonts w:ascii="宋体" w:hAnsi="宋体"/>
          <w:sz w:val="24"/>
        </w:rPr>
        <w:t>或“标的公司”</w:t>
      </w:r>
      <w:r w:rsidR="007F057D" w:rsidRPr="00D6370A">
        <w:rPr>
          <w:rFonts w:ascii="宋体" w:hAnsi="宋体"/>
          <w:sz w:val="24"/>
        </w:rPr>
        <w:t>）</w:t>
      </w:r>
      <w:bookmarkEnd w:id="4"/>
      <w:bookmarkEnd w:id="5"/>
      <w:r w:rsidR="006306F5" w:rsidRPr="00D6370A">
        <w:rPr>
          <w:rFonts w:ascii="宋体" w:hAnsi="宋体" w:hint="eastAsia"/>
          <w:sz w:val="24"/>
        </w:rPr>
        <w:t>5</w:t>
      </w:r>
      <w:r w:rsidR="00E94CF3" w:rsidRPr="00D6370A">
        <w:rPr>
          <w:rFonts w:ascii="宋体" w:hAnsi="宋体" w:hint="eastAsia"/>
          <w:sz w:val="24"/>
        </w:rPr>
        <w:t>,</w:t>
      </w:r>
      <w:r w:rsidR="006306F5" w:rsidRPr="00D6370A">
        <w:rPr>
          <w:rFonts w:ascii="宋体" w:hAnsi="宋体" w:hint="eastAsia"/>
          <w:sz w:val="24"/>
        </w:rPr>
        <w:t>99</w:t>
      </w:r>
      <w:r w:rsidR="00326023" w:rsidRPr="00D6370A">
        <w:rPr>
          <w:rFonts w:ascii="宋体" w:hAnsi="宋体" w:hint="eastAsia"/>
          <w:sz w:val="24"/>
        </w:rPr>
        <w:t>3.</w:t>
      </w:r>
      <w:r w:rsidR="00663417">
        <w:rPr>
          <w:rFonts w:ascii="宋体" w:hAnsi="宋体" w:hint="eastAsia"/>
          <w:sz w:val="24"/>
        </w:rPr>
        <w:t>62</w:t>
      </w:r>
      <w:r w:rsidR="00444AC5" w:rsidRPr="00D6370A">
        <w:rPr>
          <w:rFonts w:ascii="宋体" w:hAnsi="宋体" w:hint="eastAsia"/>
          <w:sz w:val="24"/>
        </w:rPr>
        <w:t>万股股份，</w:t>
      </w:r>
      <w:r w:rsidR="007F057D" w:rsidRPr="00D6370A">
        <w:rPr>
          <w:rFonts w:ascii="宋体" w:hAnsi="宋体" w:hint="eastAsia"/>
          <w:sz w:val="24"/>
        </w:rPr>
        <w:t>上海启</w:t>
      </w:r>
      <w:proofErr w:type="gramStart"/>
      <w:r w:rsidR="007F057D" w:rsidRPr="00D6370A">
        <w:rPr>
          <w:rFonts w:ascii="宋体" w:hAnsi="宋体" w:hint="eastAsia"/>
          <w:sz w:val="24"/>
        </w:rPr>
        <w:t>澜</w:t>
      </w:r>
      <w:proofErr w:type="gramEnd"/>
      <w:r w:rsidR="007F057D" w:rsidRPr="00D6370A">
        <w:rPr>
          <w:rFonts w:ascii="宋体" w:hAnsi="宋体" w:hint="eastAsia"/>
          <w:sz w:val="24"/>
        </w:rPr>
        <w:t>直接持有索尔思光电</w:t>
      </w:r>
      <w:r w:rsidR="00E94CF3" w:rsidRPr="00D6370A">
        <w:rPr>
          <w:rFonts w:ascii="宋体" w:hAnsi="宋体" w:hint="eastAsia"/>
          <w:sz w:val="24"/>
        </w:rPr>
        <w:t>556</w:t>
      </w:r>
      <w:r w:rsidR="00326023" w:rsidRPr="00D6370A">
        <w:rPr>
          <w:rFonts w:ascii="宋体" w:hAnsi="宋体" w:hint="eastAsia"/>
          <w:sz w:val="24"/>
        </w:rPr>
        <w:t>.03</w:t>
      </w:r>
      <w:r w:rsidR="00663417">
        <w:rPr>
          <w:rFonts w:ascii="宋体" w:hAnsi="宋体" w:hint="eastAsia"/>
          <w:sz w:val="24"/>
        </w:rPr>
        <w:t>万股股份。综上，</w:t>
      </w:r>
      <w:r w:rsidR="00E94CF3" w:rsidRPr="00D6370A">
        <w:rPr>
          <w:rFonts w:ascii="宋体" w:hAnsi="宋体" w:hint="eastAsia"/>
          <w:sz w:val="24"/>
        </w:rPr>
        <w:t>上海启</w:t>
      </w:r>
      <w:proofErr w:type="gramStart"/>
      <w:r w:rsidR="00E94CF3" w:rsidRPr="00D6370A">
        <w:rPr>
          <w:rFonts w:ascii="宋体" w:hAnsi="宋体" w:hint="eastAsia"/>
          <w:sz w:val="24"/>
        </w:rPr>
        <w:t>澜</w:t>
      </w:r>
      <w:proofErr w:type="gramEnd"/>
      <w:r w:rsidR="007F057D" w:rsidRPr="00D6370A">
        <w:rPr>
          <w:rFonts w:ascii="宋体" w:hAnsi="宋体" w:hint="eastAsia"/>
          <w:sz w:val="24"/>
        </w:rPr>
        <w:t>合计持有索尔思光电</w:t>
      </w:r>
      <w:r w:rsidR="00E94CF3" w:rsidRPr="00D6370A">
        <w:rPr>
          <w:rFonts w:ascii="宋体" w:hAnsi="宋体" w:hint="eastAsia"/>
          <w:sz w:val="24"/>
        </w:rPr>
        <w:t>6,5</w:t>
      </w:r>
      <w:r w:rsidR="00326023" w:rsidRPr="00D6370A">
        <w:rPr>
          <w:rFonts w:ascii="宋体" w:hAnsi="宋体" w:hint="eastAsia"/>
          <w:sz w:val="24"/>
        </w:rPr>
        <w:t>49.</w:t>
      </w:r>
      <w:r w:rsidR="00663417">
        <w:rPr>
          <w:rFonts w:ascii="宋体" w:hAnsi="宋体" w:hint="eastAsia"/>
          <w:sz w:val="24"/>
        </w:rPr>
        <w:t>65</w:t>
      </w:r>
      <w:r w:rsidR="00E94CF3" w:rsidRPr="00D6370A">
        <w:rPr>
          <w:rFonts w:ascii="宋体" w:hAnsi="宋体" w:hint="eastAsia"/>
          <w:sz w:val="24"/>
        </w:rPr>
        <w:t>万股股份</w:t>
      </w:r>
      <w:r w:rsidR="00A4460C" w:rsidRPr="00D6370A">
        <w:rPr>
          <w:rFonts w:ascii="宋体" w:hAnsi="宋体" w:hint="eastAsia"/>
          <w:sz w:val="24"/>
        </w:rPr>
        <w:t>。</w:t>
      </w:r>
    </w:p>
    <w:p w:rsidR="006E7076" w:rsidRPr="00A34B9D" w:rsidRDefault="00FF6017" w:rsidP="00A34B9D">
      <w:pPr>
        <w:adjustRightInd w:val="0"/>
        <w:snapToGrid w:val="0"/>
        <w:spacing w:line="360" w:lineRule="auto"/>
        <w:ind w:firstLineChars="200" w:firstLine="480"/>
        <w:rPr>
          <w:rFonts w:ascii="宋体" w:hAnsi="宋体"/>
          <w:sz w:val="24"/>
        </w:rPr>
      </w:pPr>
      <w:bookmarkStart w:id="6" w:name="OLE_LINK64"/>
      <w:bookmarkStart w:id="7" w:name="OLE_LINK65"/>
      <w:r>
        <w:rPr>
          <w:rFonts w:ascii="宋体" w:hAnsi="宋体"/>
          <w:sz w:val="24"/>
        </w:rPr>
        <w:t>近日，</w:t>
      </w:r>
      <w:r w:rsidR="007F057D">
        <w:rPr>
          <w:rFonts w:ascii="宋体" w:hAnsi="宋体" w:hint="eastAsia"/>
          <w:sz w:val="24"/>
        </w:rPr>
        <w:t>上海启</w:t>
      </w:r>
      <w:proofErr w:type="gramStart"/>
      <w:r w:rsidR="007F057D">
        <w:rPr>
          <w:rFonts w:ascii="宋体" w:hAnsi="宋体" w:hint="eastAsia"/>
          <w:sz w:val="24"/>
        </w:rPr>
        <w:t>澜</w:t>
      </w:r>
      <w:proofErr w:type="gramEnd"/>
      <w:r w:rsidR="00744BAC">
        <w:rPr>
          <w:rFonts w:ascii="宋体" w:hAnsi="宋体" w:hint="eastAsia"/>
          <w:sz w:val="24"/>
        </w:rPr>
        <w:t>等</w:t>
      </w:r>
      <w:r w:rsidR="00896733">
        <w:rPr>
          <w:rFonts w:ascii="宋体" w:hAnsi="宋体" w:hint="eastAsia"/>
          <w:sz w:val="24"/>
        </w:rPr>
        <w:t>14</w:t>
      </w:r>
      <w:r w:rsidR="00744BAC">
        <w:rPr>
          <w:rFonts w:ascii="宋体" w:hAnsi="宋体" w:hint="eastAsia"/>
          <w:sz w:val="24"/>
        </w:rPr>
        <w:t>家主体</w:t>
      </w:r>
      <w:r>
        <w:rPr>
          <w:rFonts w:ascii="宋体" w:hAnsi="宋体" w:hint="eastAsia"/>
          <w:sz w:val="24"/>
        </w:rPr>
        <w:t>拟</w:t>
      </w:r>
      <w:proofErr w:type="gramStart"/>
      <w:r w:rsidR="0016125E">
        <w:rPr>
          <w:rFonts w:ascii="宋体" w:hAnsi="宋体"/>
          <w:sz w:val="24"/>
        </w:rPr>
        <w:t>与</w:t>
      </w:r>
      <w:bookmarkStart w:id="8" w:name="OLE_LINK16"/>
      <w:bookmarkStart w:id="9" w:name="OLE_LINK17"/>
      <w:bookmarkStart w:id="10" w:name="OLE_LINK5"/>
      <w:r w:rsidR="00D96793" w:rsidRPr="00D96793">
        <w:rPr>
          <w:rFonts w:ascii="宋体" w:hAnsi="宋体"/>
          <w:sz w:val="24"/>
        </w:rPr>
        <w:t>超毅集团</w:t>
      </w:r>
      <w:proofErr w:type="gramEnd"/>
      <w:r w:rsidR="00D96793" w:rsidRPr="00D96793">
        <w:rPr>
          <w:rFonts w:ascii="宋体" w:hAnsi="宋体"/>
          <w:sz w:val="24"/>
        </w:rPr>
        <w:t>（香港）有限公司</w:t>
      </w:r>
      <w:bookmarkEnd w:id="8"/>
      <w:bookmarkEnd w:id="9"/>
      <w:r w:rsidR="00D96793">
        <w:rPr>
          <w:rFonts w:ascii="宋体" w:hAnsi="宋体"/>
          <w:sz w:val="24"/>
        </w:rPr>
        <w:t>（以下简称“股权受让方”）、</w:t>
      </w:r>
      <w:r w:rsidR="00376F28" w:rsidRPr="00376F28">
        <w:rPr>
          <w:rFonts w:ascii="宋体" w:hAnsi="宋体" w:hint="eastAsia"/>
          <w:sz w:val="24"/>
        </w:rPr>
        <w:t>苏州东山精密制造股份有限公司</w:t>
      </w:r>
      <w:bookmarkEnd w:id="10"/>
      <w:r w:rsidR="0016125E" w:rsidRPr="0016125E">
        <w:rPr>
          <w:rFonts w:ascii="宋体" w:hAnsi="宋体" w:hint="eastAsia"/>
          <w:sz w:val="24"/>
        </w:rPr>
        <w:t>（以下简称“</w:t>
      </w:r>
      <w:r w:rsidR="00376F28">
        <w:rPr>
          <w:rFonts w:ascii="宋体" w:hAnsi="宋体" w:hint="eastAsia"/>
          <w:sz w:val="24"/>
        </w:rPr>
        <w:t>东山精密</w:t>
      </w:r>
      <w:r w:rsidR="0016125E" w:rsidRPr="0016125E">
        <w:rPr>
          <w:rFonts w:ascii="宋体" w:hAnsi="宋体" w:hint="eastAsia"/>
          <w:sz w:val="24"/>
        </w:rPr>
        <w:t>”</w:t>
      </w:r>
      <w:r w:rsidR="00D503AC">
        <w:rPr>
          <w:rFonts w:ascii="宋体" w:hAnsi="宋体" w:hint="eastAsia"/>
          <w:sz w:val="24"/>
        </w:rPr>
        <w:t>，股票代码：</w:t>
      </w:r>
      <w:r w:rsidR="00376F28">
        <w:rPr>
          <w:rFonts w:ascii="宋体" w:hAnsi="宋体" w:hint="eastAsia"/>
          <w:sz w:val="24"/>
        </w:rPr>
        <w:t>002384</w:t>
      </w:r>
      <w:r w:rsidR="00D96793">
        <w:rPr>
          <w:rFonts w:ascii="宋体" w:hAnsi="宋体" w:hint="eastAsia"/>
          <w:sz w:val="24"/>
        </w:rPr>
        <w:t>，与股权受让方合称“收购方”）</w:t>
      </w:r>
      <w:r w:rsidR="0016125E" w:rsidRPr="0016125E">
        <w:rPr>
          <w:rFonts w:ascii="宋体" w:hAnsi="宋体" w:hint="eastAsia"/>
          <w:sz w:val="24"/>
        </w:rPr>
        <w:t>签署《</w:t>
      </w:r>
      <w:r w:rsidR="00744BAC" w:rsidRPr="00744BAC">
        <w:rPr>
          <w:rFonts w:ascii="宋体" w:hAnsi="宋体"/>
          <w:sz w:val="24"/>
        </w:rPr>
        <w:t>关于Source Photonics Holdings (Cayman) Limited之</w:t>
      </w:r>
      <w:r w:rsidR="00744BAC" w:rsidRPr="00D25A3F">
        <w:rPr>
          <w:rFonts w:ascii="宋体" w:hAnsi="宋体"/>
          <w:sz w:val="24"/>
        </w:rPr>
        <w:t>股份转让协议</w:t>
      </w:r>
      <w:r w:rsidR="0016125E" w:rsidRPr="00D25A3F">
        <w:rPr>
          <w:rFonts w:ascii="宋体" w:hAnsi="宋体"/>
          <w:sz w:val="24"/>
        </w:rPr>
        <w:t>》</w:t>
      </w:r>
      <w:r w:rsidR="002A4C64" w:rsidRPr="00D25A3F">
        <w:rPr>
          <w:rFonts w:ascii="宋体" w:hAnsi="宋体"/>
          <w:sz w:val="24"/>
        </w:rPr>
        <w:t>（以下简称“</w:t>
      </w:r>
      <w:r w:rsidR="00852E5E" w:rsidRPr="00D25A3F">
        <w:rPr>
          <w:rFonts w:ascii="宋体" w:hAnsi="宋体"/>
          <w:sz w:val="24"/>
        </w:rPr>
        <w:t>《股份转让协议》</w:t>
      </w:r>
      <w:r w:rsidR="002A4C64" w:rsidRPr="00D25A3F">
        <w:rPr>
          <w:rFonts w:ascii="宋体" w:hAnsi="宋体"/>
          <w:sz w:val="24"/>
        </w:rPr>
        <w:t>”）</w:t>
      </w:r>
      <w:r w:rsidR="0016125E" w:rsidRPr="00D25A3F">
        <w:rPr>
          <w:rFonts w:ascii="宋体" w:hAnsi="宋体"/>
          <w:sz w:val="24"/>
        </w:rPr>
        <w:t>，</w:t>
      </w:r>
      <w:bookmarkEnd w:id="6"/>
      <w:bookmarkEnd w:id="7"/>
      <w:r w:rsidR="0016125E" w:rsidRPr="00D25A3F">
        <w:rPr>
          <w:rFonts w:ascii="宋体" w:hAnsi="宋体"/>
          <w:sz w:val="24"/>
        </w:rPr>
        <w:t>上海启</w:t>
      </w:r>
      <w:proofErr w:type="gramStart"/>
      <w:r w:rsidR="0016125E" w:rsidRPr="00D25A3F">
        <w:rPr>
          <w:rFonts w:ascii="宋体" w:hAnsi="宋体"/>
          <w:sz w:val="24"/>
        </w:rPr>
        <w:t>澜</w:t>
      </w:r>
      <w:bookmarkStart w:id="11" w:name="OLE_LINK3"/>
      <w:bookmarkStart w:id="12" w:name="OLE_LINK4"/>
      <w:proofErr w:type="gramEnd"/>
      <w:r w:rsidR="0016125E" w:rsidRPr="00D25A3F">
        <w:rPr>
          <w:rFonts w:ascii="宋体" w:hAnsi="宋体"/>
          <w:sz w:val="24"/>
        </w:rPr>
        <w:t>拟将其持有</w:t>
      </w:r>
      <w:r w:rsidR="0023509F">
        <w:rPr>
          <w:rFonts w:ascii="宋体" w:hAnsi="宋体" w:hint="eastAsia"/>
          <w:sz w:val="24"/>
        </w:rPr>
        <w:t>6,549.65万股索尔思光电股份</w:t>
      </w:r>
      <w:r w:rsidR="0028570E" w:rsidRPr="00D25A3F">
        <w:rPr>
          <w:rFonts w:ascii="宋体" w:hAnsi="宋体" w:hint="eastAsia"/>
          <w:sz w:val="24"/>
        </w:rPr>
        <w:t>转让</w:t>
      </w:r>
      <w:proofErr w:type="gramStart"/>
      <w:r w:rsidR="0028570E" w:rsidRPr="00D25A3F">
        <w:rPr>
          <w:rFonts w:ascii="宋体" w:hAnsi="宋体" w:hint="eastAsia"/>
          <w:sz w:val="24"/>
        </w:rPr>
        <w:t>给</w:t>
      </w:r>
      <w:r w:rsidR="00A34B9D">
        <w:rPr>
          <w:rFonts w:ascii="宋体" w:hAnsi="宋体" w:hint="eastAsia"/>
          <w:sz w:val="24"/>
        </w:rPr>
        <w:t>超毅集团</w:t>
      </w:r>
      <w:proofErr w:type="gramEnd"/>
      <w:r w:rsidR="00A34B9D">
        <w:rPr>
          <w:rFonts w:ascii="宋体" w:hAnsi="宋体" w:hint="eastAsia"/>
          <w:sz w:val="24"/>
        </w:rPr>
        <w:t>（香港）有限公</w:t>
      </w:r>
      <w:r w:rsidR="00A34B9D">
        <w:rPr>
          <w:rFonts w:ascii="宋体" w:hAnsi="宋体" w:hint="eastAsia"/>
          <w:sz w:val="24"/>
        </w:rPr>
        <w:lastRenderedPageBreak/>
        <w:t>司</w:t>
      </w:r>
      <w:r w:rsidR="0028570E" w:rsidRPr="00D25A3F">
        <w:rPr>
          <w:rFonts w:ascii="宋体" w:hAnsi="宋体" w:hint="eastAsia"/>
          <w:sz w:val="24"/>
        </w:rPr>
        <w:t>，</w:t>
      </w:r>
      <w:r w:rsidR="009E4938">
        <w:rPr>
          <w:rFonts w:ascii="宋体" w:hAnsi="宋体" w:hint="eastAsia"/>
          <w:sz w:val="24"/>
        </w:rPr>
        <w:t>转让总价</w:t>
      </w:r>
      <w:r w:rsidR="009E4938" w:rsidRPr="00A34B9D">
        <w:rPr>
          <w:rFonts w:ascii="宋体" w:hAnsi="宋体" w:hint="eastAsia"/>
          <w:sz w:val="24"/>
        </w:rPr>
        <w:t>款为</w:t>
      </w:r>
      <w:r w:rsidR="00896733" w:rsidRPr="00A34B9D">
        <w:rPr>
          <w:rFonts w:ascii="宋体" w:hAnsi="宋体" w:hint="eastAsia"/>
          <w:sz w:val="24"/>
        </w:rPr>
        <w:t>20,026.86</w:t>
      </w:r>
      <w:r w:rsidR="009E4938" w:rsidRPr="00A34B9D">
        <w:rPr>
          <w:rFonts w:ascii="宋体" w:hAnsi="宋体" w:hint="eastAsia"/>
          <w:sz w:val="24"/>
        </w:rPr>
        <w:t>万美元。</w:t>
      </w:r>
    </w:p>
    <w:bookmarkEnd w:id="11"/>
    <w:bookmarkEnd w:id="12"/>
    <w:p w:rsidR="0023509F" w:rsidRPr="006E7076" w:rsidRDefault="0023509F" w:rsidP="00096DA8">
      <w:pPr>
        <w:adjustRightInd w:val="0"/>
        <w:snapToGrid w:val="0"/>
        <w:spacing w:line="349" w:lineRule="auto"/>
        <w:ind w:firstLineChars="200" w:firstLine="480"/>
        <w:rPr>
          <w:rFonts w:ascii="宋体" w:hAnsi="宋体"/>
          <w:sz w:val="24"/>
        </w:rPr>
      </w:pPr>
    </w:p>
    <w:p w:rsidR="0016125E" w:rsidRPr="0016125E" w:rsidRDefault="0016125E" w:rsidP="00096DA8">
      <w:pPr>
        <w:adjustRightInd w:val="0"/>
        <w:snapToGrid w:val="0"/>
        <w:spacing w:line="349" w:lineRule="auto"/>
        <w:ind w:firstLineChars="200" w:firstLine="480"/>
        <w:rPr>
          <w:rFonts w:ascii="宋体" w:hAnsi="宋体"/>
          <w:sz w:val="24"/>
        </w:rPr>
      </w:pPr>
      <w:r w:rsidRPr="0016125E">
        <w:rPr>
          <w:rFonts w:ascii="宋体" w:hAnsi="宋体" w:hint="eastAsia"/>
          <w:sz w:val="24"/>
        </w:rPr>
        <w:t>2、审批程序</w:t>
      </w:r>
    </w:p>
    <w:p w:rsidR="006D01B6" w:rsidRDefault="0016125E" w:rsidP="00096DA8">
      <w:pPr>
        <w:adjustRightInd w:val="0"/>
        <w:snapToGrid w:val="0"/>
        <w:spacing w:line="349" w:lineRule="auto"/>
        <w:ind w:firstLineChars="200" w:firstLine="480"/>
        <w:jc w:val="left"/>
        <w:rPr>
          <w:rFonts w:ascii="宋体" w:hAnsi="宋体"/>
          <w:sz w:val="24"/>
        </w:rPr>
      </w:pPr>
      <w:r w:rsidRPr="0016125E">
        <w:rPr>
          <w:rFonts w:ascii="宋体" w:hAnsi="宋体"/>
          <w:sz w:val="24"/>
        </w:rPr>
        <w:t>公司第九届</w:t>
      </w:r>
      <w:r w:rsidRPr="00A34B9D">
        <w:rPr>
          <w:rFonts w:ascii="宋体" w:hAnsi="宋体"/>
          <w:sz w:val="24"/>
        </w:rPr>
        <w:t>董事会第</w:t>
      </w:r>
      <w:r w:rsidR="00896733" w:rsidRPr="00A34B9D">
        <w:rPr>
          <w:rFonts w:ascii="宋体" w:hAnsi="宋体" w:hint="eastAsia"/>
          <w:sz w:val="24"/>
        </w:rPr>
        <w:t>九</w:t>
      </w:r>
      <w:r w:rsidRPr="00A34B9D">
        <w:rPr>
          <w:rFonts w:ascii="宋体" w:hAnsi="宋体"/>
          <w:sz w:val="24"/>
        </w:rPr>
        <w:t>次会议审议</w:t>
      </w:r>
      <w:r w:rsidRPr="0016125E">
        <w:rPr>
          <w:rFonts w:ascii="宋体" w:hAnsi="宋体"/>
          <w:sz w:val="24"/>
        </w:rPr>
        <w:t>通过了《关于</w:t>
      </w:r>
      <w:r w:rsidR="00852E5E">
        <w:rPr>
          <w:rFonts w:ascii="宋体" w:hAnsi="宋体"/>
          <w:sz w:val="24"/>
        </w:rPr>
        <w:t>转让参股公司</w:t>
      </w:r>
      <w:r w:rsidR="00B10026">
        <w:rPr>
          <w:rFonts w:ascii="宋体" w:hAnsi="宋体"/>
          <w:sz w:val="24"/>
        </w:rPr>
        <w:t>股份</w:t>
      </w:r>
      <w:r w:rsidR="00852E5E">
        <w:rPr>
          <w:rFonts w:ascii="宋体" w:hAnsi="宋体"/>
          <w:sz w:val="24"/>
        </w:rPr>
        <w:t>的</w:t>
      </w:r>
      <w:r w:rsidR="00573757">
        <w:rPr>
          <w:rFonts w:ascii="宋体" w:hAnsi="宋体"/>
          <w:sz w:val="24"/>
        </w:rPr>
        <w:t>议案</w:t>
      </w:r>
      <w:r w:rsidRPr="0016125E">
        <w:rPr>
          <w:rFonts w:ascii="宋体" w:hAnsi="宋体"/>
          <w:sz w:val="24"/>
        </w:rPr>
        <w:t>》，表决结果：同意</w:t>
      </w:r>
      <w:r w:rsidRPr="0016125E">
        <w:rPr>
          <w:rFonts w:ascii="宋体" w:hAnsi="宋体" w:hint="eastAsia"/>
          <w:sz w:val="24"/>
        </w:rPr>
        <w:t>9</w:t>
      </w:r>
      <w:r w:rsidRPr="0016125E">
        <w:rPr>
          <w:rFonts w:ascii="宋体" w:hAnsi="宋体"/>
          <w:sz w:val="24"/>
        </w:rPr>
        <w:t>票，反对0票，弃权0票。</w:t>
      </w:r>
      <w:r w:rsidR="00852E5E" w:rsidRPr="00852E5E">
        <w:rPr>
          <w:rFonts w:ascii="宋体" w:hAnsi="宋体"/>
          <w:sz w:val="24"/>
        </w:rPr>
        <w:t>根据《深圳证券交易所股票上市规则》和《公司章程》的相关规定，</w:t>
      </w:r>
      <w:r w:rsidR="00E913A9" w:rsidRPr="00E913A9">
        <w:rPr>
          <w:rFonts w:ascii="宋体" w:hAnsi="宋体" w:hint="eastAsia"/>
          <w:sz w:val="24"/>
        </w:rPr>
        <w:t>本次</w:t>
      </w:r>
      <w:r w:rsidR="007038D9">
        <w:rPr>
          <w:rFonts w:ascii="宋体" w:hAnsi="宋体" w:hint="eastAsia"/>
          <w:sz w:val="24"/>
        </w:rPr>
        <w:t>公司</w:t>
      </w:r>
      <w:r w:rsidR="00A34B9D">
        <w:rPr>
          <w:rFonts w:ascii="宋体" w:hAnsi="宋体" w:hint="eastAsia"/>
          <w:sz w:val="24"/>
        </w:rPr>
        <w:t>转让索尔思光电</w:t>
      </w:r>
      <w:r w:rsidR="00E913A9" w:rsidRPr="00E913A9">
        <w:rPr>
          <w:rFonts w:ascii="宋体" w:hAnsi="宋体" w:hint="eastAsia"/>
          <w:sz w:val="24"/>
        </w:rPr>
        <w:t>股份事项尚需</w:t>
      </w:r>
      <w:r w:rsidR="00A34B9D">
        <w:rPr>
          <w:rFonts w:ascii="宋体" w:hAnsi="宋体" w:hint="eastAsia"/>
          <w:sz w:val="24"/>
        </w:rPr>
        <w:t>提交</w:t>
      </w:r>
      <w:r w:rsidR="00E913A9" w:rsidRPr="00E913A9">
        <w:rPr>
          <w:rFonts w:ascii="宋体" w:hAnsi="宋体" w:hint="eastAsia"/>
          <w:sz w:val="24"/>
        </w:rPr>
        <w:t>股东会审议。</w:t>
      </w:r>
    </w:p>
    <w:p w:rsidR="00E913A9" w:rsidRPr="000F4D52" w:rsidRDefault="00E913A9" w:rsidP="00096DA8">
      <w:pPr>
        <w:adjustRightInd w:val="0"/>
        <w:snapToGrid w:val="0"/>
        <w:spacing w:line="349" w:lineRule="auto"/>
        <w:ind w:firstLineChars="200" w:firstLine="480"/>
        <w:jc w:val="left"/>
        <w:rPr>
          <w:rFonts w:ascii="宋体" w:hAnsi="宋体"/>
          <w:color w:val="FF0000"/>
          <w:sz w:val="24"/>
        </w:rPr>
      </w:pPr>
    </w:p>
    <w:p w:rsidR="00573757" w:rsidRPr="00A551A4" w:rsidRDefault="00573757" w:rsidP="00096DA8">
      <w:pPr>
        <w:tabs>
          <w:tab w:val="num" w:pos="900"/>
        </w:tabs>
        <w:adjustRightInd w:val="0"/>
        <w:snapToGrid w:val="0"/>
        <w:spacing w:line="349" w:lineRule="auto"/>
        <w:ind w:firstLineChars="200" w:firstLine="480"/>
        <w:rPr>
          <w:rFonts w:ascii="宋体" w:hAnsi="宋体"/>
          <w:sz w:val="24"/>
        </w:rPr>
      </w:pPr>
      <w:r>
        <w:rPr>
          <w:rFonts w:ascii="宋体" w:hAnsi="宋体" w:hint="eastAsia"/>
          <w:sz w:val="24"/>
        </w:rPr>
        <w:t>3、</w:t>
      </w:r>
      <w:r w:rsidRPr="00A551A4">
        <w:rPr>
          <w:rFonts w:ascii="宋体" w:hAnsi="宋体"/>
          <w:sz w:val="24"/>
        </w:rPr>
        <w:t>本次</w:t>
      </w:r>
      <w:r w:rsidR="00D25A3F">
        <w:rPr>
          <w:rFonts w:ascii="宋体" w:hAnsi="宋体"/>
          <w:sz w:val="24"/>
        </w:rPr>
        <w:t>股份</w:t>
      </w:r>
      <w:r w:rsidR="00852E5E">
        <w:rPr>
          <w:rFonts w:ascii="宋体" w:hAnsi="宋体"/>
          <w:sz w:val="24"/>
        </w:rPr>
        <w:t>转让事项不构成</w:t>
      </w:r>
      <w:r w:rsidR="00451F6F">
        <w:rPr>
          <w:rFonts w:ascii="宋体" w:hAnsi="宋体"/>
          <w:sz w:val="24"/>
        </w:rPr>
        <w:t>关联交易，不构成</w:t>
      </w:r>
      <w:r w:rsidRPr="00A551A4">
        <w:rPr>
          <w:rFonts w:ascii="宋体" w:hAnsi="宋体"/>
          <w:sz w:val="24"/>
        </w:rPr>
        <w:t>《上市公司重大资产重组管理办法》规定的重大资产重组。</w:t>
      </w:r>
    </w:p>
    <w:p w:rsidR="0016125E" w:rsidRDefault="0016125E" w:rsidP="00096DA8">
      <w:pPr>
        <w:adjustRightInd w:val="0"/>
        <w:snapToGrid w:val="0"/>
        <w:spacing w:line="349" w:lineRule="auto"/>
        <w:ind w:firstLineChars="200" w:firstLine="480"/>
        <w:rPr>
          <w:rFonts w:ascii="宋体" w:hAnsi="宋体"/>
          <w:sz w:val="24"/>
        </w:rPr>
      </w:pPr>
    </w:p>
    <w:p w:rsidR="00573757" w:rsidRDefault="00573757" w:rsidP="00096DA8">
      <w:pPr>
        <w:adjustRightInd w:val="0"/>
        <w:snapToGrid w:val="0"/>
        <w:spacing w:line="349" w:lineRule="auto"/>
        <w:ind w:firstLineChars="200" w:firstLine="482"/>
        <w:rPr>
          <w:rFonts w:ascii="宋体" w:hAnsi="宋体"/>
          <w:b/>
          <w:sz w:val="24"/>
        </w:rPr>
      </w:pPr>
      <w:bookmarkStart w:id="13" w:name="OLE_LINK66"/>
      <w:bookmarkStart w:id="14" w:name="OLE_LINK67"/>
      <w:r w:rsidRPr="00573757">
        <w:rPr>
          <w:rFonts w:ascii="宋体" w:hAnsi="宋体" w:hint="eastAsia"/>
          <w:b/>
          <w:sz w:val="24"/>
        </w:rPr>
        <w:t>二、交易对方</w:t>
      </w:r>
      <w:r w:rsidR="00E94CF3">
        <w:rPr>
          <w:rFonts w:ascii="宋体" w:hAnsi="宋体" w:hint="eastAsia"/>
          <w:b/>
          <w:sz w:val="24"/>
        </w:rPr>
        <w:t>基本情况</w:t>
      </w:r>
    </w:p>
    <w:p w:rsidR="00D96793" w:rsidRPr="00D96793" w:rsidRDefault="002853FA" w:rsidP="00016309">
      <w:pPr>
        <w:tabs>
          <w:tab w:val="num" w:pos="900"/>
        </w:tabs>
        <w:adjustRightInd w:val="0"/>
        <w:snapToGrid w:val="0"/>
        <w:spacing w:line="349" w:lineRule="auto"/>
        <w:ind w:firstLineChars="200" w:firstLine="480"/>
        <w:rPr>
          <w:rFonts w:ascii="宋体" w:hAnsi="宋体"/>
          <w:sz w:val="24"/>
        </w:rPr>
      </w:pPr>
      <w:bookmarkStart w:id="15" w:name="OLE_LINK14"/>
      <w:bookmarkStart w:id="16" w:name="OLE_LINK15"/>
      <w:bookmarkStart w:id="17" w:name="OLE_LINK35"/>
      <w:r>
        <w:rPr>
          <w:rFonts w:ascii="宋体" w:hAnsi="宋体" w:hint="eastAsia"/>
          <w:sz w:val="24"/>
        </w:rPr>
        <w:t>1、</w:t>
      </w:r>
      <w:bookmarkStart w:id="18" w:name="OLE_LINK34"/>
      <w:proofErr w:type="gramStart"/>
      <w:r w:rsidR="00D96793" w:rsidRPr="00D96793">
        <w:rPr>
          <w:rFonts w:ascii="宋体" w:hAnsi="宋体"/>
          <w:sz w:val="24"/>
        </w:rPr>
        <w:t>超毅集团</w:t>
      </w:r>
      <w:proofErr w:type="gramEnd"/>
      <w:r w:rsidR="00D96793" w:rsidRPr="00D96793">
        <w:rPr>
          <w:rFonts w:ascii="宋体" w:hAnsi="宋体"/>
          <w:sz w:val="24"/>
        </w:rPr>
        <w:t>（香港）有限公司</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bookmarkStart w:id="19" w:name="OLE_LINK54"/>
      <w:bookmarkStart w:id="20" w:name="OLE_LINK55"/>
      <w:bookmarkEnd w:id="15"/>
      <w:bookmarkEnd w:id="16"/>
      <w:bookmarkEnd w:id="18"/>
      <w:r w:rsidRPr="00016309">
        <w:rPr>
          <w:rFonts w:ascii="宋体" w:hAnsi="宋体" w:hint="eastAsia"/>
          <w:sz w:val="24"/>
        </w:rPr>
        <w:t>（1）基本情况</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r w:rsidRPr="00016309">
        <w:rPr>
          <w:rFonts w:ascii="宋体" w:hAnsi="宋体" w:hint="eastAsia"/>
          <w:sz w:val="24"/>
        </w:rPr>
        <w:t>公司名称：</w:t>
      </w:r>
      <w:proofErr w:type="gramStart"/>
      <w:r w:rsidRPr="00016309">
        <w:rPr>
          <w:rFonts w:ascii="宋体" w:hAnsi="宋体" w:hint="eastAsia"/>
          <w:sz w:val="24"/>
        </w:rPr>
        <w:t>超毅集团</w:t>
      </w:r>
      <w:proofErr w:type="gramEnd"/>
      <w:r w:rsidRPr="00016309">
        <w:rPr>
          <w:rFonts w:ascii="宋体" w:hAnsi="宋体" w:hint="eastAsia"/>
          <w:sz w:val="24"/>
        </w:rPr>
        <w:t>（香港）有限公司</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r w:rsidRPr="00016309">
        <w:rPr>
          <w:rFonts w:ascii="宋体" w:hAnsi="宋体" w:hint="eastAsia"/>
          <w:sz w:val="24"/>
        </w:rPr>
        <w:t>商业登记号码：69274640</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r w:rsidRPr="00016309">
        <w:rPr>
          <w:rFonts w:ascii="宋体" w:hAnsi="宋体" w:hint="eastAsia"/>
          <w:sz w:val="24"/>
        </w:rPr>
        <w:t>办事处地址：48/F, LANGHAM PLACE OFFICE TOWER, 8 ARGYLE STREET, MONG KOK, KLN, HONG KONG</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r w:rsidRPr="00016309">
        <w:rPr>
          <w:rFonts w:ascii="宋体" w:hAnsi="宋体" w:hint="eastAsia"/>
          <w:sz w:val="24"/>
        </w:rPr>
        <w:t>企业类型：私人股份有限公司</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r w:rsidRPr="00016309">
        <w:rPr>
          <w:rFonts w:ascii="宋体" w:hAnsi="宋体" w:hint="eastAsia"/>
          <w:sz w:val="24"/>
        </w:rPr>
        <w:t>注册资本：218,248,360.27美元</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r w:rsidRPr="00016309">
        <w:rPr>
          <w:rFonts w:ascii="宋体" w:hAnsi="宋体" w:hint="eastAsia"/>
          <w:sz w:val="24"/>
        </w:rPr>
        <w:t>成立日期：2018年4月25日</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r w:rsidRPr="00016309">
        <w:rPr>
          <w:rFonts w:ascii="宋体" w:hAnsi="宋体" w:hint="eastAsia"/>
          <w:sz w:val="24"/>
        </w:rPr>
        <w:t>经营范围：研发以及控股公司等</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r w:rsidRPr="00016309">
        <w:rPr>
          <w:rFonts w:ascii="宋体" w:hAnsi="宋体" w:hint="eastAsia"/>
          <w:sz w:val="24"/>
        </w:rPr>
        <w:t>主要股东情况：</w:t>
      </w:r>
      <w:r w:rsidR="00E012B3">
        <w:rPr>
          <w:rFonts w:ascii="宋体" w:hAnsi="宋体" w:hint="eastAsia"/>
          <w:sz w:val="24"/>
        </w:rPr>
        <w:t>东山</w:t>
      </w:r>
      <w:r w:rsidRPr="00016309">
        <w:rPr>
          <w:rFonts w:ascii="宋体" w:hAnsi="宋体" w:hint="eastAsia"/>
          <w:sz w:val="24"/>
        </w:rPr>
        <w:t>精密间接持有</w:t>
      </w:r>
      <w:r w:rsidR="00E012B3">
        <w:rPr>
          <w:rFonts w:ascii="宋体" w:hAnsi="宋体" w:hint="eastAsia"/>
          <w:sz w:val="24"/>
        </w:rPr>
        <w:t>其</w:t>
      </w:r>
      <w:r w:rsidRPr="00016309">
        <w:rPr>
          <w:rFonts w:ascii="宋体" w:hAnsi="宋体" w:hint="eastAsia"/>
          <w:sz w:val="24"/>
        </w:rPr>
        <w:t>100%股权</w:t>
      </w:r>
    </w:p>
    <w:p w:rsidR="00D96793" w:rsidRPr="00016309" w:rsidRDefault="00D96793" w:rsidP="002853FA">
      <w:pPr>
        <w:tabs>
          <w:tab w:val="num" w:pos="900"/>
        </w:tabs>
        <w:adjustRightInd w:val="0"/>
        <w:snapToGrid w:val="0"/>
        <w:spacing w:line="349" w:lineRule="auto"/>
        <w:ind w:firstLineChars="200" w:firstLine="480"/>
        <w:rPr>
          <w:rFonts w:ascii="宋体" w:hAnsi="宋体"/>
          <w:sz w:val="24"/>
        </w:rPr>
      </w:pPr>
    </w:p>
    <w:p w:rsidR="00D96793" w:rsidRPr="002853FA" w:rsidRDefault="002853FA" w:rsidP="002853FA">
      <w:pPr>
        <w:tabs>
          <w:tab w:val="num" w:pos="900"/>
        </w:tabs>
        <w:adjustRightInd w:val="0"/>
        <w:snapToGrid w:val="0"/>
        <w:spacing w:line="349" w:lineRule="auto"/>
        <w:ind w:firstLineChars="200" w:firstLine="480"/>
        <w:rPr>
          <w:rFonts w:ascii="宋体" w:hAnsi="宋体"/>
          <w:sz w:val="24"/>
        </w:rPr>
      </w:pPr>
      <w:r>
        <w:rPr>
          <w:rFonts w:ascii="宋体" w:hAnsi="宋体" w:hint="eastAsia"/>
          <w:sz w:val="24"/>
        </w:rPr>
        <w:t>（</w:t>
      </w:r>
      <w:r w:rsidR="00D96793" w:rsidRPr="002853FA">
        <w:rPr>
          <w:rFonts w:ascii="宋体" w:hAnsi="宋体" w:hint="eastAsia"/>
          <w:sz w:val="24"/>
        </w:rPr>
        <w:t>2</w:t>
      </w:r>
      <w:r>
        <w:rPr>
          <w:rFonts w:ascii="宋体" w:hAnsi="宋体" w:hint="eastAsia"/>
          <w:sz w:val="24"/>
        </w:rPr>
        <w:t>）最近一年主要财务数据</w:t>
      </w:r>
    </w:p>
    <w:p w:rsidR="00016309" w:rsidRPr="00016309" w:rsidRDefault="00016309" w:rsidP="00016309">
      <w:pPr>
        <w:tabs>
          <w:tab w:val="num" w:pos="900"/>
        </w:tabs>
        <w:adjustRightInd w:val="0"/>
        <w:snapToGrid w:val="0"/>
        <w:spacing w:line="349" w:lineRule="auto"/>
        <w:ind w:firstLineChars="200" w:firstLine="480"/>
        <w:rPr>
          <w:rFonts w:ascii="宋体" w:hAnsi="宋体"/>
          <w:sz w:val="24"/>
        </w:rPr>
      </w:pPr>
      <w:r w:rsidRPr="00016309">
        <w:rPr>
          <w:rFonts w:ascii="宋体" w:hAnsi="宋体" w:hint="eastAsia"/>
          <w:sz w:val="24"/>
        </w:rPr>
        <w:t>截至</w:t>
      </w:r>
      <w:r w:rsidRPr="00016309">
        <w:rPr>
          <w:rFonts w:ascii="宋体" w:hAnsi="宋体"/>
          <w:sz w:val="24"/>
        </w:rPr>
        <w:t>2024年12月31日，</w:t>
      </w:r>
      <w:proofErr w:type="gramStart"/>
      <w:r w:rsidRPr="00016309">
        <w:rPr>
          <w:rFonts w:ascii="宋体" w:hAnsi="宋体"/>
          <w:sz w:val="24"/>
        </w:rPr>
        <w:t>超毅集团</w:t>
      </w:r>
      <w:proofErr w:type="gramEnd"/>
      <w:r w:rsidRPr="00016309">
        <w:rPr>
          <w:rFonts w:ascii="宋体" w:hAnsi="宋体"/>
          <w:sz w:val="24"/>
        </w:rPr>
        <w:t>（香港）有限公司经审计总资产606,836.51万元，净资产266,535.25万元；2024年度</w:t>
      </w:r>
      <w:r w:rsidRPr="00016309">
        <w:rPr>
          <w:rFonts w:ascii="宋体" w:hAnsi="宋体" w:hint="eastAsia"/>
          <w:sz w:val="24"/>
        </w:rPr>
        <w:t>实现营业收入</w:t>
      </w:r>
      <w:r w:rsidRPr="00016309">
        <w:rPr>
          <w:rFonts w:ascii="宋体" w:hAnsi="宋体"/>
          <w:sz w:val="24"/>
        </w:rPr>
        <w:t>417,430.73万元，营业利润7,957.11万元，净利润5,384.43万元</w:t>
      </w:r>
      <w:r w:rsidRPr="00016309">
        <w:rPr>
          <w:rFonts w:ascii="宋体" w:hAnsi="宋体" w:hint="eastAsia"/>
          <w:sz w:val="24"/>
        </w:rPr>
        <w:t>。</w:t>
      </w:r>
    </w:p>
    <w:p w:rsidR="00D96793" w:rsidRPr="00D96793" w:rsidRDefault="00D96793" w:rsidP="00D96793">
      <w:pPr>
        <w:adjustRightInd w:val="0"/>
        <w:snapToGrid w:val="0"/>
        <w:spacing w:line="349" w:lineRule="auto"/>
        <w:ind w:firstLineChars="200" w:firstLine="420"/>
      </w:pPr>
    </w:p>
    <w:bookmarkEnd w:id="19"/>
    <w:bookmarkEnd w:id="20"/>
    <w:p w:rsidR="00D96793" w:rsidRPr="00D96793" w:rsidRDefault="002853FA" w:rsidP="00D96793">
      <w:pPr>
        <w:adjustRightInd w:val="0"/>
        <w:snapToGrid w:val="0"/>
        <w:spacing w:line="349" w:lineRule="auto"/>
        <w:ind w:firstLineChars="200" w:firstLine="480"/>
        <w:rPr>
          <w:rFonts w:ascii="宋体" w:hAnsi="宋体"/>
          <w:sz w:val="24"/>
        </w:rPr>
      </w:pPr>
      <w:r>
        <w:rPr>
          <w:rFonts w:ascii="宋体" w:hAnsi="宋体" w:hint="eastAsia"/>
          <w:sz w:val="24"/>
        </w:rPr>
        <w:t>2、</w:t>
      </w:r>
      <w:r w:rsidR="00D96793" w:rsidRPr="00D96793">
        <w:rPr>
          <w:rFonts w:ascii="宋体" w:hAnsi="宋体" w:hint="eastAsia"/>
          <w:sz w:val="24"/>
        </w:rPr>
        <w:t>苏州东山精密制造股份有限公司</w:t>
      </w:r>
    </w:p>
    <w:p w:rsidR="00573757" w:rsidRDefault="002853FA" w:rsidP="00096DA8">
      <w:pPr>
        <w:adjustRightInd w:val="0"/>
        <w:snapToGrid w:val="0"/>
        <w:spacing w:line="349" w:lineRule="auto"/>
        <w:ind w:firstLineChars="200" w:firstLine="480"/>
        <w:rPr>
          <w:rFonts w:ascii="宋体" w:hAnsi="宋体"/>
          <w:sz w:val="24"/>
        </w:rPr>
      </w:pPr>
      <w:bookmarkStart w:id="21" w:name="OLE_LINK56"/>
      <w:r>
        <w:rPr>
          <w:rFonts w:ascii="宋体" w:hAnsi="宋体" w:hint="eastAsia"/>
          <w:sz w:val="24"/>
        </w:rPr>
        <w:t>（</w:t>
      </w:r>
      <w:r w:rsidR="00573757">
        <w:rPr>
          <w:rFonts w:ascii="宋体" w:hAnsi="宋体" w:hint="eastAsia"/>
          <w:sz w:val="24"/>
        </w:rPr>
        <w:t>1</w:t>
      </w:r>
      <w:r>
        <w:rPr>
          <w:rFonts w:ascii="宋体" w:hAnsi="宋体" w:hint="eastAsia"/>
          <w:sz w:val="24"/>
        </w:rPr>
        <w:t>）</w:t>
      </w:r>
      <w:r w:rsidR="00835BA0">
        <w:rPr>
          <w:rFonts w:ascii="宋体" w:hAnsi="宋体" w:hint="eastAsia"/>
          <w:sz w:val="24"/>
        </w:rPr>
        <w:t>基本情况</w:t>
      </w:r>
    </w:p>
    <w:p w:rsidR="00376F28" w:rsidRDefault="005E2DE3" w:rsidP="0023509F">
      <w:pPr>
        <w:tabs>
          <w:tab w:val="num" w:pos="900"/>
        </w:tabs>
        <w:adjustRightInd w:val="0"/>
        <w:snapToGrid w:val="0"/>
        <w:spacing w:line="349" w:lineRule="auto"/>
        <w:ind w:firstLineChars="200" w:firstLine="480"/>
        <w:rPr>
          <w:rFonts w:ascii="宋体" w:hAnsi="宋体"/>
          <w:sz w:val="24"/>
        </w:rPr>
      </w:pPr>
      <w:r>
        <w:rPr>
          <w:rFonts w:ascii="宋体" w:hAnsi="宋体" w:hint="eastAsia"/>
          <w:sz w:val="24"/>
        </w:rPr>
        <w:lastRenderedPageBreak/>
        <w:t>公司名称：</w:t>
      </w:r>
      <w:bookmarkStart w:id="22" w:name="OLE_LINK11"/>
      <w:bookmarkStart w:id="23" w:name="OLE_LINK12"/>
      <w:r w:rsidR="00376F28" w:rsidRPr="00376F28">
        <w:rPr>
          <w:rFonts w:ascii="宋体" w:hAnsi="宋体" w:hint="eastAsia"/>
          <w:sz w:val="24"/>
        </w:rPr>
        <w:t>苏州东山精密制造股份有限公司</w:t>
      </w:r>
      <w:bookmarkEnd w:id="22"/>
      <w:bookmarkEnd w:id="23"/>
    </w:p>
    <w:p w:rsidR="00573757" w:rsidRPr="00C17436" w:rsidRDefault="00573757" w:rsidP="0023509F">
      <w:pPr>
        <w:tabs>
          <w:tab w:val="num" w:pos="900"/>
        </w:tabs>
        <w:adjustRightInd w:val="0"/>
        <w:snapToGrid w:val="0"/>
        <w:spacing w:line="349" w:lineRule="auto"/>
        <w:ind w:firstLineChars="200" w:firstLine="480"/>
        <w:rPr>
          <w:rFonts w:ascii="宋体" w:hAnsi="宋体"/>
          <w:sz w:val="24"/>
        </w:rPr>
      </w:pPr>
      <w:bookmarkStart w:id="24" w:name="OLE_LINK9"/>
      <w:bookmarkStart w:id="25" w:name="OLE_LINK10"/>
      <w:r w:rsidRPr="00C17436">
        <w:rPr>
          <w:rFonts w:ascii="宋体" w:hAnsi="宋体" w:hint="eastAsia"/>
          <w:sz w:val="24"/>
        </w:rPr>
        <w:t>统一社会信用代码：</w:t>
      </w:r>
      <w:r w:rsidR="00C17436" w:rsidRPr="00C17436">
        <w:rPr>
          <w:rFonts w:ascii="宋体" w:hAnsi="宋体"/>
          <w:sz w:val="24"/>
        </w:rPr>
        <w:t>91320500703719732P</w:t>
      </w:r>
    </w:p>
    <w:p w:rsidR="00C17436" w:rsidRPr="00C17436" w:rsidRDefault="00573757" w:rsidP="0023509F">
      <w:pPr>
        <w:tabs>
          <w:tab w:val="num" w:pos="900"/>
        </w:tabs>
        <w:adjustRightInd w:val="0"/>
        <w:snapToGrid w:val="0"/>
        <w:spacing w:line="349" w:lineRule="auto"/>
        <w:ind w:firstLineChars="200" w:firstLine="480"/>
        <w:rPr>
          <w:rFonts w:ascii="宋体" w:hAnsi="宋体"/>
          <w:sz w:val="24"/>
        </w:rPr>
      </w:pPr>
      <w:r w:rsidRPr="00C17436">
        <w:rPr>
          <w:rFonts w:ascii="宋体" w:hAnsi="宋体" w:hint="eastAsia"/>
          <w:sz w:val="24"/>
        </w:rPr>
        <w:t>住所：</w:t>
      </w:r>
      <w:proofErr w:type="gramStart"/>
      <w:r w:rsidR="00C17436" w:rsidRPr="00C17436">
        <w:rPr>
          <w:rFonts w:ascii="宋体" w:hAnsi="宋体" w:hint="eastAsia"/>
          <w:sz w:val="24"/>
        </w:rPr>
        <w:t>苏州吴中经济开发区善丰路</w:t>
      </w:r>
      <w:proofErr w:type="gramEnd"/>
      <w:r w:rsidR="00C17436" w:rsidRPr="00C17436">
        <w:rPr>
          <w:rFonts w:ascii="宋体" w:hAnsi="宋体" w:hint="eastAsia"/>
          <w:sz w:val="24"/>
        </w:rPr>
        <w:t>288号</w:t>
      </w:r>
    </w:p>
    <w:p w:rsidR="00C17436" w:rsidRPr="00C17436" w:rsidRDefault="00573757" w:rsidP="0023509F">
      <w:pPr>
        <w:tabs>
          <w:tab w:val="num" w:pos="900"/>
        </w:tabs>
        <w:adjustRightInd w:val="0"/>
        <w:snapToGrid w:val="0"/>
        <w:spacing w:line="349" w:lineRule="auto"/>
        <w:ind w:firstLineChars="200" w:firstLine="480"/>
        <w:rPr>
          <w:rFonts w:ascii="宋体" w:hAnsi="宋体"/>
          <w:sz w:val="24"/>
        </w:rPr>
      </w:pPr>
      <w:r w:rsidRPr="00C17436">
        <w:rPr>
          <w:rFonts w:ascii="宋体" w:hAnsi="宋体" w:hint="eastAsia"/>
          <w:sz w:val="24"/>
        </w:rPr>
        <w:t>企业类型：</w:t>
      </w:r>
      <w:r w:rsidR="00C17436" w:rsidRPr="00C17436">
        <w:rPr>
          <w:rFonts w:ascii="宋体" w:hAnsi="宋体"/>
          <w:sz w:val="24"/>
        </w:rPr>
        <w:t>股份有限公司</w:t>
      </w:r>
    </w:p>
    <w:p w:rsidR="00C17436" w:rsidRPr="00C17436" w:rsidRDefault="00573757" w:rsidP="0023509F">
      <w:pPr>
        <w:tabs>
          <w:tab w:val="num" w:pos="900"/>
        </w:tabs>
        <w:adjustRightInd w:val="0"/>
        <w:snapToGrid w:val="0"/>
        <w:spacing w:line="349" w:lineRule="auto"/>
        <w:ind w:firstLineChars="200" w:firstLine="480"/>
        <w:rPr>
          <w:rFonts w:ascii="宋体" w:hAnsi="宋体"/>
          <w:sz w:val="24"/>
        </w:rPr>
      </w:pPr>
      <w:r w:rsidRPr="00C17436">
        <w:rPr>
          <w:rFonts w:ascii="宋体" w:hAnsi="宋体" w:hint="eastAsia"/>
          <w:sz w:val="24"/>
        </w:rPr>
        <w:t>法定代表人：</w:t>
      </w:r>
      <w:r w:rsidR="00F10DFB">
        <w:fldChar w:fldCharType="begin"/>
      </w:r>
      <w:r w:rsidR="00F10DFB">
        <w:instrText xml:space="preserve"> HYPERLINK "https://aiqicha.baidu.com/person?personId=0c01187c862b5ef6874058d756e346fa" \t "_blank" </w:instrText>
      </w:r>
      <w:r w:rsidR="00F10DFB">
        <w:fldChar w:fldCharType="separate"/>
      </w:r>
      <w:r w:rsidR="00C17436" w:rsidRPr="00C17436">
        <w:rPr>
          <w:rFonts w:ascii="宋体" w:hAnsi="宋体"/>
          <w:sz w:val="24"/>
        </w:rPr>
        <w:t>袁永刚</w:t>
      </w:r>
      <w:r w:rsidR="00F10DFB">
        <w:rPr>
          <w:rFonts w:ascii="宋体" w:hAnsi="宋体"/>
          <w:sz w:val="24"/>
        </w:rPr>
        <w:fldChar w:fldCharType="end"/>
      </w:r>
    </w:p>
    <w:p w:rsidR="00C17436" w:rsidRPr="00C17436" w:rsidRDefault="00C27759" w:rsidP="0023509F">
      <w:pPr>
        <w:tabs>
          <w:tab w:val="num" w:pos="900"/>
        </w:tabs>
        <w:adjustRightInd w:val="0"/>
        <w:snapToGrid w:val="0"/>
        <w:spacing w:line="349" w:lineRule="auto"/>
        <w:ind w:firstLineChars="200" w:firstLine="480"/>
        <w:rPr>
          <w:rFonts w:ascii="宋体" w:hAnsi="宋体"/>
          <w:sz w:val="24"/>
        </w:rPr>
      </w:pPr>
      <w:r w:rsidRPr="00C17436">
        <w:rPr>
          <w:rFonts w:ascii="宋体" w:hAnsi="宋体" w:hint="eastAsia"/>
          <w:sz w:val="24"/>
        </w:rPr>
        <w:t>注册资本：</w:t>
      </w:r>
      <w:r w:rsidR="00C17436" w:rsidRPr="00C17436">
        <w:rPr>
          <w:rFonts w:ascii="宋体" w:hAnsi="宋体"/>
          <w:sz w:val="24"/>
        </w:rPr>
        <w:t>170,591.371万元</w:t>
      </w:r>
    </w:p>
    <w:p w:rsidR="00573757" w:rsidRPr="00C17436" w:rsidRDefault="00573757" w:rsidP="0023509F">
      <w:pPr>
        <w:tabs>
          <w:tab w:val="num" w:pos="900"/>
        </w:tabs>
        <w:adjustRightInd w:val="0"/>
        <w:snapToGrid w:val="0"/>
        <w:spacing w:line="349" w:lineRule="auto"/>
        <w:ind w:firstLineChars="200" w:firstLine="480"/>
        <w:rPr>
          <w:rFonts w:ascii="宋体" w:hAnsi="宋体"/>
          <w:sz w:val="24"/>
        </w:rPr>
      </w:pPr>
      <w:r w:rsidRPr="00C17436">
        <w:rPr>
          <w:rFonts w:ascii="宋体" w:hAnsi="宋体"/>
          <w:sz w:val="24"/>
        </w:rPr>
        <w:t>成立日期：</w:t>
      </w:r>
      <w:r w:rsidR="00C17436" w:rsidRPr="00C17436">
        <w:rPr>
          <w:rFonts w:ascii="宋体" w:hAnsi="宋体"/>
          <w:sz w:val="24"/>
        </w:rPr>
        <w:t>1998年10月28日</w:t>
      </w:r>
    </w:p>
    <w:p w:rsidR="00422A66" w:rsidRDefault="00573757" w:rsidP="0023509F">
      <w:pPr>
        <w:tabs>
          <w:tab w:val="num" w:pos="900"/>
        </w:tabs>
        <w:adjustRightInd w:val="0"/>
        <w:snapToGrid w:val="0"/>
        <w:spacing w:line="349" w:lineRule="auto"/>
        <w:ind w:firstLineChars="200" w:firstLine="480"/>
        <w:rPr>
          <w:rFonts w:ascii="宋体" w:hAnsi="宋体"/>
          <w:sz w:val="24"/>
        </w:rPr>
      </w:pPr>
      <w:r w:rsidRPr="00C17436">
        <w:rPr>
          <w:rFonts w:ascii="宋体" w:hAnsi="宋体" w:hint="eastAsia"/>
          <w:sz w:val="24"/>
        </w:rPr>
        <w:t>经营范围：</w:t>
      </w:r>
      <w:r w:rsidR="00C17436" w:rsidRPr="00C17436">
        <w:rPr>
          <w:rFonts w:ascii="宋体" w:hAnsi="宋体"/>
          <w:sz w:val="24"/>
        </w:rPr>
        <w:t>精密</w:t>
      </w:r>
      <w:proofErr w:type="gramStart"/>
      <w:r w:rsidR="00C17436" w:rsidRPr="00C17436">
        <w:rPr>
          <w:rFonts w:ascii="宋体" w:hAnsi="宋体"/>
          <w:sz w:val="24"/>
        </w:rPr>
        <w:t>钣</w:t>
      </w:r>
      <w:proofErr w:type="gramEnd"/>
      <w:r w:rsidR="00C17436" w:rsidRPr="00C17436">
        <w:rPr>
          <w:rFonts w:ascii="宋体" w:hAnsi="宋体"/>
          <w:sz w:val="24"/>
        </w:rPr>
        <w:t>金加工、五金件、烘漆、微</w:t>
      </w:r>
      <w:bookmarkEnd w:id="24"/>
      <w:bookmarkEnd w:id="25"/>
      <w:r w:rsidR="00C17436" w:rsidRPr="00C17436">
        <w:rPr>
          <w:rFonts w:ascii="宋体" w:hAnsi="宋体"/>
          <w:sz w:val="24"/>
        </w:rPr>
        <w:t>波通信系统设备制造；电子产品生产、销售；电子工业技术研究、咨询服务；超高亮度发光二极管（LED）应用产品系统工程的安装、调试、维修；生产和销售液晶显示器件、LED照明产品、LED背光源及LED显示屏、LED驱动电源及控制系统、LED芯片封装及销售、LED技术开发与服务，合同能源管理；销售新型触控显示屏电子元器件产品，照明工程、城市亮化、景观工程的设计、安装及维护；太阳能产品系统的生产、安装、销售；太阳能工业技术研究、咨询服务；经营本企业自产产品及技术的出口业务；经营本企业生产、科研所需的原辅材料，仪器仪表、机械设备零配件及技术的进口业务；租赁业务；经营进料加工和“三来一补”业务。卫生用品和一次性使用医疗用品生产；医护人员防护用品生产（</w:t>
      </w:r>
      <w:r w:rsidR="00C17436" w:rsidRPr="00C17436">
        <w:rPr>
          <w:rFonts w:ascii="宋体" w:hAnsi="宋体" w:hint="eastAsia"/>
          <w:sz w:val="24"/>
        </w:rPr>
        <w:t>Ⅱ</w:t>
      </w:r>
      <w:r w:rsidR="00C17436" w:rsidRPr="00C17436">
        <w:rPr>
          <w:rFonts w:ascii="宋体" w:hAnsi="宋体"/>
          <w:sz w:val="24"/>
        </w:rPr>
        <w:t>类医疗器械）；用于传染病防治的消毒产品生产；医用口罩生产；医护人员防护用品生产（</w:t>
      </w:r>
      <w:r w:rsidR="00C17436" w:rsidRPr="00C17436">
        <w:rPr>
          <w:rFonts w:ascii="宋体" w:hAnsi="宋体" w:hint="eastAsia"/>
          <w:sz w:val="24"/>
        </w:rPr>
        <w:t>Ⅰ</w:t>
      </w:r>
      <w:r w:rsidR="00C17436" w:rsidRPr="00C17436">
        <w:rPr>
          <w:rFonts w:ascii="宋体" w:hAnsi="宋体"/>
          <w:sz w:val="24"/>
        </w:rPr>
        <w:t>类医疗器械）；卫生用品和一次性使用医疗用品销售；医护人员防护用品零售；医护人员防护用品批发；医用口罩零售；医用口罩批发；消毒剂销售；特种劳动防护用品销售；（依法须经批准的项目，经相关部门批准后方可开展经营活动）</w:t>
      </w:r>
    </w:p>
    <w:p w:rsidR="005656D4" w:rsidRDefault="00C17436" w:rsidP="0023509F">
      <w:pPr>
        <w:tabs>
          <w:tab w:val="num" w:pos="900"/>
        </w:tabs>
        <w:adjustRightInd w:val="0"/>
        <w:snapToGrid w:val="0"/>
        <w:spacing w:line="349" w:lineRule="auto"/>
        <w:ind w:firstLineChars="200" w:firstLine="480"/>
        <w:rPr>
          <w:rFonts w:ascii="宋体" w:hAnsi="宋体"/>
          <w:sz w:val="24"/>
        </w:rPr>
      </w:pPr>
      <w:r w:rsidRPr="00C17436">
        <w:rPr>
          <w:rFonts w:ascii="宋体" w:hAnsi="宋体"/>
          <w:sz w:val="24"/>
        </w:rPr>
        <w:t>一般项目：特种劳动防护用品生产（除依法须经批准的项目外，凭营业执照依法自主开展经营活动）</w:t>
      </w:r>
    </w:p>
    <w:p w:rsidR="005656D4" w:rsidRPr="005656D4" w:rsidRDefault="005E2DE3" w:rsidP="0023509F">
      <w:pPr>
        <w:tabs>
          <w:tab w:val="num" w:pos="900"/>
        </w:tabs>
        <w:adjustRightInd w:val="0"/>
        <w:snapToGrid w:val="0"/>
        <w:spacing w:line="349" w:lineRule="auto"/>
        <w:ind w:firstLineChars="200" w:firstLine="480"/>
        <w:rPr>
          <w:rFonts w:ascii="宋体" w:hAnsi="宋体"/>
          <w:sz w:val="24"/>
        </w:rPr>
      </w:pPr>
      <w:r w:rsidRPr="005656D4">
        <w:rPr>
          <w:rFonts w:ascii="宋体" w:hAnsi="宋体" w:hint="eastAsia"/>
          <w:sz w:val="24"/>
        </w:rPr>
        <w:t>主要</w:t>
      </w:r>
      <w:r w:rsidR="00573757" w:rsidRPr="005656D4">
        <w:rPr>
          <w:rFonts w:ascii="宋体" w:hAnsi="宋体" w:hint="eastAsia"/>
          <w:sz w:val="24"/>
        </w:rPr>
        <w:t>股东情况：</w:t>
      </w:r>
      <w:r w:rsidR="00D1583E" w:rsidRPr="005656D4">
        <w:rPr>
          <w:rFonts w:ascii="宋体" w:hAnsi="宋体" w:hint="eastAsia"/>
          <w:sz w:val="24"/>
        </w:rPr>
        <w:t>截至</w:t>
      </w:r>
      <w:r w:rsidR="00AB3E92" w:rsidRPr="005656D4">
        <w:rPr>
          <w:rFonts w:ascii="宋体" w:hAnsi="宋体" w:hint="eastAsia"/>
          <w:sz w:val="24"/>
        </w:rPr>
        <w:t>2024</w:t>
      </w:r>
      <w:r w:rsidR="00D1583E" w:rsidRPr="005656D4">
        <w:rPr>
          <w:rFonts w:ascii="宋体" w:hAnsi="宋体" w:hint="eastAsia"/>
          <w:sz w:val="24"/>
        </w:rPr>
        <w:t>年末，</w:t>
      </w:r>
      <w:r w:rsidR="00AB3E92" w:rsidRPr="005656D4">
        <w:rPr>
          <w:rFonts w:ascii="宋体" w:hAnsi="宋体" w:hint="eastAsia"/>
          <w:sz w:val="24"/>
        </w:rPr>
        <w:t>袁永峰</w:t>
      </w:r>
      <w:r w:rsidR="00573757" w:rsidRPr="005656D4">
        <w:rPr>
          <w:rFonts w:ascii="宋体" w:hAnsi="宋体" w:hint="eastAsia"/>
          <w:sz w:val="24"/>
        </w:rPr>
        <w:t>持股比例为</w:t>
      </w:r>
      <w:r w:rsidR="00AB3E92" w:rsidRPr="005656D4">
        <w:rPr>
          <w:rFonts w:ascii="宋体" w:hAnsi="宋体" w:hint="eastAsia"/>
          <w:sz w:val="24"/>
        </w:rPr>
        <w:t>13.04</w:t>
      </w:r>
      <w:r w:rsidR="00573757" w:rsidRPr="005656D4">
        <w:rPr>
          <w:rFonts w:ascii="宋体" w:hAnsi="宋体" w:hint="eastAsia"/>
          <w:sz w:val="24"/>
        </w:rPr>
        <w:t>%，</w:t>
      </w:r>
      <w:r w:rsidR="00AB3E92" w:rsidRPr="005656D4">
        <w:rPr>
          <w:rFonts w:ascii="宋体" w:hAnsi="宋体" w:hint="eastAsia"/>
          <w:sz w:val="24"/>
        </w:rPr>
        <w:t>袁永刚</w:t>
      </w:r>
      <w:r w:rsidR="00573757" w:rsidRPr="005656D4">
        <w:rPr>
          <w:rFonts w:ascii="宋体" w:hAnsi="宋体" w:hint="eastAsia"/>
          <w:sz w:val="24"/>
        </w:rPr>
        <w:t>持股</w:t>
      </w:r>
      <w:r w:rsidR="00873A7D" w:rsidRPr="005656D4">
        <w:rPr>
          <w:rFonts w:ascii="宋体" w:hAnsi="宋体" w:hint="eastAsia"/>
          <w:sz w:val="24"/>
        </w:rPr>
        <w:t>比例为</w:t>
      </w:r>
      <w:r w:rsidR="005656D4" w:rsidRPr="005656D4">
        <w:rPr>
          <w:rFonts w:ascii="宋体" w:hAnsi="宋体" w:hint="eastAsia"/>
          <w:sz w:val="24"/>
        </w:rPr>
        <w:t>11.85</w:t>
      </w:r>
      <w:r w:rsidR="00573757" w:rsidRPr="005656D4">
        <w:rPr>
          <w:rFonts w:ascii="宋体" w:hAnsi="宋体" w:hint="eastAsia"/>
          <w:sz w:val="24"/>
        </w:rPr>
        <w:t>%，</w:t>
      </w:r>
      <w:r w:rsidR="005656D4" w:rsidRPr="005656D4">
        <w:rPr>
          <w:rFonts w:ascii="宋体" w:hAnsi="宋体" w:hint="eastAsia"/>
          <w:sz w:val="24"/>
        </w:rPr>
        <w:t>袁富根持股比例3.45</w:t>
      </w:r>
      <w:r w:rsidRPr="005656D4">
        <w:rPr>
          <w:rFonts w:ascii="宋体" w:hAnsi="宋体" w:hint="eastAsia"/>
          <w:sz w:val="24"/>
        </w:rPr>
        <w:t>%。</w:t>
      </w:r>
    </w:p>
    <w:p w:rsidR="00573757" w:rsidRDefault="005656D4" w:rsidP="0023509F">
      <w:pPr>
        <w:tabs>
          <w:tab w:val="num" w:pos="900"/>
        </w:tabs>
        <w:adjustRightInd w:val="0"/>
        <w:snapToGrid w:val="0"/>
        <w:spacing w:line="349" w:lineRule="auto"/>
        <w:ind w:firstLineChars="200" w:firstLine="480"/>
        <w:rPr>
          <w:rFonts w:ascii="宋体" w:hAnsi="宋体"/>
          <w:sz w:val="24"/>
        </w:rPr>
      </w:pPr>
      <w:r w:rsidRPr="005656D4">
        <w:rPr>
          <w:rFonts w:ascii="宋体" w:hAnsi="宋体"/>
          <w:sz w:val="24"/>
        </w:rPr>
        <w:t>上述股东中，</w:t>
      </w:r>
      <w:r w:rsidR="001C705D">
        <w:rPr>
          <w:rFonts w:ascii="宋体" w:hAnsi="宋体"/>
          <w:sz w:val="24"/>
        </w:rPr>
        <w:t>袁永刚、袁永峰系袁富根之子，袁永峰系袁永刚之兄长，上述父子三人为</w:t>
      </w:r>
      <w:r w:rsidRPr="005656D4">
        <w:rPr>
          <w:rFonts w:ascii="宋体" w:hAnsi="宋体"/>
          <w:sz w:val="24"/>
        </w:rPr>
        <w:t>东山精密的实际控制人。</w:t>
      </w:r>
    </w:p>
    <w:p w:rsidR="00422A66" w:rsidRPr="005656D4" w:rsidRDefault="00422A66" w:rsidP="0023509F">
      <w:pPr>
        <w:tabs>
          <w:tab w:val="num" w:pos="900"/>
        </w:tabs>
        <w:adjustRightInd w:val="0"/>
        <w:snapToGrid w:val="0"/>
        <w:spacing w:line="349" w:lineRule="auto"/>
        <w:ind w:firstLineChars="200" w:firstLine="480"/>
        <w:rPr>
          <w:rFonts w:ascii="宋体" w:hAnsi="宋体"/>
          <w:sz w:val="24"/>
        </w:rPr>
      </w:pPr>
    </w:p>
    <w:p w:rsidR="005E2DE3" w:rsidRDefault="002853FA" w:rsidP="00096DA8">
      <w:pPr>
        <w:adjustRightInd w:val="0"/>
        <w:snapToGrid w:val="0"/>
        <w:spacing w:line="349" w:lineRule="auto"/>
        <w:ind w:firstLineChars="200" w:firstLine="480"/>
        <w:rPr>
          <w:rFonts w:ascii="宋体" w:hAnsi="宋体"/>
          <w:sz w:val="24"/>
        </w:rPr>
      </w:pPr>
      <w:r>
        <w:rPr>
          <w:rFonts w:ascii="宋体" w:hAnsi="宋体" w:hint="eastAsia"/>
          <w:sz w:val="24"/>
        </w:rPr>
        <w:t>（</w:t>
      </w:r>
      <w:r w:rsidR="00573757" w:rsidRPr="001E4DEB">
        <w:rPr>
          <w:rFonts w:ascii="宋体" w:hAnsi="宋体" w:hint="eastAsia"/>
          <w:sz w:val="24"/>
        </w:rPr>
        <w:t>2</w:t>
      </w:r>
      <w:r>
        <w:rPr>
          <w:rFonts w:ascii="宋体" w:hAnsi="宋体" w:hint="eastAsia"/>
          <w:sz w:val="24"/>
        </w:rPr>
        <w:t>）</w:t>
      </w:r>
      <w:r w:rsidR="005E2DE3">
        <w:rPr>
          <w:rFonts w:ascii="宋体" w:hAnsi="宋体" w:hint="eastAsia"/>
          <w:sz w:val="24"/>
        </w:rPr>
        <w:t>最近一年主要财务数据</w:t>
      </w:r>
    </w:p>
    <w:p w:rsidR="00873A7D" w:rsidRDefault="00873A7D" w:rsidP="00096DA8">
      <w:pPr>
        <w:adjustRightInd w:val="0"/>
        <w:snapToGrid w:val="0"/>
        <w:spacing w:line="349" w:lineRule="auto"/>
        <w:ind w:firstLineChars="200" w:firstLine="480"/>
        <w:rPr>
          <w:rFonts w:ascii="宋体" w:hAnsi="宋体"/>
          <w:sz w:val="24"/>
        </w:rPr>
      </w:pPr>
      <w:r w:rsidRPr="00873A7D">
        <w:rPr>
          <w:rFonts w:ascii="宋体" w:hAnsi="宋体" w:hint="eastAsia"/>
          <w:sz w:val="24"/>
        </w:rPr>
        <w:t>截至</w:t>
      </w:r>
      <w:r w:rsidR="00C17436">
        <w:rPr>
          <w:rFonts w:ascii="宋体" w:hAnsi="宋体" w:hint="eastAsia"/>
          <w:sz w:val="24"/>
        </w:rPr>
        <w:t>2024</w:t>
      </w:r>
      <w:r w:rsidRPr="00873A7D">
        <w:rPr>
          <w:rFonts w:ascii="宋体" w:hAnsi="宋体" w:hint="eastAsia"/>
          <w:sz w:val="24"/>
        </w:rPr>
        <w:t>年12月31日</w:t>
      </w:r>
      <w:r w:rsidR="006D7500">
        <w:rPr>
          <w:rFonts w:ascii="宋体" w:hAnsi="宋体" w:hint="eastAsia"/>
          <w:sz w:val="24"/>
        </w:rPr>
        <w:t>，</w:t>
      </w:r>
      <w:r w:rsidR="00376F28">
        <w:rPr>
          <w:rFonts w:ascii="宋体" w:hAnsi="宋体" w:hint="eastAsia"/>
          <w:sz w:val="24"/>
        </w:rPr>
        <w:t>东山精密</w:t>
      </w:r>
      <w:r w:rsidRPr="00873A7D">
        <w:rPr>
          <w:rFonts w:ascii="宋体" w:hAnsi="宋体" w:hint="eastAsia"/>
          <w:sz w:val="24"/>
        </w:rPr>
        <w:t>经审计总资产</w:t>
      </w:r>
      <w:r w:rsidR="005656D4">
        <w:rPr>
          <w:rFonts w:ascii="宋体" w:hAnsi="宋体" w:hint="eastAsia"/>
          <w:sz w:val="24"/>
        </w:rPr>
        <w:t>4</w:t>
      </w:r>
      <w:r w:rsidR="006445C2">
        <w:rPr>
          <w:rFonts w:ascii="宋体" w:hAnsi="宋体" w:hint="eastAsia"/>
          <w:sz w:val="24"/>
        </w:rPr>
        <w:t>,</w:t>
      </w:r>
      <w:r w:rsidR="005656D4">
        <w:rPr>
          <w:rFonts w:ascii="宋体" w:hAnsi="宋体" w:hint="eastAsia"/>
          <w:sz w:val="24"/>
        </w:rPr>
        <w:t>601</w:t>
      </w:r>
      <w:r w:rsidR="006445C2">
        <w:rPr>
          <w:rFonts w:ascii="宋体" w:hAnsi="宋体" w:hint="eastAsia"/>
          <w:sz w:val="24"/>
        </w:rPr>
        <w:t>,</w:t>
      </w:r>
      <w:r w:rsidR="005656D4">
        <w:rPr>
          <w:rFonts w:ascii="宋体" w:hAnsi="宋体" w:hint="eastAsia"/>
          <w:sz w:val="24"/>
        </w:rPr>
        <w:t>417.31</w:t>
      </w:r>
      <w:r w:rsidRPr="00873A7D">
        <w:rPr>
          <w:rFonts w:ascii="宋体" w:hAnsi="宋体" w:hint="eastAsia"/>
          <w:sz w:val="24"/>
        </w:rPr>
        <w:t>万元，</w:t>
      </w:r>
      <w:r w:rsidR="004161C2" w:rsidRPr="004161C2">
        <w:rPr>
          <w:rFonts w:ascii="宋体" w:hAnsi="宋体" w:hint="eastAsia"/>
          <w:sz w:val="24"/>
        </w:rPr>
        <w:t>归</w:t>
      </w:r>
      <w:r w:rsidR="006D7500">
        <w:rPr>
          <w:rFonts w:ascii="宋体" w:hAnsi="宋体" w:hint="eastAsia"/>
          <w:sz w:val="24"/>
        </w:rPr>
        <w:t>属于上市公司股东的</w:t>
      </w:r>
      <w:r w:rsidR="004161C2" w:rsidRPr="004161C2">
        <w:rPr>
          <w:rFonts w:ascii="宋体" w:hAnsi="宋体" w:hint="eastAsia"/>
          <w:sz w:val="24"/>
        </w:rPr>
        <w:t>净资产</w:t>
      </w:r>
      <w:r w:rsidR="005656D4">
        <w:rPr>
          <w:rFonts w:ascii="宋体" w:hAnsi="宋体" w:hint="eastAsia"/>
          <w:sz w:val="24"/>
        </w:rPr>
        <w:t>1</w:t>
      </w:r>
      <w:r w:rsidR="006445C2">
        <w:rPr>
          <w:rFonts w:ascii="宋体" w:hAnsi="宋体" w:hint="eastAsia"/>
          <w:sz w:val="24"/>
        </w:rPr>
        <w:t>,</w:t>
      </w:r>
      <w:r w:rsidR="005656D4">
        <w:rPr>
          <w:rFonts w:ascii="宋体" w:hAnsi="宋体" w:hint="eastAsia"/>
          <w:sz w:val="24"/>
        </w:rPr>
        <w:t>882</w:t>
      </w:r>
      <w:r w:rsidR="006445C2">
        <w:rPr>
          <w:rFonts w:ascii="宋体" w:hAnsi="宋体" w:hint="eastAsia"/>
          <w:sz w:val="24"/>
        </w:rPr>
        <w:t>,638.73</w:t>
      </w:r>
      <w:r w:rsidR="004161C2" w:rsidRPr="004161C2">
        <w:rPr>
          <w:rFonts w:ascii="宋体" w:hAnsi="宋体" w:hint="eastAsia"/>
          <w:sz w:val="24"/>
        </w:rPr>
        <w:t>万元</w:t>
      </w:r>
      <w:r w:rsidRPr="00873A7D">
        <w:rPr>
          <w:rFonts w:ascii="宋体" w:hAnsi="宋体" w:hint="eastAsia"/>
          <w:sz w:val="24"/>
        </w:rPr>
        <w:t>；</w:t>
      </w:r>
      <w:r w:rsidR="006D7500">
        <w:rPr>
          <w:rFonts w:ascii="宋体" w:hAnsi="宋体" w:hint="eastAsia"/>
          <w:sz w:val="24"/>
        </w:rPr>
        <w:t>202</w:t>
      </w:r>
      <w:r w:rsidR="00C17436">
        <w:rPr>
          <w:rFonts w:ascii="宋体" w:hAnsi="宋体" w:hint="eastAsia"/>
          <w:sz w:val="24"/>
        </w:rPr>
        <w:t>4</w:t>
      </w:r>
      <w:r w:rsidRPr="00873A7D">
        <w:rPr>
          <w:rFonts w:ascii="宋体" w:hAnsi="宋体" w:hint="eastAsia"/>
          <w:sz w:val="24"/>
        </w:rPr>
        <w:t>年度</w:t>
      </w:r>
      <w:r w:rsidR="006D7500">
        <w:rPr>
          <w:rFonts w:ascii="宋体" w:hAnsi="宋体" w:hint="eastAsia"/>
          <w:sz w:val="24"/>
        </w:rPr>
        <w:t>实现</w:t>
      </w:r>
      <w:r w:rsidRPr="00873A7D">
        <w:rPr>
          <w:rFonts w:ascii="宋体" w:hAnsi="宋体" w:hint="eastAsia"/>
          <w:sz w:val="24"/>
        </w:rPr>
        <w:t>营业收入</w:t>
      </w:r>
      <w:r w:rsidR="006445C2">
        <w:rPr>
          <w:rFonts w:ascii="宋体" w:hAnsi="宋体" w:hint="eastAsia"/>
          <w:sz w:val="24"/>
        </w:rPr>
        <w:lastRenderedPageBreak/>
        <w:t>3,677,037.43</w:t>
      </w:r>
      <w:r w:rsidRPr="00873A7D">
        <w:rPr>
          <w:rFonts w:ascii="宋体" w:hAnsi="宋体" w:hint="eastAsia"/>
          <w:sz w:val="24"/>
        </w:rPr>
        <w:t>万元，营业利润</w:t>
      </w:r>
      <w:r w:rsidR="006445C2">
        <w:rPr>
          <w:rFonts w:ascii="宋体" w:hAnsi="宋体" w:hint="eastAsia"/>
          <w:sz w:val="24"/>
        </w:rPr>
        <w:t>147,960.25</w:t>
      </w:r>
      <w:r w:rsidRPr="00873A7D">
        <w:rPr>
          <w:rFonts w:ascii="宋体" w:hAnsi="宋体" w:hint="eastAsia"/>
          <w:sz w:val="24"/>
        </w:rPr>
        <w:t>万元，</w:t>
      </w:r>
      <w:r w:rsidR="00A25AEC">
        <w:rPr>
          <w:rFonts w:ascii="宋体" w:hAnsi="宋体" w:hint="eastAsia"/>
          <w:sz w:val="24"/>
        </w:rPr>
        <w:t>归</w:t>
      </w:r>
      <w:r w:rsidR="006D7500">
        <w:rPr>
          <w:rFonts w:ascii="宋体" w:hAnsi="宋体" w:hint="eastAsia"/>
          <w:sz w:val="24"/>
        </w:rPr>
        <w:t>属于上市公司股东</w:t>
      </w:r>
      <w:r w:rsidR="0023509F">
        <w:rPr>
          <w:rFonts w:ascii="宋体" w:hAnsi="宋体" w:hint="eastAsia"/>
          <w:sz w:val="24"/>
        </w:rPr>
        <w:t>的</w:t>
      </w:r>
      <w:r w:rsidRPr="00873A7D">
        <w:rPr>
          <w:rFonts w:ascii="宋体" w:hAnsi="宋体" w:hint="eastAsia"/>
          <w:sz w:val="24"/>
        </w:rPr>
        <w:t>净利润</w:t>
      </w:r>
      <w:r w:rsidR="006445C2">
        <w:rPr>
          <w:rFonts w:ascii="宋体" w:hAnsi="宋体" w:hint="eastAsia"/>
          <w:sz w:val="24"/>
        </w:rPr>
        <w:t>108,564.18</w:t>
      </w:r>
      <w:r w:rsidRPr="00873A7D">
        <w:rPr>
          <w:rFonts w:ascii="宋体" w:hAnsi="宋体" w:hint="eastAsia"/>
          <w:sz w:val="24"/>
        </w:rPr>
        <w:t>万元；经营活动产生的现金流量净额</w:t>
      </w:r>
      <w:r w:rsidR="006445C2">
        <w:rPr>
          <w:rFonts w:ascii="宋体" w:hAnsi="宋体" w:hint="eastAsia"/>
          <w:sz w:val="24"/>
        </w:rPr>
        <w:t>498,601.87</w:t>
      </w:r>
      <w:r w:rsidRPr="00873A7D">
        <w:rPr>
          <w:rFonts w:ascii="宋体" w:hAnsi="宋体" w:hint="eastAsia"/>
          <w:sz w:val="24"/>
        </w:rPr>
        <w:t>万元。</w:t>
      </w:r>
    </w:p>
    <w:p w:rsidR="00422A66" w:rsidRPr="00873A7D" w:rsidRDefault="00422A66" w:rsidP="00096DA8">
      <w:pPr>
        <w:adjustRightInd w:val="0"/>
        <w:snapToGrid w:val="0"/>
        <w:spacing w:line="349" w:lineRule="auto"/>
        <w:ind w:firstLineChars="200" w:firstLine="480"/>
        <w:rPr>
          <w:rFonts w:ascii="宋体" w:hAnsi="宋体"/>
          <w:sz w:val="24"/>
        </w:rPr>
      </w:pPr>
    </w:p>
    <w:p w:rsidR="007271DB" w:rsidRDefault="002853FA" w:rsidP="00096DA8">
      <w:pPr>
        <w:adjustRightInd w:val="0"/>
        <w:snapToGrid w:val="0"/>
        <w:spacing w:line="349" w:lineRule="auto"/>
        <w:ind w:firstLineChars="200" w:firstLine="480"/>
        <w:rPr>
          <w:rFonts w:ascii="宋体" w:hAnsi="宋体"/>
          <w:sz w:val="24"/>
        </w:rPr>
      </w:pPr>
      <w:r>
        <w:rPr>
          <w:rFonts w:ascii="宋体" w:hAnsi="宋体" w:hint="eastAsia"/>
          <w:sz w:val="24"/>
        </w:rPr>
        <w:t>3、上述收购方</w:t>
      </w:r>
      <w:r w:rsidR="00573757">
        <w:rPr>
          <w:rFonts w:ascii="宋体" w:hAnsi="宋体" w:hint="eastAsia"/>
          <w:sz w:val="24"/>
        </w:rPr>
        <w:t>与公司及控股股东</w:t>
      </w:r>
      <w:r w:rsidR="00D1583E">
        <w:rPr>
          <w:rFonts w:ascii="宋体" w:hAnsi="宋体" w:hint="eastAsia"/>
          <w:sz w:val="24"/>
        </w:rPr>
        <w:t>、持股5%以上的股东</w:t>
      </w:r>
      <w:r w:rsidR="00573757">
        <w:rPr>
          <w:rFonts w:ascii="宋体" w:hAnsi="宋体" w:hint="eastAsia"/>
          <w:sz w:val="24"/>
        </w:rPr>
        <w:t>在产权、业务、资产、债权债务、人员等方面</w:t>
      </w:r>
      <w:r w:rsidR="00573757" w:rsidRPr="00097A86">
        <w:rPr>
          <w:rFonts w:ascii="宋体" w:hAnsi="宋体" w:hint="eastAsia"/>
          <w:sz w:val="24"/>
        </w:rPr>
        <w:t>不存在关系，</w:t>
      </w:r>
      <w:r w:rsidR="00573757">
        <w:rPr>
          <w:rFonts w:ascii="宋体" w:hAnsi="宋体" w:hint="eastAsia"/>
          <w:sz w:val="24"/>
        </w:rPr>
        <w:t>也不存在其他可能或已经造成公司对其利益倾斜的其他关系。</w:t>
      </w:r>
    </w:p>
    <w:p w:rsidR="00422A66" w:rsidRDefault="00422A66" w:rsidP="00096DA8">
      <w:pPr>
        <w:adjustRightInd w:val="0"/>
        <w:snapToGrid w:val="0"/>
        <w:spacing w:line="349" w:lineRule="auto"/>
        <w:ind w:firstLineChars="200" w:firstLine="480"/>
        <w:rPr>
          <w:rFonts w:ascii="宋体" w:hAnsi="宋体"/>
          <w:sz w:val="24"/>
        </w:rPr>
      </w:pPr>
    </w:p>
    <w:p w:rsidR="00573757" w:rsidRDefault="002853FA" w:rsidP="00096DA8">
      <w:pPr>
        <w:adjustRightInd w:val="0"/>
        <w:snapToGrid w:val="0"/>
        <w:spacing w:line="349" w:lineRule="auto"/>
        <w:ind w:firstLineChars="200" w:firstLine="480"/>
        <w:rPr>
          <w:rFonts w:ascii="宋体" w:hAnsi="宋体"/>
          <w:sz w:val="24"/>
        </w:rPr>
      </w:pPr>
      <w:r>
        <w:rPr>
          <w:rFonts w:ascii="宋体" w:hAnsi="宋体" w:hint="eastAsia"/>
          <w:sz w:val="24"/>
        </w:rPr>
        <w:t>4、</w:t>
      </w:r>
      <w:r w:rsidR="00573757" w:rsidRPr="006E41C6">
        <w:rPr>
          <w:rFonts w:ascii="宋体" w:hAnsi="宋体" w:hint="eastAsia"/>
          <w:sz w:val="24"/>
        </w:rPr>
        <w:t>经核查，</w:t>
      </w:r>
      <w:r w:rsidR="00CA4E83">
        <w:rPr>
          <w:rFonts w:ascii="宋体" w:hAnsi="宋体" w:hint="eastAsia"/>
          <w:sz w:val="24"/>
        </w:rPr>
        <w:t>东山精密</w:t>
      </w:r>
      <w:r w:rsidR="00573757" w:rsidRPr="006E41C6">
        <w:rPr>
          <w:rFonts w:ascii="宋体" w:hAnsi="宋体" w:hint="eastAsia"/>
          <w:sz w:val="24"/>
        </w:rPr>
        <w:t>不属于失信被执行人。</w:t>
      </w:r>
    </w:p>
    <w:bookmarkEnd w:id="13"/>
    <w:bookmarkEnd w:id="14"/>
    <w:bookmarkEnd w:id="17"/>
    <w:bookmarkEnd w:id="21"/>
    <w:p w:rsidR="00573757" w:rsidRPr="00887C6A" w:rsidRDefault="00573757" w:rsidP="0016125E">
      <w:pPr>
        <w:adjustRightInd w:val="0"/>
        <w:snapToGrid w:val="0"/>
        <w:spacing w:line="360" w:lineRule="auto"/>
        <w:ind w:firstLineChars="200" w:firstLine="480"/>
        <w:rPr>
          <w:rFonts w:ascii="宋体" w:hAnsi="宋体"/>
          <w:sz w:val="24"/>
        </w:rPr>
      </w:pPr>
    </w:p>
    <w:p w:rsidR="0016125E" w:rsidRPr="003D2761" w:rsidRDefault="005E2DE3" w:rsidP="003D2761">
      <w:pPr>
        <w:tabs>
          <w:tab w:val="num" w:pos="900"/>
        </w:tabs>
        <w:adjustRightInd w:val="0"/>
        <w:snapToGrid w:val="0"/>
        <w:spacing w:line="360" w:lineRule="auto"/>
        <w:ind w:firstLineChars="200" w:firstLine="482"/>
        <w:rPr>
          <w:rFonts w:ascii="宋体" w:hAnsi="宋体"/>
          <w:b/>
          <w:sz w:val="24"/>
          <w:szCs w:val="22"/>
        </w:rPr>
      </w:pPr>
      <w:r w:rsidRPr="003D2761">
        <w:rPr>
          <w:rFonts w:ascii="宋体" w:hAnsi="宋体" w:hint="eastAsia"/>
          <w:b/>
          <w:sz w:val="24"/>
          <w:szCs w:val="22"/>
        </w:rPr>
        <w:t>三</w:t>
      </w:r>
      <w:r w:rsidR="0016125E" w:rsidRPr="003D2761">
        <w:rPr>
          <w:rFonts w:ascii="宋体" w:hAnsi="宋体" w:hint="eastAsia"/>
          <w:b/>
          <w:sz w:val="24"/>
          <w:szCs w:val="22"/>
        </w:rPr>
        <w:t>、</w:t>
      </w:r>
      <w:r w:rsidR="00135D25" w:rsidRPr="003D2761">
        <w:rPr>
          <w:rFonts w:ascii="宋体" w:hAnsi="宋体" w:hint="eastAsia"/>
          <w:b/>
          <w:sz w:val="24"/>
          <w:szCs w:val="22"/>
        </w:rPr>
        <w:t>交易标的</w:t>
      </w:r>
      <w:r w:rsidR="0016125E" w:rsidRPr="003D2761">
        <w:rPr>
          <w:rFonts w:ascii="宋体" w:hAnsi="宋体" w:hint="eastAsia"/>
          <w:b/>
          <w:sz w:val="24"/>
          <w:szCs w:val="22"/>
        </w:rPr>
        <w:t>基本情况</w:t>
      </w:r>
    </w:p>
    <w:p w:rsidR="003D2761" w:rsidRPr="00B51AC5" w:rsidRDefault="0016125E" w:rsidP="003D2761">
      <w:pPr>
        <w:tabs>
          <w:tab w:val="num" w:pos="900"/>
        </w:tabs>
        <w:adjustRightInd w:val="0"/>
        <w:snapToGrid w:val="0"/>
        <w:spacing w:line="360" w:lineRule="auto"/>
        <w:ind w:firstLineChars="200" w:firstLine="480"/>
        <w:rPr>
          <w:rFonts w:ascii="宋体" w:hAnsi="宋体"/>
          <w:sz w:val="24"/>
          <w:szCs w:val="22"/>
        </w:rPr>
      </w:pPr>
      <w:r w:rsidRPr="00B51AC5">
        <w:rPr>
          <w:rFonts w:ascii="宋体" w:hAnsi="宋体" w:hint="eastAsia"/>
          <w:sz w:val="24"/>
          <w:szCs w:val="22"/>
        </w:rPr>
        <w:t>1、截至</w:t>
      </w:r>
      <w:r w:rsidR="00AD4EA3" w:rsidRPr="00B51AC5">
        <w:rPr>
          <w:rFonts w:ascii="宋体" w:hAnsi="宋体" w:hint="eastAsia"/>
          <w:sz w:val="24"/>
          <w:szCs w:val="22"/>
        </w:rPr>
        <w:t>20</w:t>
      </w:r>
      <w:r w:rsidR="006445C2">
        <w:rPr>
          <w:rFonts w:ascii="宋体" w:hAnsi="宋体" w:hint="eastAsia"/>
          <w:sz w:val="24"/>
          <w:szCs w:val="22"/>
        </w:rPr>
        <w:t>24</w:t>
      </w:r>
      <w:r w:rsidR="00AD4EA3" w:rsidRPr="00B51AC5">
        <w:rPr>
          <w:rFonts w:ascii="宋体" w:hAnsi="宋体" w:hint="eastAsia"/>
          <w:sz w:val="24"/>
          <w:szCs w:val="22"/>
        </w:rPr>
        <w:t>年12月31日</w:t>
      </w:r>
      <w:r w:rsidRPr="00B51AC5">
        <w:rPr>
          <w:rFonts w:ascii="宋体" w:hAnsi="宋体" w:hint="eastAsia"/>
          <w:sz w:val="24"/>
          <w:szCs w:val="22"/>
        </w:rPr>
        <w:t>，</w:t>
      </w:r>
      <w:r w:rsidR="005E2DE3" w:rsidRPr="00B51AC5">
        <w:rPr>
          <w:rFonts w:ascii="宋体" w:hAnsi="宋体" w:hint="eastAsia"/>
          <w:sz w:val="24"/>
          <w:szCs w:val="22"/>
        </w:rPr>
        <w:t>上海启</w:t>
      </w:r>
      <w:proofErr w:type="gramStart"/>
      <w:r w:rsidR="005E2DE3" w:rsidRPr="00B51AC5">
        <w:rPr>
          <w:rFonts w:ascii="宋体" w:hAnsi="宋体" w:hint="eastAsia"/>
          <w:sz w:val="24"/>
          <w:szCs w:val="22"/>
        </w:rPr>
        <w:t>澜</w:t>
      </w:r>
      <w:proofErr w:type="gramEnd"/>
      <w:r w:rsidRPr="00B51AC5">
        <w:rPr>
          <w:rFonts w:ascii="宋体" w:hAnsi="宋体" w:hint="eastAsia"/>
          <w:sz w:val="24"/>
          <w:szCs w:val="22"/>
        </w:rPr>
        <w:t>持有的</w:t>
      </w:r>
      <w:r w:rsidR="005E2DE3" w:rsidRPr="00B51AC5">
        <w:rPr>
          <w:rFonts w:ascii="宋体" w:hAnsi="宋体" w:hint="eastAsia"/>
          <w:sz w:val="24"/>
          <w:szCs w:val="22"/>
        </w:rPr>
        <w:t>索尔思光电</w:t>
      </w:r>
      <w:r w:rsidR="00EA5D74" w:rsidRPr="003D2761">
        <w:rPr>
          <w:rFonts w:ascii="宋体" w:hAnsi="宋体" w:hint="eastAsia"/>
          <w:sz w:val="24"/>
          <w:szCs w:val="22"/>
        </w:rPr>
        <w:t>6,549.65万股股份</w:t>
      </w:r>
      <w:r w:rsidRPr="00B51AC5">
        <w:rPr>
          <w:rFonts w:ascii="宋体" w:hAnsi="宋体" w:hint="eastAsia"/>
          <w:sz w:val="24"/>
          <w:szCs w:val="22"/>
        </w:rPr>
        <w:t>账面值为人民币</w:t>
      </w:r>
      <w:r w:rsidR="006445C2">
        <w:rPr>
          <w:rFonts w:ascii="宋体" w:hAnsi="宋体" w:hint="eastAsia"/>
          <w:sz w:val="24"/>
          <w:szCs w:val="22"/>
        </w:rPr>
        <w:t>106,095.08</w:t>
      </w:r>
      <w:r w:rsidR="003D2761">
        <w:rPr>
          <w:rFonts w:ascii="宋体" w:hAnsi="宋体" w:hint="eastAsia"/>
          <w:sz w:val="24"/>
          <w:szCs w:val="22"/>
        </w:rPr>
        <w:t>万元。</w:t>
      </w:r>
    </w:p>
    <w:p w:rsidR="0016125E" w:rsidRPr="00AD4EA3" w:rsidRDefault="0016125E" w:rsidP="0016125E">
      <w:pPr>
        <w:tabs>
          <w:tab w:val="num" w:pos="900"/>
        </w:tabs>
        <w:adjustRightInd w:val="0"/>
        <w:snapToGrid w:val="0"/>
        <w:spacing w:line="360" w:lineRule="auto"/>
        <w:ind w:firstLineChars="200" w:firstLine="480"/>
        <w:rPr>
          <w:rFonts w:ascii="宋体" w:hAnsi="宋体"/>
          <w:sz w:val="24"/>
          <w:szCs w:val="22"/>
        </w:rPr>
      </w:pPr>
    </w:p>
    <w:p w:rsidR="0016125E" w:rsidRPr="0016125E" w:rsidRDefault="0016125E" w:rsidP="0016125E">
      <w:pPr>
        <w:tabs>
          <w:tab w:val="num" w:pos="900"/>
        </w:tabs>
        <w:adjustRightInd w:val="0"/>
        <w:snapToGrid w:val="0"/>
        <w:spacing w:line="360" w:lineRule="auto"/>
        <w:ind w:firstLineChars="200" w:firstLine="480"/>
        <w:rPr>
          <w:rFonts w:ascii="宋体" w:hAnsi="宋体"/>
          <w:sz w:val="24"/>
          <w:szCs w:val="22"/>
        </w:rPr>
      </w:pPr>
      <w:r w:rsidRPr="0016125E">
        <w:rPr>
          <w:rFonts w:ascii="宋体" w:hAnsi="宋体" w:hint="eastAsia"/>
          <w:sz w:val="24"/>
          <w:szCs w:val="22"/>
        </w:rPr>
        <w:t>2</w:t>
      </w:r>
      <w:r w:rsidR="00D25A3F">
        <w:rPr>
          <w:rFonts w:ascii="宋体" w:hAnsi="宋体" w:hint="eastAsia"/>
          <w:sz w:val="24"/>
          <w:szCs w:val="22"/>
        </w:rPr>
        <w:t>、上述股份不存在抵押、质押或者</w:t>
      </w:r>
      <w:proofErr w:type="gramStart"/>
      <w:r w:rsidR="00D25A3F">
        <w:rPr>
          <w:rFonts w:ascii="宋体" w:hAnsi="宋体" w:hint="eastAsia"/>
          <w:sz w:val="24"/>
          <w:szCs w:val="22"/>
        </w:rPr>
        <w:t>其他第三</w:t>
      </w:r>
      <w:proofErr w:type="gramEnd"/>
      <w:r w:rsidR="00D25A3F">
        <w:rPr>
          <w:rFonts w:ascii="宋体" w:hAnsi="宋体" w:hint="eastAsia"/>
          <w:sz w:val="24"/>
          <w:szCs w:val="22"/>
        </w:rPr>
        <w:t>人权利，不存在涉及该等股份</w:t>
      </w:r>
      <w:r w:rsidRPr="0016125E">
        <w:rPr>
          <w:rFonts w:ascii="宋体" w:hAnsi="宋体" w:hint="eastAsia"/>
          <w:sz w:val="24"/>
          <w:szCs w:val="22"/>
        </w:rPr>
        <w:t>的重大争议、诉讼</w:t>
      </w:r>
      <w:r w:rsidR="00135D25">
        <w:rPr>
          <w:rFonts w:ascii="宋体" w:hAnsi="宋体" w:hint="eastAsia"/>
          <w:sz w:val="24"/>
          <w:szCs w:val="22"/>
        </w:rPr>
        <w:t>或</w:t>
      </w:r>
      <w:r w:rsidRPr="0016125E">
        <w:rPr>
          <w:rFonts w:ascii="宋体" w:hAnsi="宋体" w:hint="eastAsia"/>
          <w:sz w:val="24"/>
          <w:szCs w:val="22"/>
        </w:rPr>
        <w:t>仲裁事项</w:t>
      </w:r>
      <w:r w:rsidR="00135D25">
        <w:rPr>
          <w:rFonts w:ascii="宋体" w:hAnsi="宋体" w:hint="eastAsia"/>
          <w:sz w:val="24"/>
          <w:szCs w:val="22"/>
        </w:rPr>
        <w:t>，不存在查</w:t>
      </w:r>
      <w:r w:rsidRPr="0016125E">
        <w:rPr>
          <w:rFonts w:ascii="宋体" w:hAnsi="宋体" w:hint="eastAsia"/>
          <w:sz w:val="24"/>
          <w:szCs w:val="22"/>
        </w:rPr>
        <w:t>封、冻结等司法措施。</w:t>
      </w:r>
    </w:p>
    <w:p w:rsidR="0016125E" w:rsidRPr="0016125E" w:rsidRDefault="0016125E" w:rsidP="0016125E">
      <w:pPr>
        <w:tabs>
          <w:tab w:val="num" w:pos="900"/>
        </w:tabs>
        <w:adjustRightInd w:val="0"/>
        <w:snapToGrid w:val="0"/>
        <w:spacing w:line="360" w:lineRule="auto"/>
        <w:ind w:firstLineChars="200" w:firstLine="480"/>
        <w:rPr>
          <w:rFonts w:ascii="宋体" w:hAnsi="宋体"/>
          <w:sz w:val="24"/>
          <w:szCs w:val="22"/>
        </w:rPr>
      </w:pPr>
    </w:p>
    <w:p w:rsidR="0016125E" w:rsidRPr="0016125E" w:rsidRDefault="0016125E" w:rsidP="0016125E">
      <w:pPr>
        <w:adjustRightInd w:val="0"/>
        <w:snapToGrid w:val="0"/>
        <w:spacing w:line="360" w:lineRule="auto"/>
        <w:ind w:firstLineChars="200" w:firstLine="480"/>
        <w:rPr>
          <w:rFonts w:ascii="宋体" w:hAnsi="宋体"/>
          <w:sz w:val="24"/>
          <w:szCs w:val="22"/>
        </w:rPr>
      </w:pPr>
      <w:r w:rsidRPr="0016125E">
        <w:rPr>
          <w:rFonts w:ascii="宋体" w:hAnsi="宋体" w:hint="eastAsia"/>
          <w:sz w:val="24"/>
          <w:szCs w:val="22"/>
        </w:rPr>
        <w:t>3、</w:t>
      </w:r>
      <w:r w:rsidR="00186EB8">
        <w:rPr>
          <w:rFonts w:ascii="宋体" w:hAnsi="宋体" w:hint="eastAsia"/>
          <w:sz w:val="24"/>
          <w:szCs w:val="22"/>
        </w:rPr>
        <w:t>索尔思光电</w:t>
      </w:r>
      <w:r w:rsidRPr="0016125E">
        <w:rPr>
          <w:rFonts w:ascii="宋体" w:hAnsi="宋体" w:hint="eastAsia"/>
          <w:sz w:val="24"/>
          <w:szCs w:val="22"/>
        </w:rPr>
        <w:t>基本情况</w:t>
      </w:r>
    </w:p>
    <w:p w:rsidR="00186EB8" w:rsidRDefault="0016125E" w:rsidP="0016125E">
      <w:pPr>
        <w:adjustRightInd w:val="0"/>
        <w:snapToGrid w:val="0"/>
        <w:spacing w:line="360" w:lineRule="auto"/>
        <w:ind w:firstLineChars="200" w:firstLine="480"/>
        <w:rPr>
          <w:rFonts w:ascii="宋体" w:hAnsi="宋体"/>
          <w:sz w:val="24"/>
        </w:rPr>
      </w:pPr>
      <w:r w:rsidRPr="0016125E">
        <w:rPr>
          <w:rFonts w:ascii="宋体" w:hAnsi="宋体" w:hint="eastAsia"/>
          <w:sz w:val="24"/>
          <w:szCs w:val="22"/>
        </w:rPr>
        <w:t>公司名称：</w:t>
      </w:r>
      <w:r w:rsidR="00186EB8" w:rsidRPr="0016125E">
        <w:rPr>
          <w:rFonts w:ascii="宋体" w:hAnsi="宋体"/>
          <w:sz w:val="24"/>
        </w:rPr>
        <w:t>Source Photonics Holding</w:t>
      </w:r>
      <w:r w:rsidR="00773A0A">
        <w:rPr>
          <w:rFonts w:ascii="宋体" w:hAnsi="宋体" w:hint="eastAsia"/>
          <w:sz w:val="24"/>
        </w:rPr>
        <w:t>s</w:t>
      </w:r>
      <w:r w:rsidR="00186EB8" w:rsidRPr="0016125E">
        <w:rPr>
          <w:rFonts w:ascii="宋体" w:hAnsi="宋体"/>
          <w:sz w:val="24"/>
        </w:rPr>
        <w:t xml:space="preserve"> (Cayman) Limited</w:t>
      </w:r>
    </w:p>
    <w:p w:rsidR="00536D8D" w:rsidRDefault="00536D8D" w:rsidP="0016125E">
      <w:pPr>
        <w:adjustRightInd w:val="0"/>
        <w:snapToGrid w:val="0"/>
        <w:spacing w:line="360" w:lineRule="auto"/>
        <w:ind w:firstLineChars="200" w:firstLine="480"/>
        <w:rPr>
          <w:rFonts w:ascii="宋体" w:hAnsi="宋体"/>
          <w:sz w:val="24"/>
        </w:rPr>
      </w:pPr>
      <w:r>
        <w:rPr>
          <w:rFonts w:ascii="宋体" w:hAnsi="宋体" w:hint="eastAsia"/>
          <w:sz w:val="24"/>
        </w:rPr>
        <w:t>注册号：248085</w:t>
      </w:r>
    </w:p>
    <w:p w:rsidR="00E7273B" w:rsidRDefault="005B0D5B" w:rsidP="0016125E">
      <w:pPr>
        <w:adjustRightInd w:val="0"/>
        <w:snapToGrid w:val="0"/>
        <w:spacing w:line="360" w:lineRule="auto"/>
        <w:ind w:firstLineChars="200" w:firstLine="480"/>
        <w:rPr>
          <w:rFonts w:ascii="宋体" w:hAnsi="宋体"/>
          <w:sz w:val="24"/>
          <w:szCs w:val="22"/>
        </w:rPr>
      </w:pPr>
      <w:r>
        <w:rPr>
          <w:rFonts w:ascii="宋体" w:hAnsi="宋体" w:hint="eastAsia"/>
          <w:sz w:val="24"/>
          <w:szCs w:val="22"/>
        </w:rPr>
        <w:t>公司类型：有限责任公司</w:t>
      </w:r>
    </w:p>
    <w:p w:rsidR="00536D8D" w:rsidRPr="00536D8D" w:rsidRDefault="00154698" w:rsidP="0016125E">
      <w:pPr>
        <w:adjustRightInd w:val="0"/>
        <w:snapToGrid w:val="0"/>
        <w:spacing w:line="360" w:lineRule="auto"/>
        <w:ind w:firstLineChars="200" w:firstLine="480"/>
        <w:rPr>
          <w:rFonts w:ascii="宋体" w:hAnsi="宋体"/>
          <w:sz w:val="24"/>
          <w:szCs w:val="22"/>
        </w:rPr>
      </w:pPr>
      <w:r w:rsidRPr="00154698">
        <w:rPr>
          <w:rFonts w:ascii="宋体" w:hAnsi="宋体" w:hint="eastAsia"/>
          <w:sz w:val="24"/>
          <w:szCs w:val="22"/>
        </w:rPr>
        <w:t>注册地址：</w:t>
      </w:r>
      <w:r w:rsidR="00536D8D" w:rsidRPr="00536D8D">
        <w:rPr>
          <w:rFonts w:ascii="宋体" w:hAnsi="宋体" w:hint="eastAsia"/>
          <w:sz w:val="24"/>
          <w:szCs w:val="22"/>
        </w:rPr>
        <w:t xml:space="preserve">Offices of Maples Corporate Services Limited, PO Box 309, </w:t>
      </w:r>
      <w:proofErr w:type="spellStart"/>
      <w:r w:rsidR="00536D8D" w:rsidRPr="00536D8D">
        <w:rPr>
          <w:rFonts w:ascii="宋体" w:hAnsi="宋体" w:hint="eastAsia"/>
          <w:sz w:val="24"/>
          <w:szCs w:val="22"/>
        </w:rPr>
        <w:t>Ugland</w:t>
      </w:r>
      <w:proofErr w:type="spellEnd"/>
      <w:r w:rsidR="00536D8D" w:rsidRPr="00536D8D">
        <w:rPr>
          <w:rFonts w:ascii="宋体" w:hAnsi="宋体" w:hint="eastAsia"/>
          <w:sz w:val="24"/>
          <w:szCs w:val="22"/>
        </w:rPr>
        <w:t xml:space="preserve"> House, Grand Cayman, KY1-1104, Cayman Islands</w:t>
      </w:r>
    </w:p>
    <w:p w:rsidR="005B0D5B" w:rsidRDefault="00536D8D" w:rsidP="00536D8D">
      <w:pPr>
        <w:adjustRightInd w:val="0"/>
        <w:snapToGrid w:val="0"/>
        <w:spacing w:line="360" w:lineRule="auto"/>
        <w:ind w:firstLineChars="200" w:firstLine="480"/>
        <w:rPr>
          <w:rFonts w:ascii="宋体" w:hAnsi="宋体"/>
          <w:sz w:val="24"/>
          <w:szCs w:val="22"/>
        </w:rPr>
      </w:pPr>
      <w:r>
        <w:rPr>
          <w:rFonts w:ascii="宋体" w:hAnsi="宋体" w:hint="eastAsia"/>
          <w:sz w:val="24"/>
          <w:szCs w:val="22"/>
        </w:rPr>
        <w:t>注册资本</w:t>
      </w:r>
      <w:r w:rsidR="0016125E" w:rsidRPr="0016125E">
        <w:rPr>
          <w:rFonts w:ascii="宋体" w:hAnsi="宋体" w:hint="eastAsia"/>
          <w:sz w:val="24"/>
          <w:szCs w:val="22"/>
        </w:rPr>
        <w:t>：</w:t>
      </w:r>
      <w:r w:rsidR="001F6CF1">
        <w:rPr>
          <w:rFonts w:ascii="宋体" w:hAnsi="宋体" w:hint="eastAsia"/>
          <w:sz w:val="24"/>
          <w:szCs w:val="22"/>
        </w:rPr>
        <w:t>50,000美元</w:t>
      </w:r>
    </w:p>
    <w:p w:rsidR="005B0D5B" w:rsidRDefault="005B0D5B" w:rsidP="0016125E">
      <w:pPr>
        <w:adjustRightInd w:val="0"/>
        <w:snapToGrid w:val="0"/>
        <w:spacing w:line="360" w:lineRule="auto"/>
        <w:ind w:firstLineChars="200" w:firstLine="480"/>
        <w:rPr>
          <w:rFonts w:ascii="宋体" w:hAnsi="宋体"/>
          <w:sz w:val="24"/>
          <w:szCs w:val="22"/>
        </w:rPr>
      </w:pPr>
      <w:r>
        <w:rPr>
          <w:rFonts w:ascii="宋体" w:hAnsi="宋体" w:hint="eastAsia"/>
          <w:sz w:val="24"/>
          <w:szCs w:val="22"/>
        </w:rPr>
        <w:t>成立日期：2010年11月17日</w:t>
      </w:r>
    </w:p>
    <w:p w:rsidR="0016125E" w:rsidRDefault="001F6CF1" w:rsidP="0016125E">
      <w:pPr>
        <w:adjustRightInd w:val="0"/>
        <w:snapToGrid w:val="0"/>
        <w:spacing w:line="360" w:lineRule="auto"/>
        <w:ind w:firstLineChars="200" w:firstLine="480"/>
        <w:rPr>
          <w:rFonts w:ascii="宋体" w:hAnsi="宋体"/>
          <w:sz w:val="24"/>
          <w:szCs w:val="22"/>
        </w:rPr>
      </w:pPr>
      <w:r>
        <w:rPr>
          <w:rFonts w:ascii="宋体" w:hAnsi="宋体" w:hint="eastAsia"/>
          <w:sz w:val="24"/>
          <w:szCs w:val="22"/>
        </w:rPr>
        <w:t>主要业务</w:t>
      </w:r>
      <w:r w:rsidR="0016125E" w:rsidRPr="0016125E">
        <w:rPr>
          <w:rFonts w:ascii="宋体" w:hAnsi="宋体" w:hint="eastAsia"/>
          <w:sz w:val="24"/>
          <w:szCs w:val="22"/>
        </w:rPr>
        <w:t>：</w:t>
      </w:r>
      <w:r w:rsidR="00887C6A">
        <w:rPr>
          <w:rFonts w:ascii="宋体" w:hAnsi="宋体" w:hint="eastAsia"/>
          <w:sz w:val="24"/>
          <w:szCs w:val="22"/>
        </w:rPr>
        <w:t>索尔思光电</w:t>
      </w:r>
      <w:r w:rsidR="00887C6A" w:rsidRPr="00887C6A">
        <w:rPr>
          <w:rFonts w:ascii="宋体" w:hAnsi="宋体"/>
          <w:sz w:val="24"/>
          <w:szCs w:val="22"/>
        </w:rPr>
        <w:t>主要产品包括光芯片、光组件和光模块，其解决方案和产品被广泛应用于数据中心与电信通信场景。</w:t>
      </w:r>
    </w:p>
    <w:p w:rsidR="00665A97" w:rsidRPr="00A34B9D" w:rsidRDefault="00896733" w:rsidP="000F20D3">
      <w:pPr>
        <w:adjustRightInd w:val="0"/>
        <w:snapToGrid w:val="0"/>
        <w:spacing w:line="360" w:lineRule="auto"/>
        <w:ind w:firstLineChars="200" w:firstLine="480"/>
        <w:rPr>
          <w:rFonts w:ascii="宋体" w:hAnsi="宋体"/>
          <w:sz w:val="24"/>
        </w:rPr>
      </w:pPr>
      <w:r w:rsidRPr="00A34B9D">
        <w:rPr>
          <w:rFonts w:ascii="宋体" w:hAnsi="宋体" w:hint="eastAsia"/>
          <w:sz w:val="24"/>
        </w:rPr>
        <w:t>本次交易前</w:t>
      </w:r>
      <w:r w:rsidR="009E65FF" w:rsidRPr="00A34B9D">
        <w:rPr>
          <w:rFonts w:ascii="宋体" w:hAnsi="宋体" w:hint="eastAsia"/>
          <w:sz w:val="24"/>
        </w:rPr>
        <w:t>索尔思光电</w:t>
      </w:r>
      <w:r w:rsidRPr="00A34B9D">
        <w:rPr>
          <w:rFonts w:ascii="宋体" w:hAnsi="宋体" w:hint="eastAsia"/>
          <w:sz w:val="24"/>
        </w:rPr>
        <w:t>股权结构</w:t>
      </w:r>
      <w:r w:rsidR="00E17A9F" w:rsidRPr="00A34B9D">
        <w:rPr>
          <w:rFonts w:ascii="宋体" w:hAnsi="宋体" w:hint="eastAsia"/>
          <w:sz w:val="24"/>
        </w:rPr>
        <w:t>（</w:t>
      </w:r>
      <w:bookmarkStart w:id="26" w:name="OLE_LINK73"/>
      <w:bookmarkStart w:id="27" w:name="OLE_LINK74"/>
      <w:r w:rsidR="00FF6017" w:rsidRPr="00A34B9D">
        <w:rPr>
          <w:rFonts w:ascii="宋体" w:hAnsi="宋体" w:hint="eastAsia"/>
          <w:sz w:val="24"/>
        </w:rPr>
        <w:t>未包括用于股权</w:t>
      </w:r>
      <w:r w:rsidR="00FF6017" w:rsidRPr="007038D9">
        <w:rPr>
          <w:rFonts w:ascii="宋体" w:hAnsi="宋体" w:hint="eastAsia"/>
          <w:sz w:val="24"/>
        </w:rPr>
        <w:t>激励的</w:t>
      </w:r>
      <w:r w:rsidR="00FF6017" w:rsidRPr="007038D9">
        <w:rPr>
          <w:rFonts w:ascii="宋体" w:hAnsi="宋体"/>
          <w:sz w:val="24"/>
        </w:rPr>
        <w:t>3</w:t>
      </w:r>
      <w:r w:rsidR="000F20D3" w:rsidRPr="007038D9">
        <w:rPr>
          <w:rFonts w:ascii="宋体" w:hAnsi="宋体" w:hint="eastAsia"/>
          <w:sz w:val="24"/>
        </w:rPr>
        <w:t>,</w:t>
      </w:r>
      <w:r w:rsidR="00FF6017" w:rsidRPr="007038D9">
        <w:rPr>
          <w:rFonts w:ascii="宋体" w:hAnsi="宋体"/>
          <w:sz w:val="24"/>
        </w:rPr>
        <w:t>111</w:t>
      </w:r>
      <w:r w:rsidR="000F20D3" w:rsidRPr="007038D9">
        <w:rPr>
          <w:rFonts w:ascii="宋体" w:hAnsi="宋体" w:hint="eastAsia"/>
          <w:sz w:val="24"/>
        </w:rPr>
        <w:t>.57万</w:t>
      </w:r>
      <w:r w:rsidR="00FF6017" w:rsidRPr="007038D9">
        <w:rPr>
          <w:rFonts w:ascii="宋体" w:hAnsi="宋体" w:hint="eastAsia"/>
          <w:sz w:val="24"/>
        </w:rPr>
        <w:t>股</w:t>
      </w:r>
      <w:r w:rsidR="00E17A9F" w:rsidRPr="007038D9">
        <w:rPr>
          <w:rFonts w:ascii="宋体" w:hAnsi="宋体" w:hint="eastAsia"/>
          <w:sz w:val="24"/>
        </w:rPr>
        <w:t>员</w:t>
      </w:r>
      <w:r w:rsidR="00E17A9F" w:rsidRPr="00A34B9D">
        <w:rPr>
          <w:rFonts w:ascii="宋体" w:hAnsi="宋体" w:hint="eastAsia"/>
          <w:sz w:val="24"/>
        </w:rPr>
        <w:t>工期权</w:t>
      </w:r>
      <w:r w:rsidR="00CA4E2B" w:rsidRPr="00A34B9D">
        <w:rPr>
          <w:rFonts w:ascii="宋体" w:hAnsi="宋体" w:hint="eastAsia"/>
          <w:sz w:val="24"/>
        </w:rPr>
        <w:t>）</w:t>
      </w:r>
      <w:bookmarkEnd w:id="26"/>
      <w:bookmarkEnd w:id="27"/>
      <w:r w:rsidR="009E65FF" w:rsidRPr="00A34B9D">
        <w:rPr>
          <w:rFonts w:ascii="宋体" w:hAnsi="宋体" w:hint="eastAsia"/>
          <w:sz w:val="24"/>
        </w:rPr>
        <w:t>如下</w:t>
      </w:r>
      <w:r w:rsidR="00745283" w:rsidRPr="00A34B9D">
        <w:rPr>
          <w:rFonts w:ascii="宋体" w:hAnsi="宋体" w:hint="eastAsia"/>
          <w:sz w:val="24"/>
        </w:rPr>
        <w:t>：</w:t>
      </w:r>
      <w:r w:rsidR="00665A97" w:rsidRPr="00A34B9D">
        <w:rPr>
          <w:rFonts w:ascii="宋体" w:hAnsi="宋体"/>
          <w:sz w:val="24"/>
        </w:rPr>
        <w:t xml:space="preserve"> </w:t>
      </w: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5245"/>
        <w:gridCol w:w="2552"/>
      </w:tblGrid>
      <w:tr w:rsidR="00D102F4" w:rsidRPr="000D4A6B" w:rsidTr="00D102F4">
        <w:tc>
          <w:tcPr>
            <w:tcW w:w="675"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D102F4" w:rsidRPr="000D4A6B" w:rsidRDefault="00D102F4" w:rsidP="00AD5A9D">
            <w:pPr>
              <w:snapToGrid w:val="0"/>
              <w:spacing w:line="276" w:lineRule="auto"/>
              <w:jc w:val="center"/>
              <w:rPr>
                <w:rFonts w:asciiTheme="minorEastAsia" w:eastAsiaTheme="minorEastAsia" w:hAnsiTheme="minorEastAsia"/>
                <w:b/>
                <w:szCs w:val="21"/>
              </w:rPr>
            </w:pPr>
            <w:r w:rsidRPr="000D4A6B">
              <w:rPr>
                <w:rFonts w:asciiTheme="minorEastAsia" w:eastAsiaTheme="minorEastAsia" w:hAnsiTheme="minorEastAsia" w:hint="eastAsia"/>
                <w:b/>
                <w:szCs w:val="21"/>
              </w:rPr>
              <w:t>序号</w:t>
            </w:r>
          </w:p>
        </w:tc>
        <w:tc>
          <w:tcPr>
            <w:tcW w:w="5245"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102F4" w:rsidRPr="000D4A6B" w:rsidRDefault="00D102F4" w:rsidP="00AD5A9D">
            <w:pPr>
              <w:snapToGrid w:val="0"/>
              <w:spacing w:line="276" w:lineRule="auto"/>
              <w:jc w:val="center"/>
              <w:rPr>
                <w:rFonts w:asciiTheme="minorEastAsia" w:eastAsiaTheme="minorEastAsia" w:hAnsiTheme="minorEastAsia"/>
                <w:b/>
                <w:szCs w:val="21"/>
              </w:rPr>
            </w:pPr>
            <w:r w:rsidRPr="000D4A6B">
              <w:rPr>
                <w:rFonts w:asciiTheme="minorEastAsia" w:eastAsiaTheme="minorEastAsia" w:hAnsiTheme="minorEastAsia" w:hint="eastAsia"/>
                <w:b/>
                <w:szCs w:val="21"/>
              </w:rPr>
              <w:t>股  东  名  称</w:t>
            </w:r>
          </w:p>
        </w:tc>
        <w:tc>
          <w:tcPr>
            <w:tcW w:w="2552" w:type="dxa"/>
            <w:tcBorders>
              <w:top w:val="single" w:sz="12" w:space="0" w:color="000000"/>
              <w:left w:val="single" w:sz="6" w:space="0" w:color="000000"/>
              <w:bottom w:val="single" w:sz="6" w:space="0" w:color="000000"/>
              <w:right w:val="single" w:sz="12" w:space="0" w:color="000000"/>
            </w:tcBorders>
            <w:shd w:val="clear" w:color="auto" w:fill="auto"/>
            <w:vAlign w:val="center"/>
          </w:tcPr>
          <w:p w:rsidR="00D102F4" w:rsidRPr="000D4A6B" w:rsidRDefault="00D102F4" w:rsidP="004A0107">
            <w:pPr>
              <w:snapToGrid w:val="0"/>
              <w:spacing w:line="276" w:lineRule="auto"/>
              <w:jc w:val="center"/>
              <w:rPr>
                <w:rFonts w:asciiTheme="minorEastAsia" w:eastAsiaTheme="minorEastAsia" w:hAnsiTheme="minorEastAsia"/>
                <w:b/>
                <w:szCs w:val="21"/>
              </w:rPr>
            </w:pPr>
            <w:r w:rsidRPr="000D4A6B">
              <w:rPr>
                <w:rFonts w:asciiTheme="minorEastAsia" w:eastAsiaTheme="minorEastAsia" w:hAnsiTheme="minorEastAsia" w:hint="eastAsia"/>
                <w:b/>
                <w:szCs w:val="21"/>
              </w:rPr>
              <w:t>持股数量（股）</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AD5A9D">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szCs w:val="21"/>
              </w:rPr>
              <w:t>Diamond Hill, L.P.</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71,980,754</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hint="eastAsia"/>
                <w:szCs w:val="21"/>
              </w:rPr>
              <w:t>上海麓村企业管理咨询合伙企业（有限合伙）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24,705,879</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hint="eastAsia"/>
                <w:szCs w:val="21"/>
              </w:rPr>
              <w:t>上海</w:t>
            </w:r>
            <w:proofErr w:type="gramStart"/>
            <w:r w:rsidRPr="006F5B21">
              <w:rPr>
                <w:rFonts w:asciiTheme="minorEastAsia" w:eastAsiaTheme="minorEastAsia" w:hAnsiTheme="minorEastAsia" w:hint="eastAsia"/>
                <w:szCs w:val="21"/>
              </w:rPr>
              <w:t>煜</w:t>
            </w:r>
            <w:proofErr w:type="gramEnd"/>
            <w:r w:rsidRPr="006F5B21">
              <w:rPr>
                <w:rFonts w:asciiTheme="minorEastAsia" w:eastAsiaTheme="minorEastAsia" w:hAnsiTheme="minorEastAsia" w:hint="eastAsia"/>
                <w:szCs w:val="21"/>
              </w:rPr>
              <w:t>村企业管理咨询合伙企业（有限合伙）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14,635,500</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szCs w:val="21"/>
              </w:rPr>
              <w:t>PLANETARY GEAR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14,357,928</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hint="eastAsia"/>
                <w:szCs w:val="21"/>
              </w:rPr>
              <w:t>上海安涧企业管理咨询合伙企业（有限合伙）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13,672,151</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proofErr w:type="gramStart"/>
            <w:r w:rsidRPr="006F5B21">
              <w:rPr>
                <w:rFonts w:asciiTheme="minorEastAsia" w:eastAsiaTheme="minorEastAsia" w:hAnsiTheme="minorEastAsia" w:hint="eastAsia"/>
                <w:szCs w:val="21"/>
              </w:rPr>
              <w:t>上海修承企业管理</w:t>
            </w:r>
            <w:proofErr w:type="gramEnd"/>
            <w:r w:rsidRPr="006F5B21">
              <w:rPr>
                <w:rFonts w:asciiTheme="minorEastAsia" w:eastAsiaTheme="minorEastAsia" w:hAnsiTheme="minorEastAsia" w:hint="eastAsia"/>
                <w:szCs w:val="21"/>
              </w:rPr>
              <w:t>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12,352,940</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AD5A9D">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szCs w:val="21"/>
              </w:rPr>
              <w:t>TR Capital (Source Photonics)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12,254,902</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A2C98">
            <w:pPr>
              <w:snapToGrid w:val="0"/>
              <w:rPr>
                <w:rFonts w:asciiTheme="minorEastAsia" w:eastAsiaTheme="minorEastAsia" w:hAnsiTheme="minorEastAsia"/>
                <w:szCs w:val="21"/>
              </w:rPr>
            </w:pPr>
            <w:r w:rsidRPr="006F5B21">
              <w:rPr>
                <w:rFonts w:asciiTheme="minorEastAsia" w:eastAsiaTheme="minorEastAsia" w:hAnsiTheme="minorEastAsia"/>
                <w:szCs w:val="21"/>
              </w:rPr>
              <w:t xml:space="preserve">V-Capital </w:t>
            </w:r>
            <w:proofErr w:type="spellStart"/>
            <w:r w:rsidRPr="006F5B21">
              <w:rPr>
                <w:rFonts w:asciiTheme="minorEastAsia" w:eastAsiaTheme="minorEastAsia" w:hAnsiTheme="minorEastAsia"/>
                <w:szCs w:val="21"/>
              </w:rPr>
              <w:t>Zhigeng</w:t>
            </w:r>
            <w:proofErr w:type="spellEnd"/>
            <w:r w:rsidRPr="006F5B21">
              <w:rPr>
                <w:rFonts w:asciiTheme="minorEastAsia" w:eastAsiaTheme="minorEastAsia" w:hAnsiTheme="minorEastAsia"/>
                <w:szCs w:val="21"/>
              </w:rPr>
              <w:t xml:space="preserve"> International Co.,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9,429,070</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proofErr w:type="spellStart"/>
            <w:r w:rsidRPr="006F5B21">
              <w:rPr>
                <w:rFonts w:asciiTheme="minorEastAsia" w:eastAsiaTheme="minorEastAsia" w:hAnsiTheme="minorEastAsia"/>
                <w:szCs w:val="21"/>
              </w:rPr>
              <w:t>FinTrek</w:t>
            </w:r>
            <w:proofErr w:type="spellEnd"/>
            <w:r w:rsidRPr="006F5B21">
              <w:rPr>
                <w:rFonts w:asciiTheme="minorEastAsia" w:eastAsiaTheme="minorEastAsia" w:hAnsiTheme="minorEastAsia"/>
                <w:szCs w:val="21"/>
              </w:rPr>
              <w:t xml:space="preserve"> China Industry Power Investment Fund Limited Partnership</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8,235,293</w:t>
            </w:r>
          </w:p>
        </w:tc>
      </w:tr>
      <w:tr w:rsidR="006F5B21" w:rsidRPr="006F5B21" w:rsidTr="00A5706C">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4671DE" w:rsidRPr="006F5B21" w:rsidRDefault="004671DE"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rsidR="004671DE" w:rsidRPr="006F5B21" w:rsidRDefault="006F5B21" w:rsidP="004671DE">
            <w:pPr>
              <w:rPr>
                <w:rFonts w:asciiTheme="minorEastAsia" w:eastAsiaTheme="minorEastAsia" w:hAnsiTheme="minorEastAsia"/>
                <w:szCs w:val="21"/>
              </w:rPr>
            </w:pPr>
            <w:r w:rsidRPr="006F5B21">
              <w:rPr>
                <w:rFonts w:asciiTheme="minorEastAsia" w:eastAsiaTheme="minorEastAsia" w:hAnsiTheme="minorEastAsia"/>
              </w:rPr>
              <w:t>PACIFIC SMART DEVELOPMENT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4671DE" w:rsidRPr="006F5B21" w:rsidRDefault="004671DE"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8,235,293</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hint="eastAsia"/>
                <w:szCs w:val="21"/>
              </w:rPr>
              <w:t>上海启</w:t>
            </w:r>
            <w:proofErr w:type="gramStart"/>
            <w:r w:rsidRPr="006F5B21">
              <w:rPr>
                <w:rFonts w:asciiTheme="minorEastAsia" w:eastAsiaTheme="minorEastAsia" w:hAnsiTheme="minorEastAsia" w:hint="eastAsia"/>
                <w:szCs w:val="21"/>
              </w:rPr>
              <w:t>澜</w:t>
            </w:r>
            <w:proofErr w:type="gramEnd"/>
            <w:r w:rsidRPr="006F5B21">
              <w:rPr>
                <w:rFonts w:asciiTheme="minorEastAsia" w:eastAsiaTheme="minorEastAsia" w:hAnsiTheme="minorEastAsia" w:hint="eastAsia"/>
                <w:szCs w:val="21"/>
              </w:rPr>
              <w:t>企业管理咨询合伙企业（有限合伙）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5,560,292</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AD5A9D">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szCs w:val="21"/>
              </w:rPr>
              <w:t>V-Capital International Holding</w:t>
            </w:r>
            <w:r w:rsidR="00773A0A" w:rsidRPr="006F5B21">
              <w:rPr>
                <w:rFonts w:asciiTheme="minorEastAsia" w:eastAsiaTheme="minorEastAsia" w:hAnsiTheme="minorEastAsia" w:hint="eastAsia"/>
                <w:szCs w:val="21"/>
              </w:rPr>
              <w:t>s</w:t>
            </w:r>
            <w:r w:rsidRPr="006F5B21">
              <w:rPr>
                <w:rFonts w:asciiTheme="minorEastAsia" w:eastAsiaTheme="minorEastAsia" w:hAnsiTheme="minorEastAsia"/>
                <w:szCs w:val="21"/>
              </w:rPr>
              <w:t xml:space="preserve"> Co.,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5,185,988</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0F20D3">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szCs w:val="21"/>
              </w:rPr>
              <w:t>Asia-IO SO2 SPV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3,560,372</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AD5A9D">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szCs w:val="21"/>
              </w:rPr>
              <w:t>Sunny Faith Holding</w:t>
            </w:r>
            <w:r w:rsidR="00773A0A" w:rsidRPr="006F5B21">
              <w:rPr>
                <w:rFonts w:asciiTheme="minorEastAsia" w:eastAsiaTheme="minorEastAsia" w:hAnsiTheme="minorEastAsia" w:hint="eastAsia"/>
                <w:szCs w:val="21"/>
              </w:rPr>
              <w:t>s</w:t>
            </w:r>
            <w:r w:rsidRPr="006F5B21">
              <w:rPr>
                <w:rFonts w:asciiTheme="minorEastAsia" w:eastAsiaTheme="minorEastAsia" w:hAnsiTheme="minorEastAsia"/>
                <w:szCs w:val="21"/>
              </w:rPr>
              <w:t xml:space="preserve"> Limited</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900,646</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AD5A9D">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szCs w:val="21"/>
              </w:rPr>
              <w:t>Dark Pool Limited Partnership</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347,954</w:t>
            </w:r>
          </w:p>
        </w:tc>
      </w:tr>
      <w:tr w:rsidR="006F5B21" w:rsidRPr="006F5B21" w:rsidTr="00D102F4">
        <w:tc>
          <w:tcPr>
            <w:tcW w:w="675" w:type="dxa"/>
            <w:tcBorders>
              <w:top w:val="single" w:sz="6" w:space="0" w:color="000000"/>
              <w:left w:val="single" w:sz="12" w:space="0" w:color="000000"/>
              <w:bottom w:val="single" w:sz="6" w:space="0" w:color="000000"/>
              <w:right w:val="single" w:sz="6" w:space="0" w:color="000000"/>
            </w:tcBorders>
            <w:shd w:val="clear" w:color="auto" w:fill="auto"/>
            <w:vAlign w:val="center"/>
          </w:tcPr>
          <w:p w:rsidR="00D102F4" w:rsidRPr="006F5B21" w:rsidRDefault="00D102F4" w:rsidP="00AD5A9D">
            <w:pPr>
              <w:numPr>
                <w:ilvl w:val="0"/>
                <w:numId w:val="3"/>
              </w:numPr>
              <w:spacing w:line="276" w:lineRule="auto"/>
              <w:ind w:left="0" w:firstLine="0"/>
              <w:jc w:val="center"/>
              <w:rPr>
                <w:rFonts w:asciiTheme="minorEastAsia" w:eastAsiaTheme="minorEastAsia" w:hAnsiTheme="minorEastAsia"/>
                <w:szCs w:val="21"/>
                <w:lang w:eastAsia="zh-TW"/>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02F4" w:rsidRPr="006F5B21" w:rsidRDefault="00D102F4" w:rsidP="00AB3E92">
            <w:pPr>
              <w:rPr>
                <w:rFonts w:asciiTheme="minorEastAsia" w:eastAsiaTheme="minorEastAsia" w:hAnsiTheme="minorEastAsia"/>
                <w:szCs w:val="21"/>
              </w:rPr>
            </w:pPr>
            <w:r w:rsidRPr="006F5B21">
              <w:rPr>
                <w:rFonts w:asciiTheme="minorEastAsia" w:eastAsiaTheme="minorEastAsia" w:hAnsiTheme="minorEastAsia" w:hint="eastAsia"/>
                <w:szCs w:val="21"/>
              </w:rPr>
              <w:t>霍尔果斯盛世创</w:t>
            </w:r>
            <w:proofErr w:type="gramStart"/>
            <w:r w:rsidRPr="006F5B21">
              <w:rPr>
                <w:rFonts w:asciiTheme="minorEastAsia" w:eastAsiaTheme="minorEastAsia" w:hAnsiTheme="minorEastAsia" w:hint="eastAsia"/>
                <w:szCs w:val="21"/>
              </w:rPr>
              <w:t>鑫</w:t>
            </w:r>
            <w:proofErr w:type="gramEnd"/>
            <w:r w:rsidRPr="006F5B21">
              <w:rPr>
                <w:rFonts w:asciiTheme="minorEastAsia" w:eastAsiaTheme="minorEastAsia" w:hAnsiTheme="minorEastAsia" w:hint="eastAsia"/>
                <w:szCs w:val="21"/>
              </w:rPr>
              <w:t>股权投资合伙企业（有限合伙）</w:t>
            </w:r>
          </w:p>
        </w:tc>
        <w:tc>
          <w:tcPr>
            <w:tcW w:w="2552" w:type="dxa"/>
            <w:tcBorders>
              <w:top w:val="single" w:sz="6" w:space="0" w:color="000000"/>
              <w:left w:val="single" w:sz="6" w:space="0" w:color="000000"/>
              <w:bottom w:val="single" w:sz="6" w:space="0" w:color="000000"/>
              <w:right w:val="single" w:sz="12" w:space="0" w:color="000000"/>
            </w:tcBorders>
            <w:shd w:val="clear" w:color="auto" w:fill="auto"/>
            <w:vAlign w:val="center"/>
          </w:tcPr>
          <w:p w:rsidR="00D102F4" w:rsidRPr="006F5B21" w:rsidRDefault="00D102F4" w:rsidP="00AB3E92">
            <w:pPr>
              <w:jc w:val="right"/>
              <w:rPr>
                <w:rFonts w:asciiTheme="minorEastAsia" w:eastAsiaTheme="minorEastAsia" w:hAnsiTheme="minorEastAsia"/>
                <w:szCs w:val="21"/>
              </w:rPr>
            </w:pPr>
            <w:r w:rsidRPr="006F5B21">
              <w:rPr>
                <w:rFonts w:asciiTheme="minorEastAsia" w:eastAsiaTheme="minorEastAsia" w:hAnsiTheme="minorEastAsia"/>
                <w:szCs w:val="21"/>
              </w:rPr>
              <w:t>299,924</w:t>
            </w:r>
          </w:p>
        </w:tc>
      </w:tr>
      <w:tr w:rsidR="00D102F4" w:rsidRPr="00B20E7F" w:rsidTr="00D102F4">
        <w:tc>
          <w:tcPr>
            <w:tcW w:w="5920" w:type="dxa"/>
            <w:gridSpan w:val="2"/>
            <w:tcBorders>
              <w:top w:val="single" w:sz="6" w:space="0" w:color="000000"/>
              <w:left w:val="single" w:sz="12" w:space="0" w:color="000000"/>
              <w:bottom w:val="single" w:sz="12" w:space="0" w:color="000000"/>
              <w:right w:val="single" w:sz="6" w:space="0" w:color="000000"/>
            </w:tcBorders>
            <w:shd w:val="clear" w:color="auto" w:fill="auto"/>
            <w:vAlign w:val="center"/>
          </w:tcPr>
          <w:p w:rsidR="00D102F4" w:rsidRPr="00D102F4" w:rsidRDefault="00D102F4" w:rsidP="00E17A9F">
            <w:pPr>
              <w:widowControl/>
              <w:spacing w:line="360" w:lineRule="auto"/>
              <w:jc w:val="center"/>
              <w:rPr>
                <w:rFonts w:asciiTheme="minorEastAsia" w:eastAsiaTheme="minorEastAsia" w:hAnsiTheme="minorEastAsia" w:cs="宋体"/>
                <w:b/>
                <w:kern w:val="0"/>
                <w:szCs w:val="21"/>
              </w:rPr>
            </w:pPr>
            <w:r w:rsidRPr="00D102F4">
              <w:rPr>
                <w:rFonts w:asciiTheme="minorEastAsia" w:eastAsiaTheme="minorEastAsia" w:hAnsiTheme="minorEastAsia" w:cs="宋体"/>
                <w:b/>
                <w:kern w:val="0"/>
                <w:szCs w:val="21"/>
              </w:rPr>
              <w:t>总</w:t>
            </w:r>
            <w:r w:rsidRPr="00D102F4">
              <w:rPr>
                <w:rFonts w:asciiTheme="minorEastAsia" w:eastAsiaTheme="minorEastAsia" w:hAnsiTheme="minorEastAsia" w:cs="宋体" w:hint="eastAsia"/>
                <w:b/>
                <w:kern w:val="0"/>
                <w:szCs w:val="21"/>
              </w:rPr>
              <w:t xml:space="preserve">    </w:t>
            </w:r>
            <w:r w:rsidRPr="00D102F4">
              <w:rPr>
                <w:rFonts w:asciiTheme="minorEastAsia" w:eastAsiaTheme="minorEastAsia" w:hAnsiTheme="minorEastAsia" w:cs="宋体"/>
                <w:b/>
                <w:kern w:val="0"/>
                <w:szCs w:val="21"/>
              </w:rPr>
              <w:t>计</w:t>
            </w:r>
          </w:p>
        </w:tc>
        <w:tc>
          <w:tcPr>
            <w:tcW w:w="2552"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D102F4" w:rsidRPr="00D102F4" w:rsidRDefault="00D102F4" w:rsidP="00E34148">
            <w:pPr>
              <w:spacing w:line="276" w:lineRule="auto"/>
              <w:jc w:val="right"/>
              <w:rPr>
                <w:rFonts w:asciiTheme="minorEastAsia" w:eastAsiaTheme="minorEastAsia" w:hAnsiTheme="minorEastAsia"/>
                <w:b/>
                <w:bCs/>
                <w:color w:val="000000"/>
                <w:szCs w:val="21"/>
              </w:rPr>
            </w:pPr>
            <w:r w:rsidRPr="00D102F4">
              <w:rPr>
                <w:rFonts w:asciiTheme="minorEastAsia" w:eastAsiaTheme="minorEastAsia" w:hAnsiTheme="minorEastAsia" w:hint="eastAsia"/>
                <w:b/>
                <w:bCs/>
                <w:color w:val="000000"/>
                <w:szCs w:val="21"/>
              </w:rPr>
              <w:t>205,714,886</w:t>
            </w:r>
          </w:p>
        </w:tc>
      </w:tr>
    </w:tbl>
    <w:p w:rsidR="00E17A9F" w:rsidRPr="00665A97" w:rsidRDefault="00665A97" w:rsidP="00AD5A9D">
      <w:pPr>
        <w:adjustRightInd w:val="0"/>
        <w:snapToGrid w:val="0"/>
        <w:spacing w:line="276" w:lineRule="auto"/>
        <w:ind w:firstLineChars="200" w:firstLine="480"/>
        <w:rPr>
          <w:rFonts w:ascii="宋体" w:hAnsi="宋体"/>
          <w:sz w:val="24"/>
          <w:szCs w:val="22"/>
        </w:rPr>
      </w:pPr>
      <w:r w:rsidRPr="00665A97">
        <w:rPr>
          <w:rFonts w:ascii="宋体" w:hAnsi="宋体" w:hint="eastAsia"/>
          <w:sz w:val="24"/>
          <w:szCs w:val="22"/>
        </w:rPr>
        <w:t>注：</w:t>
      </w:r>
      <w:r w:rsidRPr="00665A97">
        <w:rPr>
          <w:rFonts w:ascii="宋体" w:hAnsi="宋体" w:hint="eastAsia"/>
          <w:sz w:val="24"/>
        </w:rPr>
        <w:t>本公告中若出现总数与各分项数值之和尾数不符的情况，均为四舍五入原因造成。</w:t>
      </w:r>
    </w:p>
    <w:p w:rsidR="00665A97" w:rsidRPr="00745283" w:rsidRDefault="00665A97" w:rsidP="00AD5A9D">
      <w:pPr>
        <w:adjustRightInd w:val="0"/>
        <w:snapToGrid w:val="0"/>
        <w:spacing w:line="276" w:lineRule="auto"/>
        <w:ind w:firstLineChars="200" w:firstLine="480"/>
        <w:rPr>
          <w:rFonts w:ascii="宋体" w:hAnsi="宋体"/>
          <w:color w:val="FF0000"/>
          <w:sz w:val="24"/>
          <w:szCs w:val="22"/>
        </w:rPr>
      </w:pPr>
    </w:p>
    <w:p w:rsidR="0016125E" w:rsidRDefault="00745283" w:rsidP="0016125E">
      <w:pPr>
        <w:adjustRightInd w:val="0"/>
        <w:snapToGrid w:val="0"/>
        <w:spacing w:line="360" w:lineRule="auto"/>
        <w:ind w:firstLineChars="200" w:firstLine="480"/>
        <w:rPr>
          <w:rFonts w:ascii="宋体" w:hAnsi="宋体"/>
          <w:szCs w:val="21"/>
        </w:rPr>
      </w:pPr>
      <w:r>
        <w:rPr>
          <w:rFonts w:ascii="宋体" w:hAnsi="宋体" w:hint="eastAsia"/>
          <w:sz w:val="24"/>
          <w:szCs w:val="22"/>
        </w:rPr>
        <w:t>4、索尔思光电</w:t>
      </w:r>
      <w:r w:rsidR="00622D02">
        <w:rPr>
          <w:rFonts w:ascii="宋体" w:hAnsi="宋体" w:hint="eastAsia"/>
          <w:sz w:val="24"/>
          <w:szCs w:val="22"/>
        </w:rPr>
        <w:t>主要</w:t>
      </w:r>
      <w:r w:rsidR="0016125E" w:rsidRPr="0016125E">
        <w:rPr>
          <w:rFonts w:ascii="宋体" w:hAnsi="宋体" w:hint="eastAsia"/>
          <w:sz w:val="24"/>
          <w:szCs w:val="22"/>
        </w:rPr>
        <w:t xml:space="preserve">财务指标：     </w:t>
      </w:r>
      <w:r w:rsidR="00186EB8">
        <w:rPr>
          <w:rFonts w:ascii="宋体" w:hAnsi="宋体" w:hint="eastAsia"/>
          <w:sz w:val="24"/>
          <w:szCs w:val="22"/>
        </w:rPr>
        <w:t xml:space="preserve">   </w:t>
      </w:r>
      <w:r w:rsidR="0016125E" w:rsidRPr="0016125E">
        <w:rPr>
          <w:rFonts w:ascii="宋体" w:hAnsi="宋体" w:hint="eastAsia"/>
          <w:sz w:val="24"/>
          <w:szCs w:val="22"/>
        </w:rPr>
        <w:t xml:space="preserve">  </w:t>
      </w:r>
      <w:r w:rsidR="00873A7D">
        <w:rPr>
          <w:rFonts w:ascii="宋体" w:hAnsi="宋体" w:hint="eastAsia"/>
          <w:szCs w:val="21"/>
        </w:rPr>
        <w:t xml:space="preserve">     </w:t>
      </w:r>
      <w:r w:rsidR="00863CF5">
        <w:rPr>
          <w:rFonts w:ascii="宋体" w:hAnsi="宋体" w:hint="eastAsia"/>
          <w:szCs w:val="21"/>
        </w:rPr>
        <w:t xml:space="preserve">        </w:t>
      </w:r>
      <w:r w:rsidR="00873A7D">
        <w:rPr>
          <w:rFonts w:ascii="宋体" w:hAnsi="宋体" w:hint="eastAsia"/>
          <w:szCs w:val="21"/>
        </w:rPr>
        <w:t xml:space="preserve"> </w:t>
      </w:r>
      <w:r w:rsidR="00B862FE">
        <w:rPr>
          <w:rFonts w:ascii="宋体" w:hAnsi="宋体" w:hint="eastAsia"/>
          <w:szCs w:val="21"/>
        </w:rPr>
        <w:t>单位：人民币万元</w:t>
      </w:r>
    </w:p>
    <w:tbl>
      <w:tblPr>
        <w:tblStyle w:val="a8"/>
        <w:tblW w:w="5000" w:type="pct"/>
        <w:jc w:val="center"/>
        <w:tblLook w:val="04A0" w:firstRow="1" w:lastRow="0" w:firstColumn="1" w:lastColumn="0" w:noHBand="0" w:noVBand="1"/>
      </w:tblPr>
      <w:tblGrid>
        <w:gridCol w:w="3757"/>
        <w:gridCol w:w="2382"/>
        <w:gridCol w:w="2383"/>
      </w:tblGrid>
      <w:tr w:rsidR="002D1B40" w:rsidTr="00E62EC3">
        <w:trPr>
          <w:trHeight w:val="397"/>
          <w:jc w:val="center"/>
        </w:trPr>
        <w:tc>
          <w:tcPr>
            <w:tcW w:w="2204" w:type="pct"/>
            <w:tcBorders>
              <w:tl2br w:val="nil"/>
              <w:tr2bl w:val="nil"/>
            </w:tcBorders>
            <w:shd w:val="clear" w:color="auto" w:fill="D8D8D8" w:themeFill="background1" w:themeFillShade="D8"/>
            <w:vAlign w:val="center"/>
          </w:tcPr>
          <w:p w:rsidR="002D1B40" w:rsidRDefault="002D1B40" w:rsidP="00E62EC3">
            <w:pPr>
              <w:jc w:val="center"/>
              <w:rPr>
                <w:b/>
                <w:bCs/>
                <w:szCs w:val="21"/>
              </w:rPr>
            </w:pPr>
            <w:r>
              <w:rPr>
                <w:rFonts w:ascii="Times New Roman" w:hAnsi="Times New Roman"/>
                <w:b/>
                <w:bCs/>
                <w:szCs w:val="21"/>
              </w:rPr>
              <w:t>项</w:t>
            </w:r>
            <w:r w:rsidR="00863CF5">
              <w:rPr>
                <w:rFonts w:ascii="Times New Roman" w:hAnsi="Times New Roman" w:hint="eastAsia"/>
                <w:b/>
                <w:bCs/>
                <w:szCs w:val="21"/>
              </w:rPr>
              <w:t xml:space="preserve">    </w:t>
            </w:r>
            <w:r>
              <w:rPr>
                <w:rFonts w:ascii="Times New Roman" w:hAnsi="Times New Roman"/>
                <w:b/>
                <w:bCs/>
                <w:szCs w:val="21"/>
              </w:rPr>
              <w:t>目</w:t>
            </w:r>
          </w:p>
        </w:tc>
        <w:tc>
          <w:tcPr>
            <w:tcW w:w="1397" w:type="pct"/>
            <w:tcBorders>
              <w:tl2br w:val="nil"/>
              <w:tr2bl w:val="nil"/>
            </w:tcBorders>
            <w:shd w:val="clear" w:color="auto" w:fill="D8D8D8" w:themeFill="background1" w:themeFillShade="D8"/>
            <w:vAlign w:val="center"/>
          </w:tcPr>
          <w:p w:rsidR="002D1B40" w:rsidRDefault="002D1B40" w:rsidP="00E62EC3">
            <w:pPr>
              <w:jc w:val="center"/>
              <w:rPr>
                <w:b/>
                <w:bCs/>
                <w:szCs w:val="21"/>
              </w:rPr>
            </w:pPr>
            <w:r>
              <w:rPr>
                <w:rFonts w:ascii="Times New Roman" w:hAnsi="Times New Roman"/>
                <w:b/>
                <w:bCs/>
                <w:szCs w:val="21"/>
              </w:rPr>
              <w:t>2025</w:t>
            </w:r>
            <w:r>
              <w:rPr>
                <w:rFonts w:ascii="Times New Roman" w:hAnsi="Times New Roman"/>
                <w:b/>
                <w:bCs/>
                <w:szCs w:val="21"/>
              </w:rPr>
              <w:t>年</w:t>
            </w:r>
            <w:r>
              <w:rPr>
                <w:rFonts w:ascii="Times New Roman" w:hAnsi="Times New Roman"/>
                <w:b/>
                <w:bCs/>
                <w:szCs w:val="21"/>
              </w:rPr>
              <w:t>3</w:t>
            </w:r>
            <w:r>
              <w:rPr>
                <w:rFonts w:ascii="Times New Roman" w:hAnsi="Times New Roman"/>
                <w:b/>
                <w:bCs/>
                <w:szCs w:val="21"/>
              </w:rPr>
              <w:t>月</w:t>
            </w:r>
            <w:r>
              <w:rPr>
                <w:rFonts w:ascii="Times New Roman" w:hAnsi="Times New Roman"/>
                <w:b/>
                <w:bCs/>
                <w:szCs w:val="21"/>
              </w:rPr>
              <w:t>31</w:t>
            </w:r>
            <w:r>
              <w:rPr>
                <w:rFonts w:ascii="Times New Roman" w:hAnsi="Times New Roman"/>
                <w:b/>
                <w:bCs/>
                <w:szCs w:val="21"/>
              </w:rPr>
              <w:t>日</w:t>
            </w:r>
          </w:p>
          <w:p w:rsidR="002D1B40" w:rsidRDefault="002D1B40" w:rsidP="00E62EC3">
            <w:pPr>
              <w:jc w:val="center"/>
              <w:rPr>
                <w:b/>
                <w:bCs/>
                <w:szCs w:val="21"/>
              </w:rPr>
            </w:pPr>
            <w:r>
              <w:rPr>
                <w:rFonts w:ascii="Times New Roman" w:hAnsi="Times New Roman"/>
                <w:b/>
                <w:bCs/>
                <w:szCs w:val="21"/>
              </w:rPr>
              <w:t>（未经审计）</w:t>
            </w:r>
          </w:p>
        </w:tc>
        <w:tc>
          <w:tcPr>
            <w:tcW w:w="1398" w:type="pct"/>
            <w:tcBorders>
              <w:tl2br w:val="nil"/>
              <w:tr2bl w:val="nil"/>
            </w:tcBorders>
            <w:shd w:val="clear" w:color="auto" w:fill="D8D8D8" w:themeFill="background1" w:themeFillShade="D8"/>
            <w:vAlign w:val="center"/>
          </w:tcPr>
          <w:p w:rsidR="002D1B40" w:rsidRDefault="002D1B40" w:rsidP="00E62EC3">
            <w:pPr>
              <w:jc w:val="center"/>
              <w:rPr>
                <w:b/>
                <w:bCs/>
                <w:szCs w:val="21"/>
              </w:rPr>
            </w:pPr>
            <w:r>
              <w:rPr>
                <w:rFonts w:ascii="Times New Roman" w:hAnsi="Times New Roman"/>
                <w:b/>
                <w:bCs/>
                <w:szCs w:val="21"/>
              </w:rPr>
              <w:t>2024</w:t>
            </w:r>
            <w:r>
              <w:rPr>
                <w:rFonts w:ascii="Times New Roman" w:hAnsi="Times New Roman"/>
                <w:b/>
                <w:bCs/>
                <w:szCs w:val="21"/>
              </w:rPr>
              <w:t>年</w:t>
            </w:r>
            <w:r>
              <w:rPr>
                <w:rFonts w:ascii="Times New Roman" w:hAnsi="Times New Roman"/>
                <w:b/>
                <w:bCs/>
                <w:szCs w:val="21"/>
              </w:rPr>
              <w:t>12</w:t>
            </w:r>
            <w:r>
              <w:rPr>
                <w:rFonts w:ascii="Times New Roman" w:hAnsi="Times New Roman"/>
                <w:b/>
                <w:bCs/>
                <w:szCs w:val="21"/>
              </w:rPr>
              <w:t>月</w:t>
            </w:r>
            <w:r>
              <w:rPr>
                <w:rFonts w:ascii="Times New Roman" w:hAnsi="Times New Roman"/>
                <w:b/>
                <w:bCs/>
                <w:szCs w:val="21"/>
              </w:rPr>
              <w:t>31</w:t>
            </w:r>
            <w:r>
              <w:rPr>
                <w:rFonts w:ascii="Times New Roman" w:hAnsi="Times New Roman"/>
                <w:b/>
                <w:bCs/>
                <w:szCs w:val="21"/>
              </w:rPr>
              <w:t>日</w:t>
            </w:r>
          </w:p>
          <w:p w:rsidR="002D1B40" w:rsidRDefault="002D1B40" w:rsidP="00E62EC3">
            <w:pPr>
              <w:jc w:val="center"/>
              <w:rPr>
                <w:b/>
                <w:bCs/>
                <w:szCs w:val="21"/>
              </w:rPr>
            </w:pPr>
            <w:r>
              <w:rPr>
                <w:rFonts w:ascii="Times New Roman" w:hAnsi="Times New Roman"/>
                <w:b/>
                <w:bCs/>
                <w:szCs w:val="21"/>
              </w:rPr>
              <w:t>（经审计）</w:t>
            </w:r>
          </w:p>
        </w:tc>
      </w:tr>
      <w:tr w:rsidR="002D1B40" w:rsidTr="00E62EC3">
        <w:trPr>
          <w:trHeight w:val="397"/>
          <w:jc w:val="center"/>
        </w:trPr>
        <w:tc>
          <w:tcPr>
            <w:tcW w:w="2204" w:type="pct"/>
            <w:tcBorders>
              <w:tl2br w:val="nil"/>
              <w:tr2bl w:val="nil"/>
            </w:tcBorders>
            <w:vAlign w:val="center"/>
          </w:tcPr>
          <w:p w:rsidR="002D1B40" w:rsidRPr="002D1B40" w:rsidRDefault="002D1B40" w:rsidP="00E62EC3">
            <w:pPr>
              <w:rPr>
                <w:rFonts w:asciiTheme="minorEastAsia" w:eastAsiaTheme="minorEastAsia" w:hAnsiTheme="minorEastAsia"/>
                <w:szCs w:val="21"/>
              </w:rPr>
            </w:pPr>
            <w:r w:rsidRPr="002D1B40">
              <w:rPr>
                <w:rFonts w:asciiTheme="minorEastAsia" w:eastAsiaTheme="minorEastAsia" w:hAnsiTheme="minorEastAsia"/>
                <w:szCs w:val="21"/>
              </w:rPr>
              <w:t>资产总额</w:t>
            </w:r>
          </w:p>
        </w:tc>
        <w:tc>
          <w:tcPr>
            <w:tcW w:w="1397" w:type="pct"/>
            <w:tcBorders>
              <w:tl2br w:val="nil"/>
              <w:tr2bl w:val="nil"/>
            </w:tcBorders>
            <w:vAlign w:val="center"/>
          </w:tcPr>
          <w:p w:rsidR="002D1B40" w:rsidRPr="002D1B40" w:rsidRDefault="002D1B40" w:rsidP="00E62EC3">
            <w:pPr>
              <w:widowControl/>
              <w:jc w:val="right"/>
              <w:textAlignment w:val="center"/>
              <w:rPr>
                <w:rFonts w:asciiTheme="minorEastAsia" w:eastAsiaTheme="minorEastAsia" w:hAnsiTheme="minorEastAsia"/>
                <w:szCs w:val="21"/>
              </w:rPr>
            </w:pPr>
            <w:r w:rsidRPr="002D1B40">
              <w:rPr>
                <w:rFonts w:asciiTheme="minorEastAsia" w:eastAsiaTheme="minorEastAsia" w:hAnsiTheme="minorEastAsia"/>
                <w:color w:val="000000"/>
                <w:kern w:val="0"/>
                <w:szCs w:val="21"/>
                <w:lang w:bidi="ar"/>
              </w:rPr>
              <w:t xml:space="preserve"> 351,697.34 </w:t>
            </w:r>
          </w:p>
        </w:tc>
        <w:tc>
          <w:tcPr>
            <w:tcW w:w="1398" w:type="pct"/>
            <w:tcBorders>
              <w:tl2br w:val="nil"/>
              <w:tr2bl w:val="nil"/>
            </w:tcBorders>
            <w:vAlign w:val="center"/>
          </w:tcPr>
          <w:p w:rsidR="002D1B40" w:rsidRPr="002D1B40" w:rsidRDefault="002D1B40" w:rsidP="00E62EC3">
            <w:pPr>
              <w:jc w:val="right"/>
              <w:rPr>
                <w:rFonts w:asciiTheme="minorEastAsia" w:eastAsiaTheme="minorEastAsia" w:hAnsiTheme="minorEastAsia"/>
                <w:szCs w:val="21"/>
              </w:rPr>
            </w:pPr>
            <w:r w:rsidRPr="002D1B40">
              <w:rPr>
                <w:rFonts w:asciiTheme="minorEastAsia" w:eastAsiaTheme="minorEastAsia" w:hAnsiTheme="minorEastAsia"/>
                <w:szCs w:val="21"/>
              </w:rPr>
              <w:t>316,810.78</w:t>
            </w:r>
          </w:p>
        </w:tc>
      </w:tr>
      <w:tr w:rsidR="002D1B40" w:rsidTr="00E62EC3">
        <w:trPr>
          <w:trHeight w:val="397"/>
          <w:jc w:val="center"/>
        </w:trPr>
        <w:tc>
          <w:tcPr>
            <w:tcW w:w="2204" w:type="pct"/>
            <w:tcBorders>
              <w:tl2br w:val="nil"/>
              <w:tr2bl w:val="nil"/>
            </w:tcBorders>
            <w:vAlign w:val="center"/>
          </w:tcPr>
          <w:p w:rsidR="002D1B40" w:rsidRPr="002D1B40" w:rsidRDefault="002D1B40" w:rsidP="00E62EC3">
            <w:pPr>
              <w:rPr>
                <w:rFonts w:asciiTheme="minorEastAsia" w:eastAsiaTheme="minorEastAsia" w:hAnsiTheme="minorEastAsia"/>
                <w:szCs w:val="21"/>
              </w:rPr>
            </w:pPr>
            <w:r w:rsidRPr="002D1B40">
              <w:rPr>
                <w:rFonts w:asciiTheme="minorEastAsia" w:eastAsiaTheme="minorEastAsia" w:hAnsiTheme="minorEastAsia"/>
                <w:szCs w:val="21"/>
              </w:rPr>
              <w:t>负债总额</w:t>
            </w:r>
          </w:p>
        </w:tc>
        <w:tc>
          <w:tcPr>
            <w:tcW w:w="1397" w:type="pct"/>
            <w:tcBorders>
              <w:tl2br w:val="nil"/>
              <w:tr2bl w:val="nil"/>
            </w:tcBorders>
            <w:vAlign w:val="center"/>
          </w:tcPr>
          <w:p w:rsidR="002D1B40" w:rsidRPr="002D1B40" w:rsidRDefault="002D1B40" w:rsidP="00E62EC3">
            <w:pPr>
              <w:widowControl/>
              <w:jc w:val="right"/>
              <w:textAlignment w:val="center"/>
              <w:rPr>
                <w:rFonts w:asciiTheme="minorEastAsia" w:eastAsiaTheme="minorEastAsia" w:hAnsiTheme="minorEastAsia"/>
                <w:szCs w:val="21"/>
              </w:rPr>
            </w:pPr>
            <w:r w:rsidRPr="002D1B40">
              <w:rPr>
                <w:rFonts w:asciiTheme="minorEastAsia" w:eastAsiaTheme="minorEastAsia" w:hAnsiTheme="minorEastAsia"/>
                <w:color w:val="000000"/>
                <w:kern w:val="0"/>
                <w:szCs w:val="21"/>
                <w:lang w:bidi="ar"/>
              </w:rPr>
              <w:t xml:space="preserve"> 236,148.42 </w:t>
            </w:r>
          </w:p>
        </w:tc>
        <w:tc>
          <w:tcPr>
            <w:tcW w:w="1398" w:type="pct"/>
            <w:tcBorders>
              <w:tl2br w:val="nil"/>
              <w:tr2bl w:val="nil"/>
            </w:tcBorders>
            <w:vAlign w:val="center"/>
          </w:tcPr>
          <w:p w:rsidR="002D1B40" w:rsidRPr="002D1B40" w:rsidRDefault="002D1B40" w:rsidP="00E62EC3">
            <w:pPr>
              <w:jc w:val="right"/>
              <w:rPr>
                <w:rFonts w:asciiTheme="minorEastAsia" w:eastAsiaTheme="minorEastAsia" w:hAnsiTheme="minorEastAsia"/>
                <w:szCs w:val="21"/>
              </w:rPr>
            </w:pPr>
            <w:r w:rsidRPr="002D1B40">
              <w:rPr>
                <w:rFonts w:asciiTheme="minorEastAsia" w:eastAsiaTheme="minorEastAsia" w:hAnsiTheme="minorEastAsia"/>
                <w:szCs w:val="21"/>
              </w:rPr>
              <w:t>216,052.67</w:t>
            </w:r>
          </w:p>
        </w:tc>
      </w:tr>
      <w:tr w:rsidR="002D1B40" w:rsidTr="00E62EC3">
        <w:trPr>
          <w:trHeight w:val="397"/>
          <w:jc w:val="center"/>
        </w:trPr>
        <w:tc>
          <w:tcPr>
            <w:tcW w:w="2204" w:type="pct"/>
            <w:tcBorders>
              <w:tl2br w:val="nil"/>
              <w:tr2bl w:val="nil"/>
            </w:tcBorders>
            <w:vAlign w:val="center"/>
          </w:tcPr>
          <w:p w:rsidR="002D1B40" w:rsidRPr="002D1B40" w:rsidRDefault="002D1B40" w:rsidP="00E62EC3">
            <w:pPr>
              <w:rPr>
                <w:rFonts w:asciiTheme="minorEastAsia" w:eastAsiaTheme="minorEastAsia" w:hAnsiTheme="minorEastAsia"/>
                <w:szCs w:val="21"/>
              </w:rPr>
            </w:pPr>
            <w:r w:rsidRPr="002D1B40">
              <w:rPr>
                <w:rFonts w:asciiTheme="minorEastAsia" w:eastAsiaTheme="minorEastAsia" w:hAnsiTheme="minorEastAsia"/>
                <w:szCs w:val="21"/>
              </w:rPr>
              <w:t>归属于母公司的所有者权益</w:t>
            </w:r>
          </w:p>
        </w:tc>
        <w:tc>
          <w:tcPr>
            <w:tcW w:w="1397" w:type="pct"/>
            <w:tcBorders>
              <w:tl2br w:val="nil"/>
              <w:tr2bl w:val="nil"/>
            </w:tcBorders>
            <w:vAlign w:val="center"/>
          </w:tcPr>
          <w:p w:rsidR="002D1B40" w:rsidRPr="002D1B40" w:rsidRDefault="002D1B40" w:rsidP="00E62EC3">
            <w:pPr>
              <w:jc w:val="right"/>
              <w:rPr>
                <w:rFonts w:asciiTheme="minorEastAsia" w:eastAsiaTheme="minorEastAsia" w:hAnsiTheme="minorEastAsia"/>
                <w:szCs w:val="21"/>
              </w:rPr>
            </w:pPr>
            <w:r w:rsidRPr="002D1B40">
              <w:rPr>
                <w:rFonts w:asciiTheme="minorEastAsia" w:eastAsiaTheme="minorEastAsia" w:hAnsiTheme="minorEastAsia"/>
                <w:color w:val="000000"/>
                <w:kern w:val="0"/>
                <w:szCs w:val="21"/>
                <w:lang w:bidi="ar"/>
              </w:rPr>
              <w:t xml:space="preserve"> 115,548.92</w:t>
            </w:r>
          </w:p>
        </w:tc>
        <w:tc>
          <w:tcPr>
            <w:tcW w:w="1398" w:type="pct"/>
            <w:tcBorders>
              <w:tl2br w:val="nil"/>
              <w:tr2bl w:val="nil"/>
            </w:tcBorders>
            <w:vAlign w:val="center"/>
          </w:tcPr>
          <w:p w:rsidR="002D1B40" w:rsidRPr="002D1B40" w:rsidRDefault="002D1B40" w:rsidP="00E62EC3">
            <w:pPr>
              <w:jc w:val="right"/>
              <w:rPr>
                <w:rFonts w:asciiTheme="minorEastAsia" w:eastAsiaTheme="minorEastAsia" w:hAnsiTheme="minorEastAsia"/>
                <w:szCs w:val="21"/>
              </w:rPr>
            </w:pPr>
            <w:r w:rsidRPr="002D1B40">
              <w:rPr>
                <w:rFonts w:asciiTheme="minorEastAsia" w:eastAsiaTheme="minorEastAsia" w:hAnsiTheme="minorEastAsia"/>
                <w:szCs w:val="21"/>
              </w:rPr>
              <w:t>100,025.10</w:t>
            </w:r>
          </w:p>
        </w:tc>
      </w:tr>
      <w:tr w:rsidR="002D1B40" w:rsidTr="00E62EC3">
        <w:trPr>
          <w:trHeight w:val="397"/>
          <w:jc w:val="center"/>
        </w:trPr>
        <w:tc>
          <w:tcPr>
            <w:tcW w:w="2204" w:type="pct"/>
            <w:tcBorders>
              <w:tl2br w:val="nil"/>
              <w:tr2bl w:val="nil"/>
            </w:tcBorders>
            <w:shd w:val="clear" w:color="auto" w:fill="D8D8D8" w:themeFill="background1" w:themeFillShade="D8"/>
            <w:vAlign w:val="center"/>
          </w:tcPr>
          <w:p w:rsidR="002D1B40" w:rsidRDefault="002D1B40" w:rsidP="00E62EC3">
            <w:pPr>
              <w:jc w:val="center"/>
              <w:rPr>
                <w:b/>
                <w:bCs/>
                <w:szCs w:val="21"/>
              </w:rPr>
            </w:pPr>
            <w:r>
              <w:rPr>
                <w:rFonts w:ascii="Times New Roman" w:hAnsi="Times New Roman"/>
                <w:b/>
                <w:bCs/>
                <w:szCs w:val="21"/>
              </w:rPr>
              <w:t>项</w:t>
            </w:r>
            <w:r w:rsidR="00863CF5">
              <w:rPr>
                <w:rFonts w:ascii="Times New Roman" w:hAnsi="Times New Roman" w:hint="eastAsia"/>
                <w:b/>
                <w:bCs/>
                <w:szCs w:val="21"/>
              </w:rPr>
              <w:t xml:space="preserve">   </w:t>
            </w:r>
            <w:bookmarkStart w:id="28" w:name="_GoBack"/>
            <w:bookmarkEnd w:id="28"/>
            <w:r w:rsidR="00863CF5">
              <w:rPr>
                <w:rFonts w:ascii="Times New Roman" w:hAnsi="Times New Roman" w:hint="eastAsia"/>
                <w:b/>
                <w:bCs/>
                <w:szCs w:val="21"/>
              </w:rPr>
              <w:t xml:space="preserve"> </w:t>
            </w:r>
            <w:r>
              <w:rPr>
                <w:rFonts w:ascii="Times New Roman" w:hAnsi="Times New Roman"/>
                <w:b/>
                <w:bCs/>
                <w:szCs w:val="21"/>
              </w:rPr>
              <w:t>目</w:t>
            </w:r>
          </w:p>
        </w:tc>
        <w:tc>
          <w:tcPr>
            <w:tcW w:w="1397" w:type="pct"/>
            <w:tcBorders>
              <w:tl2br w:val="nil"/>
              <w:tr2bl w:val="nil"/>
            </w:tcBorders>
            <w:shd w:val="clear" w:color="auto" w:fill="D8D8D8" w:themeFill="background1" w:themeFillShade="D8"/>
            <w:vAlign w:val="center"/>
          </w:tcPr>
          <w:p w:rsidR="002D1B40" w:rsidRDefault="002D1B40" w:rsidP="00E62EC3">
            <w:pPr>
              <w:jc w:val="center"/>
              <w:rPr>
                <w:b/>
                <w:bCs/>
                <w:szCs w:val="21"/>
              </w:rPr>
            </w:pPr>
            <w:r>
              <w:rPr>
                <w:rFonts w:ascii="Times New Roman" w:hAnsi="Times New Roman"/>
                <w:b/>
                <w:bCs/>
                <w:szCs w:val="21"/>
              </w:rPr>
              <w:t>2025</w:t>
            </w:r>
            <w:r>
              <w:rPr>
                <w:rFonts w:ascii="Times New Roman" w:hAnsi="Times New Roman"/>
                <w:b/>
                <w:bCs/>
                <w:szCs w:val="21"/>
              </w:rPr>
              <w:t>年</w:t>
            </w:r>
            <w:r>
              <w:rPr>
                <w:rFonts w:ascii="Times New Roman" w:hAnsi="Times New Roman"/>
                <w:b/>
                <w:bCs/>
                <w:szCs w:val="21"/>
              </w:rPr>
              <w:t>1-3</w:t>
            </w:r>
            <w:r>
              <w:rPr>
                <w:rFonts w:ascii="Times New Roman" w:hAnsi="Times New Roman"/>
                <w:b/>
                <w:bCs/>
                <w:szCs w:val="21"/>
              </w:rPr>
              <w:t>月</w:t>
            </w:r>
          </w:p>
          <w:p w:rsidR="002D1B40" w:rsidRDefault="002D1B40" w:rsidP="00E62EC3">
            <w:pPr>
              <w:jc w:val="center"/>
              <w:rPr>
                <w:b/>
                <w:bCs/>
                <w:szCs w:val="21"/>
              </w:rPr>
            </w:pPr>
            <w:r>
              <w:rPr>
                <w:rFonts w:ascii="Times New Roman" w:hAnsi="Times New Roman"/>
                <w:b/>
                <w:bCs/>
                <w:szCs w:val="21"/>
              </w:rPr>
              <w:t>（未经审计）</w:t>
            </w:r>
          </w:p>
        </w:tc>
        <w:tc>
          <w:tcPr>
            <w:tcW w:w="1398" w:type="pct"/>
            <w:tcBorders>
              <w:tl2br w:val="nil"/>
              <w:tr2bl w:val="nil"/>
            </w:tcBorders>
            <w:shd w:val="clear" w:color="auto" w:fill="D8D8D8" w:themeFill="background1" w:themeFillShade="D8"/>
            <w:vAlign w:val="center"/>
          </w:tcPr>
          <w:p w:rsidR="002D1B40" w:rsidRDefault="002D1B40" w:rsidP="00E62EC3">
            <w:pPr>
              <w:jc w:val="center"/>
              <w:rPr>
                <w:b/>
                <w:bCs/>
                <w:szCs w:val="21"/>
              </w:rPr>
            </w:pPr>
            <w:r>
              <w:rPr>
                <w:rFonts w:ascii="Times New Roman" w:hAnsi="Times New Roman"/>
                <w:b/>
                <w:bCs/>
                <w:szCs w:val="21"/>
              </w:rPr>
              <w:t>2024</w:t>
            </w:r>
            <w:r>
              <w:rPr>
                <w:rFonts w:ascii="Times New Roman" w:hAnsi="Times New Roman"/>
                <w:b/>
                <w:bCs/>
                <w:szCs w:val="21"/>
              </w:rPr>
              <w:t>年度</w:t>
            </w:r>
          </w:p>
          <w:p w:rsidR="002D1B40" w:rsidRDefault="002D1B40" w:rsidP="00E62EC3">
            <w:pPr>
              <w:jc w:val="center"/>
              <w:rPr>
                <w:b/>
                <w:bCs/>
                <w:szCs w:val="21"/>
              </w:rPr>
            </w:pPr>
            <w:r>
              <w:rPr>
                <w:rFonts w:ascii="Times New Roman" w:hAnsi="Times New Roman"/>
                <w:b/>
                <w:bCs/>
                <w:szCs w:val="21"/>
              </w:rPr>
              <w:t>（经审计）</w:t>
            </w:r>
          </w:p>
        </w:tc>
      </w:tr>
      <w:tr w:rsidR="002D1B40" w:rsidTr="00E62EC3">
        <w:trPr>
          <w:trHeight w:val="397"/>
          <w:jc w:val="center"/>
        </w:trPr>
        <w:tc>
          <w:tcPr>
            <w:tcW w:w="2204" w:type="pct"/>
            <w:tcBorders>
              <w:tl2br w:val="nil"/>
              <w:tr2bl w:val="nil"/>
            </w:tcBorders>
            <w:shd w:val="clear" w:color="auto" w:fill="FFFFFF" w:themeFill="background1"/>
            <w:vAlign w:val="center"/>
          </w:tcPr>
          <w:p w:rsidR="002D1B40" w:rsidRPr="002D1B40" w:rsidRDefault="002D1B40" w:rsidP="00E62EC3">
            <w:pPr>
              <w:rPr>
                <w:rFonts w:asciiTheme="minorEastAsia" w:eastAsiaTheme="minorEastAsia" w:hAnsiTheme="minorEastAsia"/>
                <w:szCs w:val="21"/>
              </w:rPr>
            </w:pPr>
            <w:r w:rsidRPr="002D1B40">
              <w:rPr>
                <w:rFonts w:asciiTheme="minorEastAsia" w:eastAsiaTheme="minorEastAsia" w:hAnsiTheme="minorEastAsia"/>
                <w:szCs w:val="21"/>
              </w:rPr>
              <w:t>营业收入</w:t>
            </w:r>
          </w:p>
        </w:tc>
        <w:tc>
          <w:tcPr>
            <w:tcW w:w="1397" w:type="pct"/>
            <w:tcBorders>
              <w:tl2br w:val="nil"/>
              <w:tr2bl w:val="nil"/>
            </w:tcBorders>
            <w:shd w:val="clear" w:color="auto" w:fill="FFFFFF" w:themeFill="background1"/>
            <w:vAlign w:val="center"/>
          </w:tcPr>
          <w:p w:rsidR="002D1B40" w:rsidRPr="002D1B40" w:rsidRDefault="002D1B40" w:rsidP="00E62EC3">
            <w:pPr>
              <w:widowControl/>
              <w:jc w:val="right"/>
              <w:textAlignment w:val="center"/>
              <w:rPr>
                <w:rFonts w:asciiTheme="minorEastAsia" w:eastAsiaTheme="minorEastAsia" w:hAnsiTheme="minorEastAsia"/>
                <w:szCs w:val="21"/>
              </w:rPr>
            </w:pPr>
            <w:r w:rsidRPr="002D1B40">
              <w:rPr>
                <w:rFonts w:asciiTheme="minorEastAsia" w:eastAsiaTheme="minorEastAsia" w:hAnsiTheme="minorEastAsia"/>
                <w:color w:val="000000"/>
                <w:kern w:val="0"/>
                <w:szCs w:val="21"/>
                <w:lang w:bidi="ar"/>
              </w:rPr>
              <w:t xml:space="preserve"> 97,487.85 </w:t>
            </w:r>
          </w:p>
        </w:tc>
        <w:tc>
          <w:tcPr>
            <w:tcW w:w="1398" w:type="pct"/>
            <w:tcBorders>
              <w:tl2br w:val="nil"/>
              <w:tr2bl w:val="nil"/>
            </w:tcBorders>
            <w:shd w:val="clear" w:color="auto" w:fill="FFFFFF" w:themeFill="background1"/>
            <w:vAlign w:val="center"/>
          </w:tcPr>
          <w:p w:rsidR="002D1B40" w:rsidRPr="002D1B40" w:rsidRDefault="002D1B40" w:rsidP="00E62EC3">
            <w:pPr>
              <w:jc w:val="right"/>
              <w:rPr>
                <w:rFonts w:asciiTheme="minorEastAsia" w:eastAsiaTheme="minorEastAsia" w:hAnsiTheme="minorEastAsia"/>
                <w:szCs w:val="21"/>
              </w:rPr>
            </w:pPr>
            <w:r w:rsidRPr="002D1B40">
              <w:rPr>
                <w:rFonts w:asciiTheme="minorEastAsia" w:eastAsiaTheme="minorEastAsia" w:hAnsiTheme="minorEastAsia"/>
                <w:szCs w:val="21"/>
              </w:rPr>
              <w:t>293,166.23</w:t>
            </w:r>
          </w:p>
        </w:tc>
      </w:tr>
      <w:tr w:rsidR="002D1B40" w:rsidTr="00E62EC3">
        <w:trPr>
          <w:trHeight w:val="397"/>
          <w:jc w:val="center"/>
        </w:trPr>
        <w:tc>
          <w:tcPr>
            <w:tcW w:w="2204" w:type="pct"/>
            <w:tcBorders>
              <w:tl2br w:val="nil"/>
              <w:tr2bl w:val="nil"/>
            </w:tcBorders>
            <w:vAlign w:val="center"/>
          </w:tcPr>
          <w:p w:rsidR="002D1B40" w:rsidRPr="002D1B40" w:rsidRDefault="002D1B40" w:rsidP="00E62EC3">
            <w:pPr>
              <w:rPr>
                <w:rFonts w:asciiTheme="minorEastAsia" w:eastAsiaTheme="minorEastAsia" w:hAnsiTheme="minorEastAsia"/>
                <w:szCs w:val="21"/>
              </w:rPr>
            </w:pPr>
            <w:r w:rsidRPr="002D1B40">
              <w:rPr>
                <w:rFonts w:asciiTheme="minorEastAsia" w:eastAsiaTheme="minorEastAsia" w:hAnsiTheme="minorEastAsia"/>
                <w:szCs w:val="21"/>
              </w:rPr>
              <w:t>营业利润</w:t>
            </w:r>
          </w:p>
        </w:tc>
        <w:tc>
          <w:tcPr>
            <w:tcW w:w="1397" w:type="pct"/>
            <w:tcBorders>
              <w:tl2br w:val="nil"/>
              <w:tr2bl w:val="nil"/>
            </w:tcBorders>
            <w:vAlign w:val="center"/>
          </w:tcPr>
          <w:p w:rsidR="002D1B40" w:rsidRPr="002D1B40" w:rsidRDefault="002D1B40" w:rsidP="00E62EC3">
            <w:pPr>
              <w:widowControl/>
              <w:jc w:val="right"/>
              <w:textAlignment w:val="center"/>
              <w:rPr>
                <w:rFonts w:asciiTheme="minorEastAsia" w:eastAsiaTheme="minorEastAsia" w:hAnsiTheme="minorEastAsia"/>
                <w:szCs w:val="21"/>
              </w:rPr>
            </w:pPr>
            <w:r w:rsidRPr="002D1B40">
              <w:rPr>
                <w:rFonts w:asciiTheme="minorEastAsia" w:eastAsiaTheme="minorEastAsia" w:hAnsiTheme="minorEastAsia"/>
                <w:color w:val="000000"/>
                <w:kern w:val="0"/>
                <w:szCs w:val="21"/>
                <w:lang w:bidi="ar"/>
              </w:rPr>
              <w:t xml:space="preserve"> 19,718.52 </w:t>
            </w:r>
          </w:p>
        </w:tc>
        <w:tc>
          <w:tcPr>
            <w:tcW w:w="1398" w:type="pct"/>
            <w:tcBorders>
              <w:tl2br w:val="nil"/>
              <w:tr2bl w:val="nil"/>
            </w:tcBorders>
            <w:vAlign w:val="center"/>
          </w:tcPr>
          <w:p w:rsidR="002D1B40" w:rsidRPr="002D1B40" w:rsidRDefault="002D1B40" w:rsidP="00E62EC3">
            <w:pPr>
              <w:jc w:val="right"/>
              <w:rPr>
                <w:rFonts w:asciiTheme="minorEastAsia" w:eastAsiaTheme="minorEastAsia" w:hAnsiTheme="minorEastAsia"/>
                <w:szCs w:val="21"/>
              </w:rPr>
            </w:pPr>
            <w:r w:rsidRPr="002D1B40">
              <w:rPr>
                <w:rFonts w:asciiTheme="minorEastAsia" w:eastAsiaTheme="minorEastAsia" w:hAnsiTheme="minorEastAsia"/>
                <w:szCs w:val="21"/>
              </w:rPr>
              <w:t>48,555.79</w:t>
            </w:r>
          </w:p>
        </w:tc>
      </w:tr>
      <w:tr w:rsidR="002D1B40" w:rsidTr="00E62EC3">
        <w:trPr>
          <w:trHeight w:val="397"/>
          <w:jc w:val="center"/>
        </w:trPr>
        <w:tc>
          <w:tcPr>
            <w:tcW w:w="2204" w:type="pct"/>
            <w:tcBorders>
              <w:tl2br w:val="nil"/>
              <w:tr2bl w:val="nil"/>
            </w:tcBorders>
            <w:vAlign w:val="center"/>
          </w:tcPr>
          <w:p w:rsidR="002D1B40" w:rsidRPr="002D1B40" w:rsidRDefault="002D1B40" w:rsidP="00E62EC3">
            <w:pPr>
              <w:rPr>
                <w:rFonts w:asciiTheme="minorEastAsia" w:eastAsiaTheme="minorEastAsia" w:hAnsiTheme="minorEastAsia"/>
                <w:szCs w:val="21"/>
              </w:rPr>
            </w:pPr>
            <w:r w:rsidRPr="002D1B40">
              <w:rPr>
                <w:rFonts w:asciiTheme="minorEastAsia" w:eastAsiaTheme="minorEastAsia" w:hAnsiTheme="minorEastAsia"/>
                <w:szCs w:val="21"/>
              </w:rPr>
              <w:t>净利润</w:t>
            </w:r>
          </w:p>
        </w:tc>
        <w:tc>
          <w:tcPr>
            <w:tcW w:w="1397" w:type="pct"/>
            <w:tcBorders>
              <w:tl2br w:val="nil"/>
              <w:tr2bl w:val="nil"/>
            </w:tcBorders>
            <w:vAlign w:val="center"/>
          </w:tcPr>
          <w:p w:rsidR="002D1B40" w:rsidRPr="002D1B40" w:rsidRDefault="002D1B40" w:rsidP="00E62EC3">
            <w:pPr>
              <w:widowControl/>
              <w:jc w:val="right"/>
              <w:textAlignment w:val="center"/>
              <w:rPr>
                <w:rFonts w:asciiTheme="minorEastAsia" w:eastAsiaTheme="minorEastAsia" w:hAnsiTheme="minorEastAsia"/>
                <w:szCs w:val="21"/>
              </w:rPr>
            </w:pPr>
            <w:r w:rsidRPr="002D1B40">
              <w:rPr>
                <w:rFonts w:asciiTheme="minorEastAsia" w:eastAsiaTheme="minorEastAsia" w:hAnsiTheme="minorEastAsia"/>
                <w:color w:val="000000"/>
                <w:kern w:val="0"/>
                <w:szCs w:val="21"/>
                <w:lang w:bidi="ar"/>
              </w:rPr>
              <w:t xml:space="preserve"> 15,662.11 </w:t>
            </w:r>
          </w:p>
        </w:tc>
        <w:tc>
          <w:tcPr>
            <w:tcW w:w="1398" w:type="pct"/>
            <w:tcBorders>
              <w:tl2br w:val="nil"/>
              <w:tr2bl w:val="nil"/>
            </w:tcBorders>
            <w:vAlign w:val="center"/>
          </w:tcPr>
          <w:p w:rsidR="002D1B40" w:rsidRPr="002D1B40" w:rsidRDefault="002D1B40" w:rsidP="00E62EC3">
            <w:pPr>
              <w:jc w:val="right"/>
              <w:rPr>
                <w:rFonts w:asciiTheme="minorEastAsia" w:eastAsiaTheme="minorEastAsia" w:hAnsiTheme="minorEastAsia"/>
                <w:szCs w:val="21"/>
              </w:rPr>
            </w:pPr>
            <w:r w:rsidRPr="002D1B40">
              <w:rPr>
                <w:rFonts w:asciiTheme="minorEastAsia" w:eastAsiaTheme="minorEastAsia" w:hAnsiTheme="minorEastAsia"/>
                <w:szCs w:val="21"/>
              </w:rPr>
              <w:t>40,452.55</w:t>
            </w:r>
          </w:p>
        </w:tc>
      </w:tr>
    </w:tbl>
    <w:p w:rsidR="007D42F3" w:rsidRPr="001C705D" w:rsidRDefault="007D42F3" w:rsidP="001C705D">
      <w:pPr>
        <w:spacing w:line="360" w:lineRule="auto"/>
        <w:ind w:firstLineChars="200" w:firstLine="480"/>
        <w:rPr>
          <w:rFonts w:ascii="宋体" w:hAnsi="宋体"/>
          <w:sz w:val="24"/>
        </w:rPr>
      </w:pPr>
      <w:r w:rsidRPr="007D42F3">
        <w:rPr>
          <w:rFonts w:ascii="宋体" w:hAnsi="宋体"/>
          <w:sz w:val="24"/>
        </w:rPr>
        <w:t>注：</w:t>
      </w:r>
      <w:r w:rsidRPr="007D42F3">
        <w:rPr>
          <w:rFonts w:asciiTheme="minorEastAsia" w:eastAsiaTheme="minorEastAsia" w:hAnsiTheme="minorEastAsia" w:cs="Arial" w:hint="eastAsia"/>
          <w:bCs/>
          <w:sz w:val="24"/>
        </w:rPr>
        <w:t>考虑索尔思光电股权架构拆分影响，公司前期披露的索尔思光电数据为</w:t>
      </w:r>
      <w:r w:rsidRPr="001C705D">
        <w:rPr>
          <w:rFonts w:ascii="宋体" w:hAnsi="宋体" w:hint="eastAsia"/>
          <w:sz w:val="24"/>
        </w:rPr>
        <w:t>还原后VENUS PEARL SPV2 CO LIMITED的数据。</w:t>
      </w:r>
    </w:p>
    <w:p w:rsidR="007D42F3" w:rsidRPr="001C705D" w:rsidRDefault="007D42F3" w:rsidP="001C705D">
      <w:pPr>
        <w:spacing w:line="360" w:lineRule="auto"/>
        <w:ind w:firstLineChars="200" w:firstLine="480"/>
        <w:rPr>
          <w:rFonts w:ascii="宋体" w:hAnsi="宋体"/>
          <w:sz w:val="24"/>
        </w:rPr>
      </w:pPr>
    </w:p>
    <w:p w:rsidR="006B0EAF" w:rsidRDefault="006B0EAF"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bookmarkStart w:id="29" w:name="OLE_LINK36"/>
      <w:bookmarkStart w:id="30" w:name="OLE_LINK37"/>
      <w:r>
        <w:rPr>
          <w:rFonts w:asciiTheme="minorEastAsia" w:eastAsiaTheme="minorEastAsia" w:hAnsiTheme="minorEastAsia" w:hint="eastAsia"/>
          <w:sz w:val="24"/>
        </w:rPr>
        <w:t>5、本次交易标的资产评估情况</w:t>
      </w:r>
    </w:p>
    <w:p w:rsidR="006B0EAF" w:rsidRDefault="006B0EAF"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本次交易标的定价经</w:t>
      </w:r>
      <w:bookmarkStart w:id="31" w:name="OLE_LINK26"/>
      <w:bookmarkStart w:id="32" w:name="OLE_LINK27"/>
      <w:r w:rsidR="00A92E90" w:rsidRPr="00914CEE">
        <w:rPr>
          <w:rFonts w:asciiTheme="minorEastAsia" w:eastAsiaTheme="minorEastAsia" w:hAnsiTheme="minorEastAsia"/>
          <w:sz w:val="24"/>
        </w:rPr>
        <w:t>具有从事证券、期货业务资格的</w:t>
      </w:r>
      <w:r w:rsidRPr="00E7273B">
        <w:rPr>
          <w:rFonts w:ascii="宋体" w:hAnsi="宋体" w:hint="eastAsia"/>
          <w:sz w:val="24"/>
        </w:rPr>
        <w:t>中盛评估咨询有限公司</w:t>
      </w:r>
      <w:bookmarkEnd w:id="31"/>
      <w:bookmarkEnd w:id="32"/>
      <w:r>
        <w:rPr>
          <w:rFonts w:ascii="宋体" w:hAnsi="宋体" w:hint="eastAsia"/>
          <w:sz w:val="24"/>
        </w:rPr>
        <w:t>评估，并出具了中盛评报字[2025]第0115号评估报告。</w:t>
      </w:r>
      <w:r>
        <w:rPr>
          <w:rFonts w:asciiTheme="minorEastAsia" w:eastAsiaTheme="minorEastAsia" w:hAnsiTheme="minorEastAsia" w:hint="eastAsia"/>
          <w:sz w:val="24"/>
        </w:rPr>
        <w:t>具体情况如下：</w:t>
      </w:r>
    </w:p>
    <w:p w:rsidR="006B0EAF" w:rsidRDefault="006B0EAF" w:rsidP="006B0EAF">
      <w:pPr>
        <w:widowControl/>
        <w:shd w:val="clear" w:color="auto" w:fill="FFFFFF"/>
        <w:snapToGrid w:val="0"/>
        <w:spacing w:line="360" w:lineRule="auto"/>
        <w:ind w:firstLineChars="200" w:firstLine="480"/>
        <w:jc w:val="left"/>
        <w:rPr>
          <w:rFonts w:ascii="宋体" w:hAnsi="宋体"/>
          <w:sz w:val="24"/>
        </w:rPr>
      </w:pPr>
      <w:r>
        <w:rPr>
          <w:rFonts w:asciiTheme="minorEastAsia" w:eastAsiaTheme="minorEastAsia" w:hAnsiTheme="minorEastAsia" w:hint="eastAsia"/>
          <w:sz w:val="24"/>
        </w:rPr>
        <w:t>（1）评估机构名称：</w:t>
      </w:r>
      <w:r>
        <w:rPr>
          <w:rFonts w:ascii="宋体" w:hAnsi="宋体" w:hint="eastAsia"/>
          <w:sz w:val="24"/>
        </w:rPr>
        <w:t>中盛评估咨询有限公司</w:t>
      </w:r>
    </w:p>
    <w:p w:rsidR="006B0EAF" w:rsidRDefault="006B0EAF"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（2）评估对象：</w:t>
      </w:r>
      <w:bookmarkStart w:id="33" w:name="_Hlk51058470"/>
      <w:r>
        <w:rPr>
          <w:rFonts w:asciiTheme="minorEastAsia" w:eastAsiaTheme="minorEastAsia" w:hAnsiTheme="minorEastAsia" w:hint="eastAsia"/>
          <w:sz w:val="24"/>
        </w:rPr>
        <w:t>索尔思光电的股东全部权益</w:t>
      </w:r>
      <w:bookmarkEnd w:id="33"/>
      <w:r>
        <w:rPr>
          <w:rFonts w:asciiTheme="minorEastAsia" w:eastAsiaTheme="minorEastAsia" w:hAnsiTheme="minorEastAsia" w:hint="eastAsia"/>
          <w:sz w:val="24"/>
        </w:rPr>
        <w:t>。</w:t>
      </w:r>
    </w:p>
    <w:p w:rsidR="006B0EAF" w:rsidRDefault="006B0EAF"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（3）评估范围：</w:t>
      </w:r>
      <w:bookmarkStart w:id="34" w:name="_Hlk51058481"/>
      <w:r>
        <w:rPr>
          <w:rFonts w:asciiTheme="minorEastAsia" w:eastAsiaTheme="minorEastAsia" w:hAnsiTheme="minorEastAsia" w:hint="eastAsia"/>
          <w:sz w:val="24"/>
        </w:rPr>
        <w:t>索尔思光电的全部资产和负债</w:t>
      </w:r>
      <w:bookmarkEnd w:id="34"/>
      <w:r>
        <w:rPr>
          <w:rFonts w:asciiTheme="minorEastAsia" w:eastAsiaTheme="minorEastAsia" w:hAnsiTheme="minorEastAsia" w:hint="eastAsia"/>
          <w:sz w:val="24"/>
        </w:rPr>
        <w:t>。</w:t>
      </w:r>
    </w:p>
    <w:p w:rsidR="006B0EAF" w:rsidRDefault="006B0EAF"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（4）评估基准日：2024年12月31日</w:t>
      </w:r>
    </w:p>
    <w:p w:rsidR="00A92E90" w:rsidRDefault="00A92E90"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（5）评估方法：收益法、市场法</w:t>
      </w:r>
    </w:p>
    <w:p w:rsidR="006B0EAF" w:rsidRDefault="006B0EAF"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w:t>
      </w:r>
      <w:r w:rsidR="00A92E90">
        <w:rPr>
          <w:rFonts w:asciiTheme="minorEastAsia" w:eastAsiaTheme="minorEastAsia" w:hAnsiTheme="minorEastAsia" w:hint="eastAsia"/>
          <w:sz w:val="24"/>
        </w:rPr>
        <w:t>6</w:t>
      </w:r>
      <w:r>
        <w:rPr>
          <w:rFonts w:asciiTheme="minorEastAsia" w:eastAsiaTheme="minorEastAsia" w:hAnsiTheme="minorEastAsia" w:hint="eastAsia"/>
          <w:sz w:val="24"/>
        </w:rPr>
        <w:t>）评估结论：</w:t>
      </w:r>
    </w:p>
    <w:p w:rsidR="006B0EAF" w:rsidRPr="006B0EAF" w:rsidRDefault="006B0EAF"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①</w:t>
      </w:r>
      <w:r w:rsidRPr="006B0EAF">
        <w:rPr>
          <w:rFonts w:asciiTheme="minorEastAsia" w:eastAsiaTheme="minorEastAsia" w:hAnsiTheme="minorEastAsia" w:hint="eastAsia"/>
          <w:sz w:val="24"/>
        </w:rPr>
        <w:t>收益法评估结果</w:t>
      </w:r>
    </w:p>
    <w:p w:rsidR="006B0EAF" w:rsidRPr="006B0EAF" w:rsidRDefault="006B0EAF" w:rsidP="00A92E90">
      <w:pPr>
        <w:widowControl/>
        <w:shd w:val="clear" w:color="auto" w:fill="FFFFFF"/>
        <w:snapToGrid w:val="0"/>
        <w:spacing w:line="360" w:lineRule="auto"/>
        <w:ind w:firstLineChars="200" w:firstLine="480"/>
        <w:rPr>
          <w:rFonts w:asciiTheme="minorEastAsia" w:eastAsiaTheme="minorEastAsia" w:hAnsiTheme="minorEastAsia"/>
          <w:sz w:val="24"/>
        </w:rPr>
      </w:pPr>
      <w:proofErr w:type="gramStart"/>
      <w:r w:rsidRPr="006B0EAF">
        <w:rPr>
          <w:rFonts w:asciiTheme="minorEastAsia" w:eastAsiaTheme="minorEastAsia" w:hAnsiTheme="minorEastAsia" w:hint="eastAsia"/>
          <w:sz w:val="24"/>
        </w:rPr>
        <w:t>经收益法</w:t>
      </w:r>
      <w:proofErr w:type="gramEnd"/>
      <w:r w:rsidRPr="006B0EAF">
        <w:rPr>
          <w:rFonts w:asciiTheme="minorEastAsia" w:eastAsiaTheme="minorEastAsia" w:hAnsiTheme="minorEastAsia" w:hint="eastAsia"/>
          <w:sz w:val="24"/>
        </w:rPr>
        <w:t>评估，被评估单位评估基准日归属于母公司所有者权益账面价值</w:t>
      </w:r>
      <w:r w:rsidRPr="006B0EAF">
        <w:rPr>
          <w:rFonts w:asciiTheme="minorEastAsia" w:eastAsiaTheme="minorEastAsia" w:hAnsiTheme="minorEastAsia"/>
          <w:sz w:val="24"/>
        </w:rPr>
        <w:t>100,025.10</w:t>
      </w:r>
      <w:r w:rsidRPr="006B0EAF">
        <w:rPr>
          <w:rFonts w:asciiTheme="minorEastAsia" w:eastAsiaTheme="minorEastAsia" w:hAnsiTheme="minorEastAsia" w:hint="eastAsia"/>
          <w:sz w:val="24"/>
        </w:rPr>
        <w:t>万元，评估值为</w:t>
      </w:r>
      <w:r w:rsidRPr="006B0EAF">
        <w:rPr>
          <w:rFonts w:asciiTheme="minorEastAsia" w:eastAsiaTheme="minorEastAsia" w:hAnsiTheme="minorEastAsia"/>
          <w:sz w:val="24"/>
        </w:rPr>
        <w:fldChar w:fldCharType="begin"/>
      </w:r>
      <w:r w:rsidRPr="006B0EAF">
        <w:rPr>
          <w:rFonts w:asciiTheme="minorEastAsia" w:eastAsiaTheme="minorEastAsia" w:hAnsiTheme="minorEastAsia"/>
          <w:sz w:val="24"/>
        </w:rPr>
        <w:instrText xml:space="preserve"> REF </w:instrText>
      </w:r>
      <w:r w:rsidRPr="006B0EAF">
        <w:rPr>
          <w:rFonts w:asciiTheme="minorEastAsia" w:eastAsiaTheme="minorEastAsia" w:hAnsiTheme="minorEastAsia" w:hint="eastAsia"/>
          <w:sz w:val="24"/>
        </w:rPr>
        <w:instrText>评估结论数值</w:instrText>
      </w:r>
      <w:r w:rsidRPr="006B0EAF">
        <w:rPr>
          <w:rFonts w:asciiTheme="minorEastAsia" w:eastAsiaTheme="minorEastAsia" w:hAnsiTheme="minorEastAsia"/>
          <w:sz w:val="24"/>
        </w:rPr>
        <w:instrText xml:space="preserve"> \h  \* MERGEFORMAT </w:instrText>
      </w:r>
      <w:r w:rsidRPr="006B0EAF">
        <w:rPr>
          <w:rFonts w:asciiTheme="minorEastAsia" w:eastAsiaTheme="minorEastAsia" w:hAnsiTheme="minorEastAsia"/>
          <w:sz w:val="24"/>
        </w:rPr>
      </w:r>
      <w:r w:rsidRPr="006B0EAF">
        <w:rPr>
          <w:rFonts w:asciiTheme="minorEastAsia" w:eastAsiaTheme="minorEastAsia" w:hAnsiTheme="minorEastAsia"/>
          <w:sz w:val="24"/>
        </w:rPr>
        <w:fldChar w:fldCharType="separate"/>
      </w:r>
      <w:r w:rsidRPr="006B0EAF">
        <w:rPr>
          <w:rFonts w:asciiTheme="minorEastAsia" w:eastAsiaTheme="minorEastAsia" w:hAnsiTheme="minorEastAsia"/>
          <w:sz w:val="24"/>
        </w:rPr>
        <w:t>456,000.00</w:t>
      </w:r>
      <w:r w:rsidRPr="006B0EAF">
        <w:rPr>
          <w:rFonts w:asciiTheme="minorEastAsia" w:eastAsiaTheme="minorEastAsia" w:hAnsiTheme="minorEastAsia" w:hint="eastAsia"/>
          <w:sz w:val="24"/>
        </w:rPr>
        <w:t>万元</w:t>
      </w:r>
      <w:r w:rsidRPr="006B0EAF">
        <w:rPr>
          <w:rFonts w:asciiTheme="minorEastAsia" w:eastAsiaTheme="minorEastAsia" w:hAnsiTheme="minorEastAsia"/>
          <w:sz w:val="24"/>
        </w:rPr>
        <w:fldChar w:fldCharType="end"/>
      </w:r>
      <w:r w:rsidRPr="006B0EAF">
        <w:rPr>
          <w:rFonts w:asciiTheme="minorEastAsia" w:eastAsiaTheme="minorEastAsia" w:hAnsiTheme="minorEastAsia" w:hint="eastAsia"/>
          <w:sz w:val="24"/>
        </w:rPr>
        <w:t>，比审计后合并报表归属于母公司所有者权益增值</w:t>
      </w:r>
      <w:r w:rsidRPr="006B0EAF">
        <w:rPr>
          <w:rFonts w:asciiTheme="minorEastAsia" w:eastAsiaTheme="minorEastAsia" w:hAnsiTheme="minorEastAsia"/>
          <w:sz w:val="24"/>
        </w:rPr>
        <w:t>355,974.90</w:t>
      </w:r>
      <w:r w:rsidRPr="006B0EAF">
        <w:rPr>
          <w:rFonts w:asciiTheme="minorEastAsia" w:eastAsiaTheme="minorEastAsia" w:hAnsiTheme="minorEastAsia" w:hint="eastAsia"/>
          <w:sz w:val="24"/>
        </w:rPr>
        <w:t>万元，增值率</w:t>
      </w:r>
      <w:r w:rsidRPr="006B0EAF">
        <w:rPr>
          <w:rFonts w:asciiTheme="minorEastAsia" w:eastAsiaTheme="minorEastAsia" w:hAnsiTheme="minorEastAsia"/>
          <w:sz w:val="24"/>
        </w:rPr>
        <w:t>355.89%</w:t>
      </w:r>
      <w:r w:rsidRPr="006B0EAF">
        <w:rPr>
          <w:rFonts w:asciiTheme="minorEastAsia" w:eastAsiaTheme="minorEastAsia" w:hAnsiTheme="minorEastAsia" w:hint="eastAsia"/>
          <w:sz w:val="24"/>
        </w:rPr>
        <w:t>。</w:t>
      </w:r>
    </w:p>
    <w:p w:rsidR="006B0EAF" w:rsidRPr="006B0EAF" w:rsidRDefault="006B0EAF"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②</w:t>
      </w:r>
      <w:r w:rsidRPr="006B0EAF">
        <w:rPr>
          <w:rFonts w:asciiTheme="minorEastAsia" w:eastAsiaTheme="minorEastAsia" w:hAnsiTheme="minorEastAsia"/>
          <w:sz w:val="24"/>
        </w:rPr>
        <w:t>市场法评估结果</w:t>
      </w:r>
    </w:p>
    <w:p w:rsidR="006B0EAF" w:rsidRPr="006B0EAF" w:rsidRDefault="006B0EAF" w:rsidP="00A92E90">
      <w:pPr>
        <w:widowControl/>
        <w:shd w:val="clear" w:color="auto" w:fill="FFFFFF"/>
        <w:snapToGrid w:val="0"/>
        <w:spacing w:line="360" w:lineRule="auto"/>
        <w:ind w:firstLineChars="200" w:firstLine="480"/>
        <w:rPr>
          <w:rFonts w:asciiTheme="minorEastAsia" w:eastAsiaTheme="minorEastAsia" w:hAnsiTheme="minorEastAsia"/>
          <w:sz w:val="24"/>
        </w:rPr>
      </w:pPr>
      <w:r w:rsidRPr="006B0EAF">
        <w:rPr>
          <w:rFonts w:asciiTheme="minorEastAsia" w:eastAsiaTheme="minorEastAsia" w:hAnsiTheme="minorEastAsia"/>
          <w:sz w:val="24"/>
        </w:rPr>
        <w:t>经市场法评估，被评估单位评估基准日归属于母公司所有者权益账面价值100,025.10万元，评估值为</w:t>
      </w:r>
      <w:r w:rsidRPr="006B0EAF">
        <w:rPr>
          <w:rFonts w:asciiTheme="minorEastAsia" w:eastAsiaTheme="minorEastAsia" w:hAnsiTheme="minorEastAsia" w:hint="eastAsia"/>
          <w:sz w:val="24"/>
        </w:rPr>
        <w:t>524,000.00</w:t>
      </w:r>
      <w:r w:rsidRPr="006B0EAF">
        <w:rPr>
          <w:rFonts w:asciiTheme="minorEastAsia" w:eastAsiaTheme="minorEastAsia" w:hAnsiTheme="minorEastAsia"/>
          <w:sz w:val="24"/>
        </w:rPr>
        <w:t>万元，比审计后合并报表归属于母公司所有者权益增值</w:t>
      </w:r>
      <w:r w:rsidRPr="006B0EAF">
        <w:rPr>
          <w:rFonts w:asciiTheme="minorEastAsia" w:eastAsiaTheme="minorEastAsia" w:hAnsiTheme="minorEastAsia" w:hint="eastAsia"/>
          <w:sz w:val="24"/>
        </w:rPr>
        <w:t>423,974.90</w:t>
      </w:r>
      <w:r w:rsidRPr="006B0EAF">
        <w:rPr>
          <w:rFonts w:asciiTheme="minorEastAsia" w:eastAsiaTheme="minorEastAsia" w:hAnsiTheme="minorEastAsia"/>
          <w:sz w:val="24"/>
        </w:rPr>
        <w:t>万元，增值率</w:t>
      </w:r>
      <w:r w:rsidRPr="006B0EAF">
        <w:rPr>
          <w:rFonts w:asciiTheme="minorEastAsia" w:eastAsiaTheme="minorEastAsia" w:hAnsiTheme="minorEastAsia" w:hint="eastAsia"/>
          <w:sz w:val="24"/>
        </w:rPr>
        <w:t>423.87</w:t>
      </w:r>
      <w:r w:rsidRPr="006B0EAF">
        <w:rPr>
          <w:rFonts w:asciiTheme="minorEastAsia" w:eastAsiaTheme="minorEastAsia" w:hAnsiTheme="minorEastAsia"/>
          <w:sz w:val="24"/>
        </w:rPr>
        <w:t>%。</w:t>
      </w:r>
    </w:p>
    <w:p w:rsidR="006B0EAF" w:rsidRPr="006B0EAF" w:rsidRDefault="00A92E90" w:rsidP="00A92E90">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A92E90">
        <w:rPr>
          <w:rFonts w:asciiTheme="minorEastAsia" w:eastAsiaTheme="minorEastAsia" w:hAnsiTheme="minorEastAsia" w:hint="eastAsia"/>
          <w:sz w:val="24"/>
        </w:rPr>
        <w:t>③</w:t>
      </w:r>
      <w:r w:rsidR="006B0EAF" w:rsidRPr="00A92E90">
        <w:rPr>
          <w:rFonts w:asciiTheme="minorEastAsia" w:eastAsiaTheme="minorEastAsia" w:hAnsiTheme="minorEastAsia"/>
          <w:sz w:val="24"/>
        </w:rPr>
        <w:t>评</w:t>
      </w:r>
      <w:r w:rsidR="006B0EAF" w:rsidRPr="006B0EAF">
        <w:rPr>
          <w:rFonts w:asciiTheme="minorEastAsia" w:eastAsiaTheme="minorEastAsia" w:hAnsiTheme="minorEastAsia"/>
          <w:sz w:val="24"/>
        </w:rPr>
        <w:t>估结论</w:t>
      </w:r>
    </w:p>
    <w:p w:rsidR="006B0EAF" w:rsidRPr="006B0EAF" w:rsidRDefault="006B0EAF" w:rsidP="006B0EAF">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6B0EAF">
        <w:rPr>
          <w:rFonts w:asciiTheme="minorEastAsia" w:eastAsiaTheme="minorEastAsia" w:hAnsiTheme="minorEastAsia"/>
          <w:sz w:val="24"/>
        </w:rPr>
        <w:t>收益法评估得出的股东全部权益价值为</w:t>
      </w:r>
      <w:r w:rsidRPr="006B0EAF">
        <w:rPr>
          <w:rFonts w:asciiTheme="minorEastAsia" w:eastAsiaTheme="minorEastAsia" w:hAnsiTheme="minorEastAsia"/>
          <w:sz w:val="24"/>
        </w:rPr>
        <w:fldChar w:fldCharType="begin"/>
      </w:r>
      <w:r w:rsidRPr="006B0EAF">
        <w:rPr>
          <w:rFonts w:asciiTheme="minorEastAsia" w:eastAsiaTheme="minorEastAsia" w:hAnsiTheme="minorEastAsia"/>
          <w:sz w:val="24"/>
        </w:rPr>
        <w:instrText xml:space="preserve"> REF 评估结论数值 \h  \* MERGEFORMAT </w:instrText>
      </w:r>
      <w:r w:rsidRPr="006B0EAF">
        <w:rPr>
          <w:rFonts w:asciiTheme="minorEastAsia" w:eastAsiaTheme="minorEastAsia" w:hAnsiTheme="minorEastAsia"/>
          <w:sz w:val="24"/>
        </w:rPr>
      </w:r>
      <w:r w:rsidRPr="006B0EAF">
        <w:rPr>
          <w:rFonts w:asciiTheme="minorEastAsia" w:eastAsiaTheme="minorEastAsia" w:hAnsiTheme="minorEastAsia"/>
          <w:sz w:val="24"/>
        </w:rPr>
        <w:fldChar w:fldCharType="separate"/>
      </w:r>
      <w:r w:rsidRPr="006B0EAF">
        <w:rPr>
          <w:rFonts w:asciiTheme="minorEastAsia" w:eastAsiaTheme="minorEastAsia" w:hAnsiTheme="minorEastAsia" w:hint="eastAsia"/>
          <w:sz w:val="24"/>
        </w:rPr>
        <w:t>456,000.00万元</w:t>
      </w:r>
      <w:r w:rsidRPr="006B0EAF">
        <w:rPr>
          <w:rFonts w:asciiTheme="minorEastAsia" w:eastAsiaTheme="minorEastAsia" w:hAnsiTheme="minorEastAsia"/>
          <w:sz w:val="24"/>
        </w:rPr>
        <w:fldChar w:fldCharType="end"/>
      </w:r>
      <w:r w:rsidRPr="006B0EAF">
        <w:rPr>
          <w:rFonts w:asciiTheme="minorEastAsia" w:eastAsiaTheme="minorEastAsia" w:hAnsiTheme="minorEastAsia"/>
          <w:sz w:val="24"/>
        </w:rPr>
        <w:t>，市场法评估得出的股东全部权益价值为</w:t>
      </w:r>
      <w:r w:rsidRPr="006B0EAF">
        <w:rPr>
          <w:rFonts w:asciiTheme="minorEastAsia" w:eastAsiaTheme="minorEastAsia" w:hAnsiTheme="minorEastAsia" w:hint="eastAsia"/>
          <w:sz w:val="24"/>
        </w:rPr>
        <w:t>524,000.00</w:t>
      </w:r>
      <w:r w:rsidRPr="006B0EAF">
        <w:rPr>
          <w:rFonts w:asciiTheme="minorEastAsia" w:eastAsiaTheme="minorEastAsia" w:hAnsiTheme="minorEastAsia"/>
          <w:sz w:val="24"/>
        </w:rPr>
        <w:t>万元，两者相差</w:t>
      </w:r>
      <w:r w:rsidRPr="006B0EAF">
        <w:rPr>
          <w:rFonts w:asciiTheme="minorEastAsia" w:eastAsiaTheme="minorEastAsia" w:hAnsiTheme="minorEastAsia" w:hint="eastAsia"/>
          <w:sz w:val="24"/>
        </w:rPr>
        <w:t>68,000.00</w:t>
      </w:r>
      <w:r w:rsidRPr="006B0EAF">
        <w:rPr>
          <w:rFonts w:asciiTheme="minorEastAsia" w:eastAsiaTheme="minorEastAsia" w:hAnsiTheme="minorEastAsia"/>
          <w:sz w:val="24"/>
        </w:rPr>
        <w:t>万元。</w:t>
      </w:r>
    </w:p>
    <w:p w:rsidR="006B0EAF" w:rsidRPr="006B0EAF" w:rsidRDefault="006B0EAF" w:rsidP="00A92E90">
      <w:pPr>
        <w:widowControl/>
        <w:shd w:val="clear" w:color="auto" w:fill="FFFFFF"/>
        <w:snapToGrid w:val="0"/>
        <w:spacing w:line="360" w:lineRule="auto"/>
        <w:ind w:firstLineChars="200" w:firstLine="480"/>
        <w:rPr>
          <w:rFonts w:asciiTheme="minorEastAsia" w:eastAsiaTheme="minorEastAsia" w:hAnsiTheme="minorEastAsia"/>
          <w:sz w:val="24"/>
        </w:rPr>
      </w:pPr>
      <w:r w:rsidRPr="006B0EAF">
        <w:rPr>
          <w:rFonts w:asciiTheme="minorEastAsia" w:eastAsiaTheme="minorEastAsia" w:hAnsiTheme="minorEastAsia"/>
          <w:sz w:val="24"/>
        </w:rPr>
        <w:t>收益法和市场法评估结果出现差异的主要原因是两种评估方法考虑的角度不同，收益法是从企业的未来获利能力角度考虑的，反映了企业各项资产的综合获利能力；市场法是从可比公司的市场估值倍数角度考虑的，反映了当前现状企业的市场估值水平。</w:t>
      </w:r>
    </w:p>
    <w:p w:rsidR="006B0EAF" w:rsidRPr="006B0EAF" w:rsidRDefault="006B0EAF" w:rsidP="00A92E90">
      <w:pPr>
        <w:widowControl/>
        <w:shd w:val="clear" w:color="auto" w:fill="FFFFFF"/>
        <w:snapToGrid w:val="0"/>
        <w:spacing w:line="360" w:lineRule="auto"/>
        <w:ind w:firstLineChars="200" w:firstLine="480"/>
        <w:rPr>
          <w:rFonts w:asciiTheme="minorEastAsia" w:eastAsiaTheme="minorEastAsia" w:hAnsiTheme="minorEastAsia"/>
          <w:sz w:val="24"/>
        </w:rPr>
      </w:pPr>
      <w:r w:rsidRPr="006B0EAF">
        <w:rPr>
          <w:rFonts w:asciiTheme="minorEastAsia" w:eastAsiaTheme="minorEastAsia" w:hAnsiTheme="minorEastAsia"/>
          <w:sz w:val="24"/>
        </w:rPr>
        <w:t>由于市场法评估结论受短期资本市场行情波动影响大，并且对价值比率的调整和修正难以涵盖所有影响交易价格的因素，考虑到收益法对于影响企业价值的因素考虑得更为全面，且受短期市场行情波动影响较小，故选择收益法评估结果作为最终的评估结论。</w:t>
      </w:r>
      <w:r w:rsidR="0081354B">
        <w:rPr>
          <w:rFonts w:asciiTheme="minorEastAsia" w:eastAsiaTheme="minorEastAsia" w:hAnsiTheme="minorEastAsia"/>
          <w:sz w:val="24"/>
        </w:rPr>
        <w:t>即：</w:t>
      </w:r>
      <w:r w:rsidRPr="006B0EAF">
        <w:rPr>
          <w:rFonts w:asciiTheme="minorEastAsia" w:eastAsiaTheme="minorEastAsia" w:hAnsiTheme="minorEastAsia"/>
          <w:sz w:val="24"/>
        </w:rPr>
        <w:t>被评估单位评估基准日的股东全部权益价值评估结论为</w:t>
      </w:r>
      <w:r w:rsidRPr="006B0EAF">
        <w:rPr>
          <w:rFonts w:asciiTheme="minorEastAsia" w:eastAsiaTheme="minorEastAsia" w:hAnsiTheme="minorEastAsia"/>
          <w:sz w:val="24"/>
        </w:rPr>
        <w:fldChar w:fldCharType="begin"/>
      </w:r>
      <w:r w:rsidRPr="006B0EAF">
        <w:rPr>
          <w:rFonts w:asciiTheme="minorEastAsia" w:eastAsiaTheme="minorEastAsia" w:hAnsiTheme="minorEastAsia"/>
          <w:sz w:val="24"/>
        </w:rPr>
        <w:instrText xml:space="preserve"> REF 评估结论数值 \h  \* MERGEFORMAT </w:instrText>
      </w:r>
      <w:r w:rsidRPr="006B0EAF">
        <w:rPr>
          <w:rFonts w:asciiTheme="minorEastAsia" w:eastAsiaTheme="minorEastAsia" w:hAnsiTheme="minorEastAsia"/>
          <w:sz w:val="24"/>
        </w:rPr>
      </w:r>
      <w:r w:rsidRPr="006B0EAF">
        <w:rPr>
          <w:rFonts w:asciiTheme="minorEastAsia" w:eastAsiaTheme="minorEastAsia" w:hAnsiTheme="minorEastAsia"/>
          <w:sz w:val="24"/>
        </w:rPr>
        <w:fldChar w:fldCharType="separate"/>
      </w:r>
      <w:r w:rsidRPr="006B0EAF">
        <w:rPr>
          <w:rFonts w:asciiTheme="minorEastAsia" w:eastAsiaTheme="minorEastAsia" w:hAnsiTheme="minorEastAsia" w:hint="eastAsia"/>
          <w:sz w:val="24"/>
        </w:rPr>
        <w:t>456,000.00万元</w:t>
      </w:r>
      <w:r w:rsidRPr="006B0EAF">
        <w:rPr>
          <w:rFonts w:asciiTheme="minorEastAsia" w:eastAsiaTheme="minorEastAsia" w:hAnsiTheme="minorEastAsia"/>
          <w:sz w:val="24"/>
        </w:rPr>
        <w:fldChar w:fldCharType="end"/>
      </w:r>
      <w:r w:rsidRPr="006B0EAF">
        <w:rPr>
          <w:rFonts w:asciiTheme="minorEastAsia" w:eastAsiaTheme="minorEastAsia" w:hAnsiTheme="minorEastAsia"/>
          <w:sz w:val="24"/>
        </w:rPr>
        <w:t>。</w:t>
      </w:r>
    </w:p>
    <w:p w:rsidR="006B0EAF" w:rsidRDefault="006B0EAF" w:rsidP="001C705D">
      <w:pPr>
        <w:spacing w:line="360" w:lineRule="auto"/>
        <w:ind w:firstLineChars="200" w:firstLine="480"/>
        <w:rPr>
          <w:rFonts w:ascii="宋体" w:hAnsi="宋体"/>
          <w:sz w:val="24"/>
        </w:rPr>
      </w:pPr>
    </w:p>
    <w:bookmarkEnd w:id="29"/>
    <w:bookmarkEnd w:id="30"/>
    <w:p w:rsidR="009D59C3" w:rsidRPr="00FA0DB3" w:rsidRDefault="00A92E90" w:rsidP="001C705D">
      <w:pPr>
        <w:spacing w:line="360" w:lineRule="auto"/>
        <w:ind w:firstLineChars="200" w:firstLine="480"/>
        <w:rPr>
          <w:rFonts w:ascii="宋体" w:hAnsi="宋体"/>
          <w:sz w:val="24"/>
        </w:rPr>
      </w:pPr>
      <w:r>
        <w:rPr>
          <w:rFonts w:ascii="宋体" w:hAnsi="宋体" w:hint="eastAsia"/>
          <w:sz w:val="24"/>
        </w:rPr>
        <w:t>6</w:t>
      </w:r>
      <w:r w:rsidR="009D59C3" w:rsidRPr="00FA0DB3">
        <w:rPr>
          <w:rFonts w:ascii="宋体" w:hAnsi="宋体" w:hint="eastAsia"/>
          <w:sz w:val="24"/>
        </w:rPr>
        <w:t>、其他说明</w:t>
      </w:r>
    </w:p>
    <w:p w:rsidR="009D59C3" w:rsidRPr="00FA0DB3" w:rsidRDefault="00FA0DB3" w:rsidP="001C705D">
      <w:pPr>
        <w:spacing w:line="360" w:lineRule="auto"/>
        <w:ind w:firstLineChars="200" w:firstLine="480"/>
        <w:rPr>
          <w:rFonts w:ascii="宋体" w:hAnsi="宋体"/>
          <w:sz w:val="24"/>
        </w:rPr>
      </w:pPr>
      <w:r w:rsidRPr="00FA0DB3">
        <w:rPr>
          <w:rFonts w:ascii="宋体" w:hAnsi="宋体" w:hint="eastAsia"/>
          <w:sz w:val="24"/>
        </w:rPr>
        <w:lastRenderedPageBreak/>
        <w:t>（1</w:t>
      </w:r>
      <w:r w:rsidR="00D25A3F">
        <w:rPr>
          <w:rFonts w:ascii="宋体" w:hAnsi="宋体" w:hint="eastAsia"/>
          <w:sz w:val="24"/>
        </w:rPr>
        <w:t>）本次转让索尔思光电股份</w:t>
      </w:r>
      <w:r w:rsidRPr="00FA0DB3">
        <w:rPr>
          <w:rFonts w:ascii="宋体" w:hAnsi="宋体" w:hint="eastAsia"/>
          <w:sz w:val="24"/>
        </w:rPr>
        <w:t>不涉及债权债务转移；</w:t>
      </w:r>
    </w:p>
    <w:p w:rsidR="00FA0DB3" w:rsidRPr="00FA0DB3" w:rsidRDefault="00FA0DB3" w:rsidP="001C705D">
      <w:pPr>
        <w:spacing w:line="360" w:lineRule="auto"/>
        <w:ind w:firstLineChars="200" w:firstLine="480"/>
        <w:rPr>
          <w:rFonts w:ascii="宋体" w:hAnsi="宋体"/>
          <w:sz w:val="24"/>
        </w:rPr>
      </w:pPr>
      <w:r w:rsidRPr="00FA0DB3">
        <w:rPr>
          <w:rFonts w:ascii="宋体" w:hAnsi="宋体" w:hint="eastAsia"/>
          <w:sz w:val="24"/>
        </w:rPr>
        <w:t>（2）公司不存在为索尔思光电提供担保、财务资助、</w:t>
      </w:r>
      <w:r w:rsidRPr="000F20D3">
        <w:rPr>
          <w:rFonts w:ascii="宋体" w:hAnsi="宋体"/>
          <w:sz w:val="24"/>
        </w:rPr>
        <w:t>委托其理财的情况以及其他占用公司资金的情况。</w:t>
      </w:r>
    </w:p>
    <w:p w:rsidR="00B862FE" w:rsidRPr="000F20D3" w:rsidRDefault="00B862FE" w:rsidP="0016125E">
      <w:pPr>
        <w:spacing w:line="360" w:lineRule="auto"/>
        <w:ind w:firstLineChars="200" w:firstLine="480"/>
        <w:rPr>
          <w:rFonts w:ascii="宋体" w:hAnsi="宋体"/>
          <w:sz w:val="24"/>
        </w:rPr>
      </w:pPr>
    </w:p>
    <w:p w:rsidR="00FA0DB3" w:rsidRPr="000F20D3" w:rsidRDefault="00FA0DB3" w:rsidP="00E628C6">
      <w:pPr>
        <w:adjustRightInd w:val="0"/>
        <w:snapToGrid w:val="0"/>
        <w:spacing w:line="360" w:lineRule="auto"/>
        <w:ind w:firstLineChars="200" w:firstLine="482"/>
        <w:rPr>
          <w:rFonts w:ascii="宋体" w:hAnsi="宋体"/>
          <w:b/>
          <w:sz w:val="24"/>
        </w:rPr>
      </w:pPr>
      <w:r w:rsidRPr="000F20D3">
        <w:rPr>
          <w:rFonts w:ascii="宋体" w:hAnsi="宋体" w:hint="eastAsia"/>
          <w:b/>
          <w:sz w:val="24"/>
        </w:rPr>
        <w:t>四、交易定价依据</w:t>
      </w:r>
    </w:p>
    <w:p w:rsidR="0017567E" w:rsidRPr="00E7273B" w:rsidRDefault="0017567E" w:rsidP="00E7273B">
      <w:pPr>
        <w:spacing w:line="360" w:lineRule="auto"/>
        <w:ind w:firstLineChars="200" w:firstLine="480"/>
        <w:rPr>
          <w:rFonts w:ascii="宋体" w:hAnsi="宋体"/>
          <w:sz w:val="24"/>
        </w:rPr>
      </w:pPr>
      <w:bookmarkStart w:id="35" w:name="OLE_LINK71"/>
      <w:bookmarkStart w:id="36" w:name="OLE_LINK72"/>
      <w:r w:rsidRPr="00E7273B">
        <w:rPr>
          <w:rFonts w:ascii="宋体" w:hAnsi="宋体" w:hint="eastAsia"/>
          <w:sz w:val="24"/>
        </w:rPr>
        <w:t>根据</w:t>
      </w:r>
      <w:bookmarkStart w:id="37" w:name="OLE_LINK24"/>
      <w:bookmarkStart w:id="38" w:name="OLE_LINK25"/>
      <w:r w:rsidRPr="00E7273B">
        <w:rPr>
          <w:rFonts w:ascii="宋体" w:hAnsi="宋体" w:hint="eastAsia"/>
          <w:sz w:val="24"/>
        </w:rPr>
        <w:t>中盛评估咨询有限公司</w:t>
      </w:r>
      <w:bookmarkEnd w:id="37"/>
      <w:bookmarkEnd w:id="38"/>
      <w:r w:rsidRPr="00E7273B">
        <w:rPr>
          <w:rFonts w:ascii="宋体" w:hAnsi="宋体" w:hint="eastAsia"/>
          <w:sz w:val="24"/>
        </w:rPr>
        <w:t>出具的《资产评估报告》，</w:t>
      </w:r>
      <w:proofErr w:type="gramStart"/>
      <w:r w:rsidR="00E7273B" w:rsidRPr="00E7273B">
        <w:rPr>
          <w:rFonts w:ascii="宋体" w:hAnsi="宋体" w:hint="eastAsia"/>
          <w:sz w:val="24"/>
        </w:rPr>
        <w:t>经收益法</w:t>
      </w:r>
      <w:proofErr w:type="gramEnd"/>
      <w:r w:rsidR="00E7273B" w:rsidRPr="00E7273B">
        <w:rPr>
          <w:rFonts w:ascii="宋体" w:hAnsi="宋体" w:hint="eastAsia"/>
          <w:sz w:val="24"/>
        </w:rPr>
        <w:t>评估，</w:t>
      </w:r>
      <w:r w:rsidRPr="00E7273B">
        <w:rPr>
          <w:rFonts w:ascii="宋体" w:hAnsi="宋体" w:hint="eastAsia"/>
          <w:sz w:val="24"/>
        </w:rPr>
        <w:t>截至2024年12月31日</w:t>
      </w:r>
      <w:r w:rsidR="00E7273B" w:rsidRPr="00E7273B">
        <w:rPr>
          <w:rFonts w:ascii="宋体" w:hAnsi="宋体" w:hint="eastAsia"/>
          <w:sz w:val="24"/>
        </w:rPr>
        <w:t>，标的公司</w:t>
      </w:r>
      <w:r w:rsidR="00E7273B">
        <w:rPr>
          <w:rFonts w:ascii="宋体" w:hAnsi="宋体"/>
          <w:sz w:val="24"/>
        </w:rPr>
        <w:t>股东全部权益于评估基准日的市场价值为人民币</w:t>
      </w:r>
      <w:r w:rsidR="00E7273B" w:rsidRPr="00E7273B">
        <w:rPr>
          <w:rFonts w:ascii="宋体" w:hAnsi="宋体"/>
          <w:sz w:val="24"/>
        </w:rPr>
        <w:t>45.60亿元。</w:t>
      </w:r>
      <w:r w:rsidRPr="00E7273B">
        <w:rPr>
          <w:rFonts w:ascii="宋体" w:hAnsi="宋体" w:hint="eastAsia"/>
          <w:sz w:val="24"/>
        </w:rPr>
        <w:t>各方在此基础上协商确定标的公司股份对应的交易</w:t>
      </w:r>
      <w:r w:rsidR="007038D9" w:rsidRPr="00E7273B">
        <w:rPr>
          <w:rFonts w:ascii="宋体" w:hAnsi="宋体" w:hint="eastAsia"/>
          <w:sz w:val="24"/>
        </w:rPr>
        <w:t>价格</w:t>
      </w:r>
      <w:r w:rsidRPr="00E7273B">
        <w:rPr>
          <w:rFonts w:ascii="宋体" w:hAnsi="宋体" w:hint="eastAsia"/>
          <w:sz w:val="24"/>
        </w:rPr>
        <w:t>为3.0577美元</w:t>
      </w:r>
      <w:r w:rsidR="007038D9" w:rsidRPr="00E7273B">
        <w:rPr>
          <w:rFonts w:ascii="宋体" w:hAnsi="宋体" w:hint="eastAsia"/>
          <w:sz w:val="24"/>
        </w:rPr>
        <w:t>/股</w:t>
      </w:r>
      <w:r w:rsidRPr="00E7273B">
        <w:rPr>
          <w:rFonts w:ascii="宋体" w:hAnsi="宋体" w:hint="eastAsia"/>
          <w:sz w:val="24"/>
        </w:rPr>
        <w:t>。</w:t>
      </w:r>
    </w:p>
    <w:bookmarkEnd w:id="35"/>
    <w:bookmarkEnd w:id="36"/>
    <w:p w:rsidR="00FA0DB3" w:rsidRPr="00E7273B" w:rsidRDefault="00FA0DB3" w:rsidP="00E7273B">
      <w:pPr>
        <w:spacing w:line="360" w:lineRule="auto"/>
        <w:ind w:firstLineChars="200" w:firstLine="480"/>
        <w:rPr>
          <w:rFonts w:ascii="宋体" w:hAnsi="宋体"/>
          <w:sz w:val="24"/>
        </w:rPr>
      </w:pPr>
      <w:r w:rsidRPr="00E7273B">
        <w:rPr>
          <w:rFonts w:ascii="宋体" w:hAnsi="宋体" w:hint="eastAsia"/>
          <w:sz w:val="24"/>
        </w:rPr>
        <w:t>本次交易价格定价公允合理，</w:t>
      </w:r>
      <w:r w:rsidRPr="00E7273B">
        <w:rPr>
          <w:rFonts w:ascii="宋体" w:hAnsi="宋体"/>
          <w:sz w:val="24"/>
        </w:rPr>
        <w:t>不存在损害公司及</w:t>
      </w:r>
      <w:r w:rsidR="004F2CCF" w:rsidRPr="00E7273B">
        <w:rPr>
          <w:rFonts w:ascii="宋体" w:hAnsi="宋体"/>
          <w:sz w:val="24"/>
        </w:rPr>
        <w:t>全体</w:t>
      </w:r>
      <w:r w:rsidRPr="00E7273B">
        <w:rPr>
          <w:rFonts w:ascii="宋体" w:hAnsi="宋体"/>
          <w:sz w:val="24"/>
        </w:rPr>
        <w:t>股东利益</w:t>
      </w:r>
      <w:r w:rsidRPr="00E7273B">
        <w:rPr>
          <w:rFonts w:ascii="宋体" w:hAnsi="宋体" w:hint="eastAsia"/>
          <w:sz w:val="24"/>
        </w:rPr>
        <w:t>的情形。</w:t>
      </w:r>
    </w:p>
    <w:p w:rsidR="00FA0DB3" w:rsidRPr="000F20D3" w:rsidRDefault="00FA0DB3" w:rsidP="000F20D3">
      <w:pPr>
        <w:spacing w:line="360" w:lineRule="auto"/>
        <w:ind w:firstLineChars="200" w:firstLine="480"/>
        <w:rPr>
          <w:rFonts w:ascii="宋体" w:hAnsi="宋体"/>
          <w:sz w:val="24"/>
        </w:rPr>
      </w:pPr>
    </w:p>
    <w:p w:rsidR="00873A7D" w:rsidRDefault="00FA0DB3" w:rsidP="0016125E">
      <w:pPr>
        <w:adjustRightInd w:val="0"/>
        <w:snapToGrid w:val="0"/>
        <w:spacing w:line="360" w:lineRule="auto"/>
        <w:ind w:firstLineChars="200" w:firstLine="482"/>
        <w:rPr>
          <w:rFonts w:ascii="宋体" w:hAnsi="宋体"/>
          <w:b/>
          <w:sz w:val="24"/>
        </w:rPr>
      </w:pPr>
      <w:r>
        <w:rPr>
          <w:rFonts w:ascii="宋体" w:hAnsi="宋体" w:hint="eastAsia"/>
          <w:b/>
          <w:sz w:val="24"/>
        </w:rPr>
        <w:t>五</w:t>
      </w:r>
      <w:r w:rsidR="00873A7D">
        <w:rPr>
          <w:rFonts w:ascii="宋体" w:hAnsi="宋体" w:hint="eastAsia"/>
          <w:b/>
          <w:sz w:val="24"/>
        </w:rPr>
        <w:t>、</w:t>
      </w:r>
      <w:r w:rsidR="00887C6A">
        <w:rPr>
          <w:rFonts w:ascii="宋体" w:hAnsi="宋体" w:hint="eastAsia"/>
          <w:b/>
          <w:sz w:val="24"/>
        </w:rPr>
        <w:t>《</w:t>
      </w:r>
      <w:r w:rsidR="006E091F">
        <w:rPr>
          <w:rFonts w:ascii="宋体" w:hAnsi="宋体" w:hint="eastAsia"/>
          <w:b/>
          <w:sz w:val="24"/>
        </w:rPr>
        <w:t>股</w:t>
      </w:r>
      <w:r w:rsidR="0090417A">
        <w:rPr>
          <w:rFonts w:ascii="宋体" w:hAnsi="宋体" w:hint="eastAsia"/>
          <w:b/>
          <w:sz w:val="24"/>
        </w:rPr>
        <w:t>份</w:t>
      </w:r>
      <w:r w:rsidR="006E091F">
        <w:rPr>
          <w:rFonts w:ascii="宋体" w:hAnsi="宋体" w:hint="eastAsia"/>
          <w:b/>
          <w:sz w:val="24"/>
        </w:rPr>
        <w:t>转让</w:t>
      </w:r>
      <w:r w:rsidR="00873A7D">
        <w:rPr>
          <w:rFonts w:ascii="宋体" w:hAnsi="宋体" w:hint="eastAsia"/>
          <w:b/>
          <w:sz w:val="24"/>
        </w:rPr>
        <w:t>协议</w:t>
      </w:r>
      <w:r w:rsidR="00887C6A">
        <w:rPr>
          <w:rFonts w:ascii="宋体" w:hAnsi="宋体" w:hint="eastAsia"/>
          <w:b/>
          <w:sz w:val="24"/>
        </w:rPr>
        <w:t>》</w:t>
      </w:r>
      <w:r w:rsidR="00873A7D">
        <w:rPr>
          <w:rFonts w:ascii="宋体" w:hAnsi="宋体" w:hint="eastAsia"/>
          <w:b/>
          <w:sz w:val="24"/>
        </w:rPr>
        <w:t>主要内容</w:t>
      </w:r>
    </w:p>
    <w:p w:rsidR="00873A7D" w:rsidRDefault="00D83177" w:rsidP="00D83177">
      <w:pPr>
        <w:adjustRightInd w:val="0"/>
        <w:snapToGrid w:val="0"/>
        <w:spacing w:line="360" w:lineRule="auto"/>
        <w:ind w:firstLineChars="200" w:firstLine="480"/>
        <w:rPr>
          <w:rFonts w:ascii="宋体" w:hAnsi="宋体"/>
          <w:sz w:val="24"/>
        </w:rPr>
      </w:pPr>
      <w:r w:rsidRPr="00D83177">
        <w:rPr>
          <w:rFonts w:ascii="宋体" w:hAnsi="宋体" w:hint="eastAsia"/>
          <w:sz w:val="24"/>
        </w:rPr>
        <w:t>协议主体：</w:t>
      </w:r>
    </w:p>
    <w:p w:rsidR="006E091F" w:rsidRPr="002E2157" w:rsidRDefault="006E091F" w:rsidP="006E091F">
      <w:pPr>
        <w:adjustRightInd w:val="0"/>
        <w:snapToGrid w:val="0"/>
        <w:spacing w:line="360" w:lineRule="auto"/>
        <w:ind w:firstLineChars="200" w:firstLine="480"/>
        <w:rPr>
          <w:rFonts w:ascii="宋体" w:hAnsi="宋体"/>
          <w:sz w:val="24"/>
        </w:rPr>
      </w:pPr>
      <w:r w:rsidRPr="002E2157">
        <w:rPr>
          <w:rFonts w:ascii="宋体" w:hAnsi="宋体" w:hint="eastAsia"/>
          <w:sz w:val="24"/>
        </w:rPr>
        <w:t>转让方1：</w:t>
      </w:r>
      <w:r w:rsidR="001C3D1A" w:rsidRPr="002E2157">
        <w:rPr>
          <w:rFonts w:ascii="宋体" w:hAnsi="宋体"/>
          <w:bCs/>
          <w:kern w:val="0"/>
          <w:sz w:val="24"/>
        </w:rPr>
        <w:t>上海启</w:t>
      </w:r>
      <w:proofErr w:type="gramStart"/>
      <w:r w:rsidR="001C3D1A" w:rsidRPr="002E2157">
        <w:rPr>
          <w:rFonts w:ascii="宋体" w:hAnsi="宋体"/>
          <w:bCs/>
          <w:kern w:val="0"/>
          <w:sz w:val="24"/>
        </w:rPr>
        <w:t>澜</w:t>
      </w:r>
      <w:proofErr w:type="gramEnd"/>
      <w:r w:rsidR="001C3D1A" w:rsidRPr="002E2157">
        <w:rPr>
          <w:rFonts w:ascii="宋体" w:hAnsi="宋体"/>
          <w:bCs/>
          <w:kern w:val="0"/>
          <w:sz w:val="24"/>
        </w:rPr>
        <w:t>企业管理咨询合伙企业（有限合伙）</w:t>
      </w:r>
    </w:p>
    <w:p w:rsidR="006E091F" w:rsidRPr="004845B8" w:rsidRDefault="006E091F" w:rsidP="004845B8">
      <w:pPr>
        <w:adjustRightInd w:val="0"/>
        <w:snapToGrid w:val="0"/>
        <w:spacing w:line="360" w:lineRule="auto"/>
        <w:ind w:firstLineChars="200" w:firstLine="480"/>
        <w:rPr>
          <w:rFonts w:ascii="宋体" w:hAnsi="宋体"/>
          <w:sz w:val="24"/>
        </w:rPr>
      </w:pPr>
      <w:r w:rsidRPr="004845B8">
        <w:rPr>
          <w:rFonts w:ascii="宋体" w:hAnsi="宋体"/>
          <w:sz w:val="24"/>
        </w:rPr>
        <w:t>转让方</w:t>
      </w:r>
      <w:r w:rsidR="001C3D1A" w:rsidRPr="004845B8">
        <w:rPr>
          <w:rFonts w:ascii="宋体" w:hAnsi="宋体" w:hint="eastAsia"/>
          <w:sz w:val="24"/>
        </w:rPr>
        <w:t>1</w:t>
      </w:r>
      <w:r w:rsidRPr="004845B8">
        <w:rPr>
          <w:rFonts w:ascii="宋体" w:hAnsi="宋体" w:hint="eastAsia"/>
          <w:sz w:val="24"/>
        </w:rPr>
        <w:t>2</w:t>
      </w:r>
      <w:r w:rsidRPr="004845B8">
        <w:rPr>
          <w:rFonts w:ascii="宋体" w:hAnsi="宋体"/>
          <w:sz w:val="24"/>
        </w:rPr>
        <w:t>：</w:t>
      </w:r>
      <w:proofErr w:type="gramStart"/>
      <w:r w:rsidR="001C3D1A" w:rsidRPr="004845B8">
        <w:rPr>
          <w:rFonts w:ascii="宋体" w:hAnsi="宋体" w:hint="eastAsia"/>
          <w:sz w:val="24"/>
        </w:rPr>
        <w:t>Diamond</w:t>
      </w:r>
      <w:r w:rsidR="001C3D1A" w:rsidRPr="004845B8">
        <w:rPr>
          <w:rFonts w:ascii="宋体" w:hAnsi="宋体"/>
          <w:sz w:val="24"/>
        </w:rPr>
        <w:t xml:space="preserve"> H</w:t>
      </w:r>
      <w:r w:rsidR="001C3D1A" w:rsidRPr="004845B8">
        <w:rPr>
          <w:rFonts w:ascii="宋体" w:hAnsi="宋体" w:hint="eastAsia"/>
          <w:sz w:val="24"/>
        </w:rPr>
        <w:t xml:space="preserve">ill, </w:t>
      </w:r>
      <w:r w:rsidR="001C3D1A" w:rsidRPr="004845B8">
        <w:rPr>
          <w:rFonts w:ascii="宋体" w:hAnsi="宋体"/>
          <w:sz w:val="24"/>
        </w:rPr>
        <w:t>L.P.</w:t>
      </w:r>
      <w:proofErr w:type="gramEnd"/>
    </w:p>
    <w:p w:rsidR="004845B8" w:rsidRPr="004845B8" w:rsidRDefault="006E091F" w:rsidP="004845B8">
      <w:pPr>
        <w:adjustRightInd w:val="0"/>
        <w:snapToGrid w:val="0"/>
        <w:spacing w:line="360" w:lineRule="auto"/>
        <w:ind w:firstLineChars="200" w:firstLine="480"/>
        <w:rPr>
          <w:rFonts w:ascii="宋体" w:hAnsi="宋体"/>
          <w:color w:val="FF0000"/>
          <w:sz w:val="24"/>
        </w:rPr>
      </w:pPr>
      <w:r w:rsidRPr="00260510">
        <w:rPr>
          <w:rFonts w:ascii="宋体" w:hAnsi="宋体" w:hint="eastAsia"/>
          <w:sz w:val="24"/>
        </w:rPr>
        <w:t>……共1</w:t>
      </w:r>
      <w:r w:rsidR="00A670B5">
        <w:rPr>
          <w:rFonts w:ascii="宋体" w:hAnsi="宋体" w:hint="eastAsia"/>
          <w:sz w:val="24"/>
        </w:rPr>
        <w:t>4</w:t>
      </w:r>
      <w:r w:rsidRPr="00260510">
        <w:rPr>
          <w:rFonts w:ascii="宋体" w:hAnsi="宋体" w:hint="eastAsia"/>
          <w:sz w:val="24"/>
        </w:rPr>
        <w:t>家单位，合称为“</w:t>
      </w:r>
      <w:r w:rsidR="00A670B5">
        <w:rPr>
          <w:rFonts w:ascii="宋体" w:hAnsi="宋体" w:hint="eastAsia"/>
          <w:sz w:val="24"/>
        </w:rPr>
        <w:t>转</w:t>
      </w:r>
      <w:r>
        <w:rPr>
          <w:rFonts w:ascii="宋体" w:hAnsi="宋体" w:hint="eastAsia"/>
          <w:sz w:val="24"/>
        </w:rPr>
        <w:t>让方</w:t>
      </w:r>
      <w:r w:rsidRPr="00260510">
        <w:rPr>
          <w:rFonts w:ascii="宋体" w:hAnsi="宋体" w:hint="eastAsia"/>
          <w:sz w:val="24"/>
        </w:rPr>
        <w:t>”</w:t>
      </w:r>
    </w:p>
    <w:p w:rsidR="00016309" w:rsidRDefault="00016309" w:rsidP="00016309">
      <w:pPr>
        <w:adjustRightInd w:val="0"/>
        <w:snapToGrid w:val="0"/>
        <w:spacing w:line="360" w:lineRule="auto"/>
        <w:ind w:firstLineChars="200" w:firstLine="480"/>
        <w:rPr>
          <w:rFonts w:ascii="宋体" w:hAnsi="宋体"/>
          <w:sz w:val="24"/>
        </w:rPr>
      </w:pPr>
      <w:r w:rsidRPr="00016309">
        <w:rPr>
          <w:rFonts w:ascii="宋体" w:hAnsi="宋体" w:hint="eastAsia"/>
          <w:sz w:val="24"/>
        </w:rPr>
        <w:t>一村相关转让方：上海启</w:t>
      </w:r>
      <w:proofErr w:type="gramStart"/>
      <w:r w:rsidRPr="00016309">
        <w:rPr>
          <w:rFonts w:ascii="宋体" w:hAnsi="宋体" w:hint="eastAsia"/>
          <w:sz w:val="24"/>
        </w:rPr>
        <w:t>澜</w:t>
      </w:r>
      <w:proofErr w:type="gramEnd"/>
      <w:r w:rsidRPr="00016309">
        <w:rPr>
          <w:rFonts w:ascii="宋体" w:hAnsi="宋体" w:hint="eastAsia"/>
          <w:sz w:val="24"/>
        </w:rPr>
        <w:t>、</w:t>
      </w:r>
      <w:bookmarkStart w:id="39" w:name="OLE_LINK22"/>
      <w:r w:rsidRPr="00016309">
        <w:rPr>
          <w:rFonts w:ascii="宋体" w:hAnsi="宋体" w:hint="eastAsia"/>
          <w:sz w:val="24"/>
        </w:rPr>
        <w:t>上海麓村企业管理咨询合伙企业（有限合伙）</w:t>
      </w:r>
      <w:bookmarkEnd w:id="39"/>
      <w:r w:rsidRPr="00016309">
        <w:rPr>
          <w:rFonts w:ascii="宋体" w:hAnsi="宋体" w:hint="eastAsia"/>
          <w:sz w:val="24"/>
        </w:rPr>
        <w:t>、上海</w:t>
      </w:r>
      <w:proofErr w:type="gramStart"/>
      <w:r w:rsidRPr="00016309">
        <w:rPr>
          <w:rFonts w:ascii="宋体" w:hAnsi="宋体" w:hint="eastAsia"/>
          <w:sz w:val="24"/>
        </w:rPr>
        <w:t>煜</w:t>
      </w:r>
      <w:proofErr w:type="gramEnd"/>
      <w:r w:rsidRPr="00016309">
        <w:rPr>
          <w:rFonts w:ascii="宋体" w:hAnsi="宋体" w:hint="eastAsia"/>
          <w:sz w:val="24"/>
        </w:rPr>
        <w:t>村企业管理咨询合伙企业（有限合伙）、</w:t>
      </w:r>
      <w:bookmarkStart w:id="40" w:name="OLE_LINK21"/>
      <w:r w:rsidRPr="00016309">
        <w:rPr>
          <w:rFonts w:ascii="宋体" w:hAnsi="宋体" w:hint="eastAsia"/>
          <w:sz w:val="24"/>
        </w:rPr>
        <w:t>上海安涧企业管理咨询合伙企业（有限合伙）</w:t>
      </w:r>
      <w:bookmarkEnd w:id="40"/>
      <w:r w:rsidRPr="00016309">
        <w:rPr>
          <w:rFonts w:ascii="宋体" w:hAnsi="宋体" w:hint="eastAsia"/>
          <w:sz w:val="24"/>
        </w:rPr>
        <w:t>、</w:t>
      </w:r>
      <w:bookmarkStart w:id="41" w:name="OLE_LINK20"/>
      <w:r w:rsidRPr="00016309">
        <w:rPr>
          <w:rFonts w:ascii="宋体" w:hAnsi="宋体" w:hint="eastAsia"/>
          <w:sz w:val="24"/>
        </w:rPr>
        <w:t>Diamond Hill, L.P.</w:t>
      </w:r>
      <w:bookmarkEnd w:id="41"/>
      <w:r w:rsidRPr="00016309">
        <w:rPr>
          <w:rFonts w:ascii="宋体" w:hAnsi="宋体" w:hint="eastAsia"/>
          <w:sz w:val="24"/>
        </w:rPr>
        <w:t>、</w:t>
      </w:r>
      <w:bookmarkStart w:id="42" w:name="OLE_LINK23"/>
      <w:r w:rsidRPr="00016309">
        <w:rPr>
          <w:rFonts w:ascii="宋体" w:hAnsi="宋体"/>
          <w:sz w:val="24"/>
        </w:rPr>
        <w:t xml:space="preserve">V-Capital </w:t>
      </w:r>
      <w:proofErr w:type="spellStart"/>
      <w:r w:rsidRPr="00016309">
        <w:rPr>
          <w:rFonts w:ascii="宋体" w:hAnsi="宋体"/>
          <w:sz w:val="24"/>
        </w:rPr>
        <w:t>Zhigeng</w:t>
      </w:r>
      <w:proofErr w:type="spellEnd"/>
      <w:r w:rsidRPr="00016309">
        <w:rPr>
          <w:rFonts w:ascii="宋体" w:hAnsi="宋体"/>
          <w:sz w:val="24"/>
        </w:rPr>
        <w:t xml:space="preserve"> International Co., Limited</w:t>
      </w:r>
      <w:bookmarkEnd w:id="42"/>
      <w:r w:rsidRPr="00016309">
        <w:rPr>
          <w:rFonts w:ascii="宋体" w:hAnsi="宋体" w:hint="eastAsia"/>
          <w:sz w:val="24"/>
        </w:rPr>
        <w:t>的单称或合称</w:t>
      </w:r>
    </w:p>
    <w:p w:rsidR="00D83177" w:rsidRPr="00A670B5" w:rsidRDefault="00A670B5" w:rsidP="009D59C3">
      <w:pPr>
        <w:adjustRightInd w:val="0"/>
        <w:snapToGrid w:val="0"/>
        <w:spacing w:line="360" w:lineRule="auto"/>
        <w:ind w:firstLineChars="200" w:firstLine="480"/>
        <w:rPr>
          <w:rFonts w:ascii="宋体" w:hAnsi="宋体"/>
          <w:sz w:val="24"/>
        </w:rPr>
      </w:pPr>
      <w:r>
        <w:rPr>
          <w:rFonts w:ascii="宋体" w:hAnsi="宋体" w:hint="eastAsia"/>
          <w:sz w:val="24"/>
        </w:rPr>
        <w:t>股权</w:t>
      </w:r>
      <w:r w:rsidR="006E091F">
        <w:rPr>
          <w:rFonts w:ascii="宋体" w:hAnsi="宋体" w:hint="eastAsia"/>
          <w:sz w:val="24"/>
        </w:rPr>
        <w:t>受让方</w:t>
      </w:r>
      <w:r w:rsidR="00D83177" w:rsidRPr="00260510">
        <w:rPr>
          <w:rFonts w:ascii="宋体" w:hAnsi="宋体" w:hint="eastAsia"/>
          <w:sz w:val="24"/>
        </w:rPr>
        <w:t>：</w:t>
      </w:r>
      <w:proofErr w:type="gramStart"/>
      <w:r w:rsidRPr="00A670B5">
        <w:rPr>
          <w:rFonts w:ascii="宋体" w:hAnsi="宋体"/>
          <w:sz w:val="24"/>
        </w:rPr>
        <w:t>超毅集团</w:t>
      </w:r>
      <w:proofErr w:type="gramEnd"/>
      <w:r w:rsidRPr="00A670B5">
        <w:rPr>
          <w:rFonts w:ascii="宋体" w:hAnsi="宋体"/>
          <w:sz w:val="24"/>
        </w:rPr>
        <w:t>（香港）有限公司</w:t>
      </w:r>
    </w:p>
    <w:p w:rsidR="00A670B5" w:rsidRPr="00E7273B" w:rsidRDefault="00A670B5" w:rsidP="00A670B5">
      <w:pPr>
        <w:adjustRightInd w:val="0"/>
        <w:snapToGrid w:val="0"/>
        <w:spacing w:line="360" w:lineRule="auto"/>
        <w:ind w:firstLineChars="200" w:firstLine="480"/>
        <w:rPr>
          <w:rFonts w:ascii="宋体" w:hAnsi="宋体"/>
          <w:sz w:val="24"/>
        </w:rPr>
      </w:pPr>
      <w:r w:rsidRPr="00E7273B">
        <w:rPr>
          <w:rFonts w:ascii="宋体" w:hAnsi="宋体"/>
          <w:sz w:val="24"/>
        </w:rPr>
        <w:t>苏州东山精密制造股份有限公司（</w:t>
      </w:r>
      <w:r w:rsidRPr="00E7273B">
        <w:rPr>
          <w:rFonts w:ascii="宋体" w:hAnsi="宋体" w:hint="eastAsia"/>
          <w:sz w:val="24"/>
        </w:rPr>
        <w:t>与股权受让方合称</w:t>
      </w:r>
      <w:r w:rsidRPr="00E7273B">
        <w:rPr>
          <w:rFonts w:ascii="宋体" w:hAnsi="宋体"/>
          <w:sz w:val="24"/>
        </w:rPr>
        <w:t>“</w:t>
      </w:r>
      <w:r w:rsidRPr="00E7273B">
        <w:rPr>
          <w:rFonts w:ascii="宋体" w:hAnsi="宋体" w:hint="eastAsia"/>
          <w:sz w:val="24"/>
        </w:rPr>
        <w:t>收购方</w:t>
      </w:r>
      <w:r w:rsidRPr="00E7273B">
        <w:rPr>
          <w:rFonts w:ascii="宋体" w:hAnsi="宋体"/>
          <w:sz w:val="24"/>
        </w:rPr>
        <w:t>”）</w:t>
      </w:r>
    </w:p>
    <w:p w:rsidR="00D83177" w:rsidRDefault="00C47F72" w:rsidP="0016125E">
      <w:pPr>
        <w:adjustRightInd w:val="0"/>
        <w:snapToGrid w:val="0"/>
        <w:spacing w:line="360" w:lineRule="auto"/>
        <w:ind w:firstLineChars="200" w:firstLine="482"/>
        <w:rPr>
          <w:rFonts w:ascii="宋体" w:hAnsi="宋体"/>
          <w:b/>
          <w:sz w:val="24"/>
        </w:rPr>
      </w:pPr>
      <w:r>
        <w:rPr>
          <w:rFonts w:ascii="宋体" w:hAnsi="宋体" w:hint="eastAsia"/>
          <w:b/>
          <w:sz w:val="24"/>
        </w:rPr>
        <w:t>协议主要条款</w:t>
      </w:r>
      <w:r w:rsidR="003D2761">
        <w:rPr>
          <w:rFonts w:ascii="宋体" w:hAnsi="宋体" w:hint="eastAsia"/>
          <w:b/>
          <w:sz w:val="24"/>
        </w:rPr>
        <w:t>内容如下</w:t>
      </w:r>
      <w:r>
        <w:rPr>
          <w:rFonts w:ascii="宋体" w:hAnsi="宋体" w:hint="eastAsia"/>
          <w:b/>
          <w:sz w:val="24"/>
        </w:rPr>
        <w:t>：</w:t>
      </w:r>
    </w:p>
    <w:p w:rsidR="00BB446F" w:rsidRPr="009136EA" w:rsidRDefault="009136EA" w:rsidP="009136EA">
      <w:pPr>
        <w:adjustRightInd w:val="0"/>
        <w:snapToGrid w:val="0"/>
        <w:spacing w:line="360" w:lineRule="auto"/>
        <w:ind w:firstLineChars="200" w:firstLine="482"/>
        <w:rPr>
          <w:rFonts w:ascii="宋体" w:hAnsi="宋体"/>
          <w:b/>
          <w:sz w:val="24"/>
        </w:rPr>
      </w:pPr>
      <w:r w:rsidRPr="009136EA">
        <w:rPr>
          <w:rFonts w:ascii="宋体" w:hAnsi="宋体" w:hint="eastAsia"/>
          <w:b/>
          <w:sz w:val="24"/>
        </w:rPr>
        <w:t>1、</w:t>
      </w:r>
      <w:bookmarkStart w:id="43" w:name="_Toc194914205"/>
      <w:r w:rsidRPr="009136EA">
        <w:rPr>
          <w:rFonts w:ascii="宋体" w:hAnsi="宋体" w:hint="eastAsia"/>
          <w:b/>
          <w:sz w:val="24"/>
        </w:rPr>
        <w:t>标的股份的转让</w:t>
      </w:r>
      <w:bookmarkEnd w:id="43"/>
      <w:r w:rsidR="00C040BC">
        <w:rPr>
          <w:rFonts w:ascii="宋体" w:hAnsi="宋体" w:hint="eastAsia"/>
          <w:b/>
          <w:sz w:val="24"/>
        </w:rPr>
        <w:t>与交割</w:t>
      </w:r>
    </w:p>
    <w:p w:rsidR="009136EA" w:rsidRDefault="00C040BC" w:rsidP="009136EA">
      <w:pPr>
        <w:adjustRightInd w:val="0"/>
        <w:snapToGrid w:val="0"/>
        <w:spacing w:line="360" w:lineRule="auto"/>
        <w:ind w:firstLineChars="200" w:firstLine="480"/>
        <w:rPr>
          <w:rFonts w:ascii="宋体" w:hAnsi="宋体"/>
          <w:sz w:val="24"/>
        </w:rPr>
      </w:pPr>
      <w:r>
        <w:rPr>
          <w:rFonts w:ascii="宋体" w:hAnsi="宋体" w:hint="eastAsia"/>
          <w:sz w:val="24"/>
        </w:rPr>
        <w:t>1.1</w:t>
      </w:r>
      <w:r w:rsidR="009136EA" w:rsidRPr="009136EA">
        <w:rPr>
          <w:rFonts w:ascii="宋体" w:hAnsi="宋体" w:hint="eastAsia"/>
          <w:sz w:val="24"/>
        </w:rPr>
        <w:t>受限于本协议所约定的条件并根据本协议约定的条款，于交割时，股权受让方同意购买和受让每一转让方持有的</w:t>
      </w:r>
      <w:bookmarkStart w:id="44" w:name="_Hlk162822384"/>
      <w:r w:rsidR="009136EA" w:rsidRPr="009136EA">
        <w:rPr>
          <w:rFonts w:ascii="宋体" w:hAnsi="宋体" w:hint="eastAsia"/>
          <w:sz w:val="24"/>
        </w:rPr>
        <w:t>标的股份</w:t>
      </w:r>
      <w:bookmarkEnd w:id="44"/>
      <w:r w:rsidR="009136EA" w:rsidRPr="009136EA">
        <w:rPr>
          <w:rFonts w:ascii="宋体" w:hAnsi="宋体" w:hint="eastAsia"/>
          <w:sz w:val="24"/>
        </w:rPr>
        <w:t>，且每一转让方同意向股权受让方出售和转让其持有的标的股份。</w:t>
      </w:r>
    </w:p>
    <w:p w:rsidR="009136EA" w:rsidRDefault="009136EA" w:rsidP="009136EA">
      <w:pPr>
        <w:adjustRightInd w:val="0"/>
        <w:snapToGrid w:val="0"/>
        <w:spacing w:line="360" w:lineRule="auto"/>
        <w:ind w:firstLineChars="200" w:firstLine="480"/>
        <w:rPr>
          <w:rFonts w:ascii="宋体" w:hAnsi="宋体"/>
          <w:sz w:val="24"/>
        </w:rPr>
      </w:pPr>
    </w:p>
    <w:p w:rsidR="009136EA" w:rsidRPr="00C040BC" w:rsidRDefault="00C040BC" w:rsidP="00C040BC">
      <w:pPr>
        <w:adjustRightInd w:val="0"/>
        <w:snapToGrid w:val="0"/>
        <w:spacing w:line="360" w:lineRule="auto"/>
        <w:ind w:firstLineChars="200" w:firstLine="480"/>
        <w:rPr>
          <w:rFonts w:ascii="宋体" w:hAnsi="宋体"/>
          <w:sz w:val="24"/>
        </w:rPr>
      </w:pPr>
      <w:r w:rsidRPr="00C040BC">
        <w:rPr>
          <w:rFonts w:ascii="宋体" w:hAnsi="宋体" w:hint="eastAsia"/>
          <w:sz w:val="24"/>
        </w:rPr>
        <w:t>1.2</w:t>
      </w:r>
      <w:bookmarkStart w:id="45" w:name="_Toc194914207"/>
      <w:bookmarkStart w:id="46" w:name="_Ref194573386"/>
      <w:bookmarkStart w:id="47" w:name="_Hlk160812600"/>
      <w:r w:rsidR="00972DAD" w:rsidRPr="00C040BC">
        <w:rPr>
          <w:rFonts w:ascii="宋体" w:hAnsi="宋体" w:hint="eastAsia"/>
          <w:sz w:val="24"/>
        </w:rPr>
        <w:t>标的股份转让</w:t>
      </w:r>
      <w:r w:rsidRPr="00C040BC">
        <w:rPr>
          <w:rFonts w:ascii="宋体" w:hAnsi="宋体" w:hint="eastAsia"/>
          <w:sz w:val="24"/>
        </w:rPr>
        <w:t>的</w:t>
      </w:r>
      <w:r w:rsidR="009136EA" w:rsidRPr="00C040BC">
        <w:rPr>
          <w:rFonts w:ascii="宋体" w:hAnsi="宋体" w:hint="eastAsia"/>
          <w:sz w:val="24"/>
        </w:rPr>
        <w:t>交割</w:t>
      </w:r>
      <w:bookmarkEnd w:id="45"/>
      <w:bookmarkEnd w:id="46"/>
    </w:p>
    <w:bookmarkEnd w:id="47"/>
    <w:p w:rsidR="009136EA" w:rsidRDefault="00C040BC" w:rsidP="009136EA">
      <w:pPr>
        <w:adjustRightInd w:val="0"/>
        <w:snapToGrid w:val="0"/>
        <w:spacing w:line="360" w:lineRule="auto"/>
        <w:ind w:firstLineChars="200" w:firstLine="480"/>
        <w:rPr>
          <w:rFonts w:ascii="宋体" w:hAnsi="宋体"/>
          <w:sz w:val="24"/>
        </w:rPr>
      </w:pPr>
      <w:r>
        <w:rPr>
          <w:rFonts w:ascii="宋体" w:hAnsi="宋体" w:hint="eastAsia"/>
          <w:sz w:val="24"/>
        </w:rPr>
        <w:t>1.2.1</w:t>
      </w:r>
      <w:r w:rsidR="009136EA">
        <w:rPr>
          <w:rFonts w:ascii="宋体" w:hAnsi="宋体" w:hint="eastAsia"/>
          <w:sz w:val="24"/>
        </w:rPr>
        <w:t>交割日</w:t>
      </w:r>
    </w:p>
    <w:p w:rsidR="009136EA" w:rsidRPr="009136EA" w:rsidRDefault="009136EA" w:rsidP="009136EA">
      <w:pPr>
        <w:adjustRightInd w:val="0"/>
        <w:snapToGrid w:val="0"/>
        <w:spacing w:line="360" w:lineRule="auto"/>
        <w:ind w:firstLineChars="200" w:firstLine="480"/>
        <w:rPr>
          <w:rFonts w:ascii="宋体" w:hAnsi="宋体"/>
          <w:sz w:val="24"/>
        </w:rPr>
      </w:pPr>
      <w:r w:rsidRPr="009136EA">
        <w:rPr>
          <w:rFonts w:ascii="宋体" w:hAnsi="宋体" w:hint="eastAsia"/>
          <w:sz w:val="24"/>
        </w:rPr>
        <w:lastRenderedPageBreak/>
        <w:t>本协议所列明的交割先决条件全部得到满足或被相关方书面豁免（根据其性质将在交割时满足的交割条件除外，但仍受限于该交割条件在交割时得到满足或被相关方书面豁免）后的第三个工作日（或一村相关转让方和股权受让方同意的其他时间）为交割日，但本协议对于交割日另有约定的从其约定。</w:t>
      </w:r>
    </w:p>
    <w:p w:rsidR="009136EA" w:rsidRPr="009136EA" w:rsidRDefault="009136EA" w:rsidP="009136EA">
      <w:pPr>
        <w:adjustRightInd w:val="0"/>
        <w:snapToGrid w:val="0"/>
        <w:spacing w:line="360" w:lineRule="auto"/>
        <w:ind w:firstLineChars="200" w:firstLine="480"/>
        <w:rPr>
          <w:rFonts w:ascii="宋体" w:hAnsi="宋体"/>
          <w:sz w:val="24"/>
        </w:rPr>
      </w:pPr>
      <w:r w:rsidRPr="009136EA">
        <w:rPr>
          <w:rFonts w:ascii="宋体" w:hAnsi="宋体" w:hint="eastAsia"/>
          <w:sz w:val="24"/>
        </w:rPr>
        <w:t>每一转让方确认并同意，自交割日起，股权受让方即作为该转让方根据本协议转让的标的股份的所有权人并享有作为持有该等标的股份的标的公司股东的完整的股东权利和利益（包括但不限于基于该等标的股份在标的公司所应获得的全部累积未分配利润），该等标的股份的所有权和任何与之相关的或源于该所有权的权利和利益均于交割时从该转让方转移至股权受让方，在此之后为股权受让方所享有，而该转让方不再享有与该等标的股份有关的任何权利和利益。</w:t>
      </w:r>
    </w:p>
    <w:p w:rsidR="00016309" w:rsidRPr="00016309" w:rsidRDefault="00C040BC" w:rsidP="00016309">
      <w:pPr>
        <w:adjustRightInd w:val="0"/>
        <w:snapToGrid w:val="0"/>
        <w:spacing w:line="360" w:lineRule="auto"/>
        <w:ind w:firstLineChars="200" w:firstLine="480"/>
        <w:rPr>
          <w:rFonts w:ascii="宋体" w:hAnsi="宋体"/>
          <w:sz w:val="24"/>
        </w:rPr>
      </w:pPr>
      <w:r>
        <w:rPr>
          <w:rFonts w:ascii="宋体" w:hAnsi="宋体" w:hint="eastAsia"/>
          <w:sz w:val="24"/>
        </w:rPr>
        <w:t>1.2.2</w:t>
      </w:r>
      <w:r w:rsidR="00016309" w:rsidRPr="00016309">
        <w:rPr>
          <w:rFonts w:ascii="宋体" w:hAnsi="宋体" w:hint="eastAsia"/>
          <w:sz w:val="24"/>
        </w:rPr>
        <w:t>转让方之间的独立交割</w:t>
      </w:r>
    </w:p>
    <w:p w:rsidR="00016309" w:rsidRDefault="00016309" w:rsidP="00016309">
      <w:pPr>
        <w:adjustRightInd w:val="0"/>
        <w:snapToGrid w:val="0"/>
        <w:spacing w:line="360" w:lineRule="auto"/>
        <w:ind w:firstLineChars="200" w:firstLine="480"/>
        <w:rPr>
          <w:rFonts w:ascii="宋体" w:hAnsi="宋体"/>
          <w:sz w:val="24"/>
        </w:rPr>
      </w:pPr>
      <w:r w:rsidRPr="00016309">
        <w:rPr>
          <w:rFonts w:ascii="宋体" w:hAnsi="宋体" w:hint="eastAsia"/>
          <w:sz w:val="24"/>
        </w:rPr>
        <w:t>各方同意，在股权受让方与任何</w:t>
      </w:r>
      <w:bookmarkStart w:id="48" w:name="OLE_LINK33"/>
      <w:r w:rsidRPr="00016309">
        <w:rPr>
          <w:rFonts w:ascii="宋体" w:hAnsi="宋体" w:hint="eastAsia"/>
          <w:sz w:val="24"/>
        </w:rPr>
        <w:t>一村相关转让方</w:t>
      </w:r>
      <w:bookmarkEnd w:id="48"/>
      <w:r w:rsidRPr="00016309">
        <w:rPr>
          <w:rFonts w:ascii="宋体" w:hAnsi="宋体" w:hint="eastAsia"/>
          <w:sz w:val="24"/>
        </w:rPr>
        <w:t>之间完成交割的情况下，股权受让方与任何其他转让方未完成交割，均不应影响一村相关转让方与股权受让方之间在本协议项下完成的交割的效力。</w:t>
      </w:r>
    </w:p>
    <w:p w:rsidR="00293778" w:rsidRPr="00016309" w:rsidRDefault="00293778" w:rsidP="00B12217">
      <w:pPr>
        <w:adjustRightInd w:val="0"/>
        <w:snapToGrid w:val="0"/>
        <w:spacing w:line="360" w:lineRule="auto"/>
        <w:ind w:firstLineChars="200" w:firstLine="480"/>
        <w:rPr>
          <w:rFonts w:ascii="宋体" w:hAnsi="宋体"/>
          <w:sz w:val="24"/>
        </w:rPr>
      </w:pPr>
    </w:p>
    <w:p w:rsidR="00811E7E" w:rsidRDefault="00C040BC" w:rsidP="00811E7E">
      <w:pPr>
        <w:adjustRightInd w:val="0"/>
        <w:snapToGrid w:val="0"/>
        <w:spacing w:line="360" w:lineRule="auto"/>
        <w:ind w:firstLineChars="200" w:firstLine="482"/>
        <w:rPr>
          <w:rFonts w:ascii="宋体" w:hAnsi="宋体"/>
          <w:b/>
          <w:sz w:val="24"/>
        </w:rPr>
      </w:pPr>
      <w:r>
        <w:rPr>
          <w:rFonts w:ascii="宋体" w:hAnsi="宋体" w:hint="eastAsia"/>
          <w:b/>
          <w:sz w:val="24"/>
        </w:rPr>
        <w:t>2</w:t>
      </w:r>
      <w:r w:rsidR="00811E7E" w:rsidRPr="00811E7E">
        <w:rPr>
          <w:rFonts w:ascii="宋体" w:hAnsi="宋体" w:hint="eastAsia"/>
          <w:b/>
          <w:sz w:val="24"/>
        </w:rPr>
        <w:t>、</w:t>
      </w:r>
      <w:r w:rsidR="00811E7E">
        <w:rPr>
          <w:rFonts w:ascii="宋体" w:hAnsi="宋体" w:hint="eastAsia"/>
          <w:b/>
          <w:sz w:val="24"/>
        </w:rPr>
        <w:t>标的股份的转让价款与支付</w:t>
      </w:r>
    </w:p>
    <w:p w:rsidR="00811E7E" w:rsidRPr="00811E7E" w:rsidRDefault="00C040BC" w:rsidP="00811E7E">
      <w:pPr>
        <w:adjustRightInd w:val="0"/>
        <w:snapToGrid w:val="0"/>
        <w:spacing w:line="360" w:lineRule="auto"/>
        <w:ind w:firstLineChars="200" w:firstLine="480"/>
        <w:rPr>
          <w:rFonts w:ascii="宋体" w:hAnsi="宋体"/>
          <w:sz w:val="24"/>
        </w:rPr>
      </w:pPr>
      <w:r>
        <w:rPr>
          <w:rFonts w:ascii="宋体" w:hAnsi="宋体" w:hint="eastAsia"/>
          <w:sz w:val="24"/>
        </w:rPr>
        <w:t>2</w:t>
      </w:r>
      <w:r w:rsidR="00811E7E" w:rsidRPr="00811E7E">
        <w:rPr>
          <w:rFonts w:ascii="宋体" w:hAnsi="宋体" w:hint="eastAsia"/>
          <w:sz w:val="24"/>
        </w:rPr>
        <w:t>.1转让价款</w:t>
      </w:r>
    </w:p>
    <w:p w:rsidR="00811E7E" w:rsidRDefault="00811E7E" w:rsidP="00811E7E">
      <w:pPr>
        <w:adjustRightInd w:val="0"/>
        <w:snapToGrid w:val="0"/>
        <w:spacing w:line="360" w:lineRule="auto"/>
        <w:ind w:firstLineChars="200" w:firstLine="480"/>
        <w:rPr>
          <w:rFonts w:ascii="宋体" w:hAnsi="宋体"/>
          <w:sz w:val="24"/>
        </w:rPr>
      </w:pPr>
      <w:r w:rsidRPr="00811E7E">
        <w:rPr>
          <w:rFonts w:ascii="宋体" w:hAnsi="宋体" w:hint="eastAsia"/>
          <w:sz w:val="24"/>
        </w:rPr>
        <w:t>各方同意，受限于本协议约定的条款和条件，股权受让方因受让标的股份应向转让方支付的转让价款为</w:t>
      </w:r>
      <w:r w:rsidRPr="00811E7E">
        <w:rPr>
          <w:rFonts w:ascii="宋体" w:hAnsi="宋体"/>
          <w:sz w:val="24"/>
        </w:rPr>
        <w:t>3.0577</w:t>
      </w:r>
      <w:r w:rsidRPr="00811E7E">
        <w:rPr>
          <w:rFonts w:ascii="宋体" w:hAnsi="宋体" w:hint="eastAsia"/>
          <w:sz w:val="24"/>
        </w:rPr>
        <w:t>美元</w:t>
      </w:r>
      <w:r w:rsidRPr="00811E7E">
        <w:rPr>
          <w:rFonts w:ascii="宋体" w:hAnsi="宋体"/>
          <w:sz w:val="24"/>
        </w:rPr>
        <w:t>/</w:t>
      </w:r>
      <w:bookmarkStart w:id="49" w:name="OLE_LINK79"/>
      <w:r w:rsidR="00C03E05">
        <w:rPr>
          <w:rFonts w:ascii="宋体" w:hAnsi="宋体" w:hint="eastAsia"/>
          <w:sz w:val="24"/>
        </w:rPr>
        <w:t>股。</w:t>
      </w:r>
      <w:r w:rsidRPr="00811E7E">
        <w:rPr>
          <w:rFonts w:ascii="宋体" w:hAnsi="宋体" w:hint="eastAsia"/>
          <w:sz w:val="24"/>
        </w:rPr>
        <w:t>全部转让价款应以即时可得的美元现金进行支付。</w:t>
      </w:r>
    </w:p>
    <w:p w:rsidR="00811E7E" w:rsidRDefault="00B84EF2" w:rsidP="00811E7E">
      <w:pPr>
        <w:adjustRightInd w:val="0"/>
        <w:snapToGrid w:val="0"/>
        <w:spacing w:line="360" w:lineRule="auto"/>
        <w:ind w:firstLineChars="200" w:firstLine="480"/>
        <w:rPr>
          <w:rFonts w:ascii="宋体" w:hAnsi="宋体"/>
          <w:sz w:val="24"/>
        </w:rPr>
      </w:pPr>
      <w:bookmarkStart w:id="50" w:name="OLE_LINK97"/>
      <w:bookmarkEnd w:id="49"/>
      <w:r>
        <w:rPr>
          <w:rFonts w:ascii="宋体" w:hAnsi="宋体" w:hint="eastAsia"/>
          <w:sz w:val="24"/>
        </w:rPr>
        <w:t>2</w:t>
      </w:r>
      <w:r w:rsidR="00811E7E">
        <w:rPr>
          <w:rFonts w:ascii="宋体" w:hAnsi="宋体" w:hint="eastAsia"/>
          <w:sz w:val="24"/>
        </w:rPr>
        <w:t>.2转让价款的支付</w:t>
      </w:r>
    </w:p>
    <w:p w:rsidR="00811E7E" w:rsidRPr="00811E7E" w:rsidRDefault="00811E7E" w:rsidP="00811E7E">
      <w:pPr>
        <w:adjustRightInd w:val="0"/>
        <w:snapToGrid w:val="0"/>
        <w:spacing w:line="360" w:lineRule="auto"/>
        <w:ind w:firstLineChars="200" w:firstLine="480"/>
        <w:rPr>
          <w:rFonts w:ascii="宋体" w:hAnsi="宋体"/>
          <w:sz w:val="24"/>
        </w:rPr>
      </w:pPr>
      <w:r w:rsidRPr="00811E7E">
        <w:rPr>
          <w:rFonts w:ascii="宋体" w:hAnsi="宋体" w:hint="eastAsia"/>
          <w:sz w:val="24"/>
        </w:rPr>
        <w:t>股权受让方应按照下列时间表向每一转让方支付转让价款：</w:t>
      </w:r>
    </w:p>
    <w:p w:rsidR="00811E7E" w:rsidRPr="00811E7E" w:rsidRDefault="00811E7E" w:rsidP="00811E7E">
      <w:pPr>
        <w:adjustRightInd w:val="0"/>
        <w:snapToGrid w:val="0"/>
        <w:spacing w:line="360" w:lineRule="auto"/>
        <w:ind w:firstLineChars="200" w:firstLine="480"/>
        <w:rPr>
          <w:rFonts w:ascii="宋体" w:hAnsi="宋体"/>
          <w:sz w:val="24"/>
        </w:rPr>
      </w:pPr>
      <w:bookmarkStart w:id="51" w:name="_Ref198942845"/>
      <w:r w:rsidRPr="00811E7E">
        <w:rPr>
          <w:rFonts w:ascii="宋体" w:hAnsi="宋体" w:hint="eastAsia"/>
          <w:sz w:val="24"/>
        </w:rPr>
        <w:t>在本协议对该转让方生效后的五个工作日内，向每一转让方的转让方账户支付首期转让价款</w:t>
      </w:r>
      <w:bookmarkEnd w:id="51"/>
      <w:r w:rsidRPr="00811E7E">
        <w:rPr>
          <w:rFonts w:ascii="宋体" w:hAnsi="宋体" w:hint="eastAsia"/>
          <w:sz w:val="24"/>
        </w:rPr>
        <w:t>。</w:t>
      </w:r>
    </w:p>
    <w:p w:rsidR="001C3D1A" w:rsidRDefault="00811E7E" w:rsidP="00811E7E">
      <w:pPr>
        <w:adjustRightInd w:val="0"/>
        <w:snapToGrid w:val="0"/>
        <w:spacing w:line="360" w:lineRule="auto"/>
        <w:ind w:firstLineChars="200" w:firstLine="480"/>
        <w:rPr>
          <w:rFonts w:ascii="宋体" w:hAnsi="宋体"/>
          <w:sz w:val="24"/>
        </w:rPr>
      </w:pPr>
      <w:bookmarkStart w:id="52" w:name="_Ref198594677"/>
      <w:bookmarkStart w:id="53" w:name="_Ref198476014"/>
      <w:bookmarkEnd w:id="50"/>
      <w:r w:rsidRPr="00811E7E">
        <w:rPr>
          <w:rFonts w:ascii="宋体" w:hAnsi="宋体" w:hint="eastAsia"/>
          <w:sz w:val="24"/>
        </w:rPr>
        <w:t>在本协议对该转让方生效后的三十</w:t>
      </w:r>
      <w:r w:rsidR="00F64E70">
        <w:rPr>
          <w:rFonts w:ascii="宋体" w:hAnsi="宋体" w:hint="eastAsia"/>
          <w:sz w:val="24"/>
        </w:rPr>
        <w:t>个</w:t>
      </w:r>
      <w:r w:rsidRPr="00811E7E">
        <w:rPr>
          <w:rFonts w:ascii="宋体" w:hAnsi="宋体" w:hint="eastAsia"/>
          <w:sz w:val="24"/>
        </w:rPr>
        <w:t>工作日内，向每一转让方的转让方账户支付第二期转让价款；以及</w:t>
      </w:r>
      <w:bookmarkStart w:id="54" w:name="_Ref198937696"/>
      <w:bookmarkEnd w:id="52"/>
    </w:p>
    <w:p w:rsidR="00811E7E" w:rsidRDefault="00811E7E" w:rsidP="00811E7E">
      <w:pPr>
        <w:adjustRightInd w:val="0"/>
        <w:snapToGrid w:val="0"/>
        <w:spacing w:line="360" w:lineRule="auto"/>
        <w:ind w:firstLineChars="200" w:firstLine="480"/>
        <w:rPr>
          <w:rFonts w:ascii="宋体" w:hAnsi="宋体"/>
          <w:sz w:val="24"/>
        </w:rPr>
      </w:pPr>
      <w:r w:rsidRPr="00811E7E">
        <w:rPr>
          <w:rFonts w:ascii="宋体" w:hAnsi="宋体" w:hint="eastAsia"/>
          <w:sz w:val="24"/>
        </w:rPr>
        <w:t>在股权受让方收到</w:t>
      </w:r>
      <w:r w:rsidR="009B2270">
        <w:rPr>
          <w:rFonts w:ascii="宋体" w:hAnsi="宋体" w:hint="eastAsia"/>
          <w:sz w:val="24"/>
        </w:rPr>
        <w:t>本协议约定交付的</w:t>
      </w:r>
      <w:r w:rsidRPr="00811E7E">
        <w:rPr>
          <w:rFonts w:ascii="宋体" w:hAnsi="宋体" w:hint="eastAsia"/>
          <w:sz w:val="24"/>
        </w:rPr>
        <w:t>所载物项的前提下，在交割日，向每一进行交割的转让方的转让方账户支付第三期转让价款</w:t>
      </w:r>
      <w:bookmarkEnd w:id="53"/>
      <w:bookmarkEnd w:id="54"/>
      <w:r w:rsidR="001C3D1A">
        <w:rPr>
          <w:rFonts w:ascii="宋体" w:hAnsi="宋体" w:hint="eastAsia"/>
          <w:sz w:val="24"/>
        </w:rPr>
        <w:t>。</w:t>
      </w:r>
    </w:p>
    <w:p w:rsidR="009E7B50" w:rsidRPr="009E7B50" w:rsidRDefault="009E7B50" w:rsidP="009E7B50">
      <w:pPr>
        <w:adjustRightInd w:val="0"/>
        <w:snapToGrid w:val="0"/>
        <w:spacing w:line="360" w:lineRule="auto"/>
        <w:ind w:firstLineChars="200" w:firstLine="480"/>
        <w:rPr>
          <w:rFonts w:ascii="宋体" w:hAnsi="宋体"/>
          <w:sz w:val="24"/>
        </w:rPr>
      </w:pPr>
      <w:r w:rsidRPr="009E7B50">
        <w:rPr>
          <w:rFonts w:ascii="宋体" w:hAnsi="宋体" w:hint="eastAsia"/>
          <w:sz w:val="24"/>
        </w:rPr>
        <w:t>股权受</w:t>
      </w:r>
      <w:proofErr w:type="gramStart"/>
      <w:r w:rsidRPr="009E7B50">
        <w:rPr>
          <w:rFonts w:ascii="宋体" w:hAnsi="宋体" w:hint="eastAsia"/>
          <w:sz w:val="24"/>
        </w:rPr>
        <w:t>让方向</w:t>
      </w:r>
      <w:proofErr w:type="gramEnd"/>
      <w:r w:rsidRPr="009E7B50">
        <w:rPr>
          <w:rFonts w:ascii="宋体" w:hAnsi="宋体" w:hint="eastAsia"/>
          <w:sz w:val="24"/>
        </w:rPr>
        <w:t>上海启</w:t>
      </w:r>
      <w:proofErr w:type="gramStart"/>
      <w:r w:rsidRPr="009E7B50">
        <w:rPr>
          <w:rFonts w:ascii="宋体" w:hAnsi="宋体" w:hint="eastAsia"/>
          <w:sz w:val="24"/>
        </w:rPr>
        <w:t>澜</w:t>
      </w:r>
      <w:proofErr w:type="gramEnd"/>
      <w:r w:rsidRPr="009E7B50">
        <w:rPr>
          <w:rFonts w:ascii="宋体" w:hAnsi="宋体" w:hint="eastAsia"/>
          <w:sz w:val="24"/>
        </w:rPr>
        <w:t>及</w:t>
      </w:r>
      <w:r w:rsidRPr="009E7B50">
        <w:rPr>
          <w:rFonts w:ascii="宋体" w:hAnsi="宋体"/>
          <w:sz w:val="24"/>
        </w:rPr>
        <w:t xml:space="preserve">Diamond </w:t>
      </w:r>
      <w:r w:rsidRPr="009E7B50">
        <w:rPr>
          <w:rFonts w:ascii="宋体" w:hAnsi="宋体" w:hint="eastAsia"/>
          <w:sz w:val="24"/>
        </w:rPr>
        <w:t xml:space="preserve"> </w:t>
      </w:r>
      <w:r w:rsidRPr="009E7B50">
        <w:rPr>
          <w:rFonts w:ascii="宋体" w:hAnsi="宋体"/>
          <w:sz w:val="24"/>
        </w:rPr>
        <w:t>Hill, L.P.分期</w:t>
      </w:r>
      <w:r w:rsidRPr="009E7B50">
        <w:rPr>
          <w:rFonts w:ascii="宋体" w:hAnsi="宋体" w:hint="eastAsia"/>
          <w:sz w:val="24"/>
        </w:rPr>
        <w:t>支付的比例分别为20%、20%、60%。</w:t>
      </w:r>
    </w:p>
    <w:p w:rsidR="001C3D1A" w:rsidRDefault="001C3D1A" w:rsidP="00811E7E">
      <w:pPr>
        <w:adjustRightInd w:val="0"/>
        <w:snapToGrid w:val="0"/>
        <w:spacing w:line="360" w:lineRule="auto"/>
        <w:ind w:firstLineChars="200" w:firstLine="480"/>
        <w:rPr>
          <w:rFonts w:ascii="宋体" w:hAnsi="宋体"/>
          <w:sz w:val="24"/>
        </w:rPr>
      </w:pPr>
    </w:p>
    <w:p w:rsidR="001C3D1A" w:rsidRDefault="00B84EF2" w:rsidP="001C3D1A">
      <w:pPr>
        <w:adjustRightInd w:val="0"/>
        <w:snapToGrid w:val="0"/>
        <w:spacing w:line="360" w:lineRule="auto"/>
        <w:ind w:firstLineChars="200" w:firstLine="482"/>
        <w:rPr>
          <w:rFonts w:ascii="宋体" w:hAnsi="宋体"/>
          <w:b/>
          <w:sz w:val="24"/>
        </w:rPr>
      </w:pPr>
      <w:r>
        <w:rPr>
          <w:rFonts w:ascii="宋体" w:hAnsi="宋体" w:hint="eastAsia"/>
          <w:b/>
          <w:sz w:val="24"/>
        </w:rPr>
        <w:t>3</w:t>
      </w:r>
      <w:r w:rsidR="001C3D1A" w:rsidRPr="001C3D1A">
        <w:rPr>
          <w:rFonts w:ascii="宋体" w:hAnsi="宋体" w:hint="eastAsia"/>
          <w:b/>
          <w:sz w:val="24"/>
        </w:rPr>
        <w:t>、交割条件</w:t>
      </w:r>
    </w:p>
    <w:p w:rsidR="0039468F" w:rsidRPr="0039468F" w:rsidRDefault="00B84EF2" w:rsidP="0039468F">
      <w:pPr>
        <w:adjustRightInd w:val="0"/>
        <w:snapToGrid w:val="0"/>
        <w:spacing w:line="360" w:lineRule="auto"/>
        <w:ind w:firstLineChars="200" w:firstLine="480"/>
        <w:rPr>
          <w:rFonts w:ascii="宋体" w:hAnsi="宋体"/>
          <w:sz w:val="24"/>
        </w:rPr>
      </w:pPr>
      <w:bookmarkStart w:id="55" w:name="_Ref197602647"/>
      <w:r>
        <w:rPr>
          <w:rFonts w:ascii="宋体" w:hAnsi="宋体" w:hint="eastAsia"/>
          <w:sz w:val="24"/>
        </w:rPr>
        <w:t>3</w:t>
      </w:r>
      <w:r w:rsidR="002F58E5">
        <w:rPr>
          <w:rFonts w:ascii="宋体" w:hAnsi="宋体" w:hint="eastAsia"/>
          <w:sz w:val="24"/>
        </w:rPr>
        <w:t>.1</w:t>
      </w:r>
      <w:r w:rsidR="0039468F" w:rsidRPr="0039468F">
        <w:rPr>
          <w:rFonts w:ascii="宋体" w:hAnsi="宋体" w:hint="eastAsia"/>
          <w:sz w:val="24"/>
        </w:rPr>
        <w:t>每一转让方完成本次交易的交割，应当以转让方交割条件均得到满足</w:t>
      </w:r>
      <w:r w:rsidR="002F58E5" w:rsidRPr="002F58E5">
        <w:rPr>
          <w:rFonts w:ascii="宋体" w:hAnsi="宋体" w:hint="eastAsia"/>
          <w:sz w:val="24"/>
        </w:rPr>
        <w:t>（或由该转让方决定并通过书面方式通知股权受让方的方式豁免）</w:t>
      </w:r>
      <w:r w:rsidR="0039468F" w:rsidRPr="0039468F">
        <w:rPr>
          <w:rFonts w:ascii="宋体" w:hAnsi="宋体" w:hint="eastAsia"/>
          <w:sz w:val="24"/>
        </w:rPr>
        <w:t>为前提；股权受让方就本次交易完成与任何转让方的交割，应当以股权受让方交割条件均得到满足（或由股权受让方决定并通过书面方式通知转让方的方式豁免）为前提。</w:t>
      </w:r>
      <w:bookmarkEnd w:id="55"/>
    </w:p>
    <w:p w:rsidR="0039468F" w:rsidRPr="0039468F" w:rsidRDefault="00B84EF2" w:rsidP="0039468F">
      <w:pPr>
        <w:adjustRightInd w:val="0"/>
        <w:snapToGrid w:val="0"/>
        <w:spacing w:line="360" w:lineRule="auto"/>
        <w:ind w:firstLineChars="200" w:firstLine="480"/>
        <w:rPr>
          <w:rFonts w:ascii="宋体" w:hAnsi="宋体"/>
          <w:sz w:val="24"/>
        </w:rPr>
      </w:pPr>
      <w:bookmarkStart w:id="56" w:name="_Ref198476253"/>
      <w:r>
        <w:rPr>
          <w:rFonts w:ascii="宋体" w:hAnsi="宋体" w:hint="eastAsia"/>
          <w:sz w:val="24"/>
        </w:rPr>
        <w:t>3</w:t>
      </w:r>
      <w:r w:rsidR="002F58E5">
        <w:rPr>
          <w:rFonts w:ascii="宋体" w:hAnsi="宋体" w:hint="eastAsia"/>
          <w:sz w:val="24"/>
        </w:rPr>
        <w:t>.2</w:t>
      </w:r>
      <w:r w:rsidR="0039468F" w:rsidRPr="0039468F">
        <w:rPr>
          <w:rFonts w:ascii="宋体" w:hAnsi="宋体" w:hint="eastAsia"/>
          <w:sz w:val="24"/>
        </w:rPr>
        <w:t>转让方和股权受让方的交割条件</w:t>
      </w:r>
      <w:bookmarkEnd w:id="56"/>
    </w:p>
    <w:p w:rsidR="0039468F" w:rsidRPr="0039468F" w:rsidRDefault="00B84EF2" w:rsidP="0039468F">
      <w:pPr>
        <w:adjustRightInd w:val="0"/>
        <w:snapToGrid w:val="0"/>
        <w:spacing w:line="360" w:lineRule="auto"/>
        <w:ind w:firstLineChars="200" w:firstLine="480"/>
        <w:rPr>
          <w:rFonts w:ascii="宋体" w:hAnsi="宋体"/>
          <w:sz w:val="24"/>
        </w:rPr>
      </w:pPr>
      <w:r>
        <w:rPr>
          <w:rFonts w:ascii="宋体" w:hAnsi="宋体" w:hint="eastAsia"/>
          <w:sz w:val="24"/>
        </w:rPr>
        <w:t>3</w:t>
      </w:r>
      <w:r w:rsidR="002F58E5">
        <w:rPr>
          <w:rFonts w:ascii="宋体" w:hAnsi="宋体" w:hint="eastAsia"/>
          <w:sz w:val="24"/>
        </w:rPr>
        <w:t>.2.1</w:t>
      </w:r>
      <w:r w:rsidR="0039468F" w:rsidRPr="0039468F">
        <w:rPr>
          <w:rFonts w:ascii="宋体" w:hAnsi="宋体" w:hint="eastAsia"/>
          <w:sz w:val="24"/>
        </w:rPr>
        <w:t>不存在限制、禁止或取消本次交易的法律；</w:t>
      </w:r>
    </w:p>
    <w:p w:rsidR="0039468F" w:rsidRPr="0039468F" w:rsidRDefault="00B84EF2" w:rsidP="0039468F">
      <w:pPr>
        <w:adjustRightInd w:val="0"/>
        <w:snapToGrid w:val="0"/>
        <w:spacing w:line="360" w:lineRule="auto"/>
        <w:ind w:firstLineChars="200" w:firstLine="480"/>
        <w:rPr>
          <w:rFonts w:ascii="宋体" w:hAnsi="宋体"/>
          <w:sz w:val="24"/>
        </w:rPr>
      </w:pPr>
      <w:bookmarkStart w:id="57" w:name="_Ref199428759"/>
      <w:r>
        <w:rPr>
          <w:rFonts w:ascii="宋体" w:hAnsi="宋体" w:hint="eastAsia"/>
          <w:sz w:val="24"/>
        </w:rPr>
        <w:t>3</w:t>
      </w:r>
      <w:r w:rsidR="002F58E5">
        <w:rPr>
          <w:rFonts w:ascii="宋体" w:hAnsi="宋体" w:hint="eastAsia"/>
          <w:sz w:val="24"/>
        </w:rPr>
        <w:t>.2.2</w:t>
      </w:r>
      <w:r w:rsidR="0039468F" w:rsidRPr="0039468F">
        <w:rPr>
          <w:rFonts w:ascii="宋体" w:hAnsi="宋体" w:hint="eastAsia"/>
          <w:sz w:val="24"/>
        </w:rPr>
        <w:t>本次交易已通过中国和美国适用法律要求的经营者集中申报审查（</w:t>
      </w:r>
      <w:r w:rsidR="0039468F" w:rsidRPr="0039468F">
        <w:rPr>
          <w:rFonts w:ascii="宋体" w:hAnsi="宋体"/>
          <w:sz w:val="24"/>
        </w:rPr>
        <w:t>“</w:t>
      </w:r>
      <w:r w:rsidR="0039468F" w:rsidRPr="0039468F">
        <w:rPr>
          <w:rFonts w:ascii="宋体" w:hAnsi="宋体" w:hint="eastAsia"/>
          <w:sz w:val="24"/>
        </w:rPr>
        <w:t>反垄断审查</w:t>
      </w:r>
      <w:r w:rsidR="0039468F" w:rsidRPr="0039468F">
        <w:rPr>
          <w:rFonts w:ascii="宋体" w:hAnsi="宋体"/>
          <w:sz w:val="24"/>
        </w:rPr>
        <w:t>”</w:t>
      </w:r>
      <w:r w:rsidR="0039468F" w:rsidRPr="0039468F">
        <w:rPr>
          <w:rFonts w:ascii="宋体" w:hAnsi="宋体" w:hint="eastAsia"/>
          <w:sz w:val="24"/>
        </w:rPr>
        <w:t>）</w:t>
      </w:r>
      <w:bookmarkStart w:id="58" w:name="_Ref197352443"/>
      <w:bookmarkEnd w:id="57"/>
      <w:r w:rsidR="0039468F" w:rsidRPr="0039468F">
        <w:rPr>
          <w:rFonts w:ascii="宋体" w:hAnsi="宋体" w:hint="eastAsia"/>
          <w:sz w:val="24"/>
        </w:rPr>
        <w:t>；</w:t>
      </w:r>
    </w:p>
    <w:p w:rsidR="0039468F" w:rsidRDefault="00B84EF2" w:rsidP="0039468F">
      <w:pPr>
        <w:adjustRightInd w:val="0"/>
        <w:snapToGrid w:val="0"/>
        <w:spacing w:line="360" w:lineRule="auto"/>
        <w:ind w:firstLineChars="200" w:firstLine="480"/>
        <w:rPr>
          <w:rFonts w:ascii="宋体" w:hAnsi="宋体"/>
          <w:sz w:val="24"/>
        </w:rPr>
      </w:pPr>
      <w:r>
        <w:rPr>
          <w:rFonts w:ascii="宋体" w:hAnsi="宋体" w:hint="eastAsia"/>
          <w:sz w:val="24"/>
        </w:rPr>
        <w:t>3</w:t>
      </w:r>
      <w:r w:rsidR="002F58E5">
        <w:rPr>
          <w:rFonts w:ascii="宋体" w:hAnsi="宋体" w:hint="eastAsia"/>
          <w:sz w:val="24"/>
        </w:rPr>
        <w:t>.2.3</w:t>
      </w:r>
      <w:r w:rsidR="0039468F" w:rsidRPr="0039468F">
        <w:rPr>
          <w:rFonts w:ascii="宋体" w:hAnsi="宋体" w:hint="eastAsia"/>
          <w:sz w:val="24"/>
        </w:rPr>
        <w:t>集团公司重组已根据约定完成。</w:t>
      </w:r>
    </w:p>
    <w:bookmarkEnd w:id="58"/>
    <w:p w:rsidR="008D565E" w:rsidRDefault="008D565E" w:rsidP="008D565E">
      <w:pPr>
        <w:adjustRightInd w:val="0"/>
        <w:snapToGrid w:val="0"/>
        <w:spacing w:line="360" w:lineRule="auto"/>
        <w:ind w:firstLineChars="200" w:firstLine="480"/>
        <w:rPr>
          <w:rFonts w:ascii="宋体" w:hAnsi="宋体"/>
          <w:sz w:val="24"/>
        </w:rPr>
      </w:pPr>
    </w:p>
    <w:p w:rsidR="001C3D1A" w:rsidRPr="008D565E" w:rsidRDefault="00B84EF2" w:rsidP="008D565E">
      <w:pPr>
        <w:adjustRightInd w:val="0"/>
        <w:snapToGrid w:val="0"/>
        <w:spacing w:line="360" w:lineRule="auto"/>
        <w:ind w:firstLineChars="200" w:firstLine="482"/>
        <w:rPr>
          <w:rFonts w:ascii="宋体" w:hAnsi="宋体"/>
          <w:b/>
          <w:sz w:val="24"/>
        </w:rPr>
      </w:pPr>
      <w:r>
        <w:rPr>
          <w:rFonts w:ascii="宋体" w:hAnsi="宋体" w:hint="eastAsia"/>
          <w:b/>
          <w:sz w:val="24"/>
        </w:rPr>
        <w:t>4</w:t>
      </w:r>
      <w:r w:rsidR="008D565E" w:rsidRPr="008D565E">
        <w:rPr>
          <w:rFonts w:ascii="宋体" w:hAnsi="宋体" w:hint="eastAsia"/>
          <w:b/>
          <w:sz w:val="24"/>
        </w:rPr>
        <w:t>、承诺事项</w:t>
      </w:r>
    </w:p>
    <w:p w:rsidR="008D565E" w:rsidRPr="00972DAD" w:rsidRDefault="00B84EF2" w:rsidP="00972DAD">
      <w:pPr>
        <w:adjustRightInd w:val="0"/>
        <w:snapToGrid w:val="0"/>
        <w:spacing w:line="360" w:lineRule="auto"/>
        <w:ind w:firstLineChars="200" w:firstLine="480"/>
        <w:rPr>
          <w:rFonts w:ascii="宋体" w:hAnsi="宋体"/>
          <w:sz w:val="24"/>
        </w:rPr>
      </w:pPr>
      <w:r>
        <w:rPr>
          <w:rFonts w:ascii="宋体" w:hAnsi="宋体" w:hint="eastAsia"/>
          <w:sz w:val="24"/>
        </w:rPr>
        <w:t>4</w:t>
      </w:r>
      <w:r w:rsidR="008D565E" w:rsidRPr="00972DAD">
        <w:rPr>
          <w:rFonts w:ascii="宋体" w:hAnsi="宋体" w:hint="eastAsia"/>
          <w:sz w:val="24"/>
        </w:rPr>
        <w:t>.</w:t>
      </w:r>
      <w:r w:rsidR="00C82286">
        <w:rPr>
          <w:rFonts w:ascii="宋体" w:hAnsi="宋体" w:hint="eastAsia"/>
          <w:sz w:val="24"/>
        </w:rPr>
        <w:t>1</w:t>
      </w:r>
      <w:r w:rsidR="008D565E" w:rsidRPr="00972DAD">
        <w:rPr>
          <w:rFonts w:ascii="宋体" w:hAnsi="宋体" w:hint="eastAsia"/>
          <w:sz w:val="24"/>
        </w:rPr>
        <w:t>过渡期损益</w:t>
      </w:r>
    </w:p>
    <w:p w:rsidR="00B84EF2" w:rsidRPr="00B84EF2" w:rsidRDefault="00B84EF2" w:rsidP="00B84EF2">
      <w:pPr>
        <w:adjustRightInd w:val="0"/>
        <w:snapToGrid w:val="0"/>
        <w:spacing w:line="360" w:lineRule="auto"/>
        <w:ind w:firstLineChars="200" w:firstLine="480"/>
        <w:rPr>
          <w:rFonts w:ascii="宋体" w:hAnsi="宋体"/>
          <w:sz w:val="24"/>
        </w:rPr>
      </w:pPr>
      <w:bookmarkStart w:id="59" w:name="OLE_LINK44"/>
      <w:bookmarkStart w:id="60" w:name="OLE_LINK45"/>
      <w:bookmarkStart w:id="61" w:name="_Ref198943052"/>
      <w:r w:rsidRPr="00B84EF2">
        <w:rPr>
          <w:rFonts w:ascii="宋体" w:hAnsi="宋体" w:hint="eastAsia"/>
          <w:sz w:val="24"/>
        </w:rPr>
        <w:t>在交割完成的前提下，本次交易的评估基准日（</w:t>
      </w:r>
      <w:r w:rsidRPr="00B84EF2">
        <w:rPr>
          <w:rFonts w:ascii="宋体" w:hAnsi="宋体"/>
          <w:sz w:val="24"/>
        </w:rPr>
        <w:t>2024</w:t>
      </w:r>
      <w:r w:rsidRPr="00B84EF2">
        <w:rPr>
          <w:rFonts w:ascii="宋体" w:hAnsi="宋体" w:hint="eastAsia"/>
          <w:sz w:val="24"/>
        </w:rPr>
        <w:t>年</w:t>
      </w:r>
      <w:r w:rsidRPr="00B84EF2">
        <w:rPr>
          <w:rFonts w:ascii="宋体" w:hAnsi="宋体"/>
          <w:sz w:val="24"/>
        </w:rPr>
        <w:t>12</w:t>
      </w:r>
      <w:r w:rsidRPr="00B84EF2">
        <w:rPr>
          <w:rFonts w:ascii="宋体" w:hAnsi="宋体" w:hint="eastAsia"/>
          <w:sz w:val="24"/>
        </w:rPr>
        <w:t>月</w:t>
      </w:r>
      <w:r w:rsidRPr="00B84EF2">
        <w:rPr>
          <w:rFonts w:ascii="宋体" w:hAnsi="宋体"/>
          <w:sz w:val="24"/>
        </w:rPr>
        <w:t>31</w:t>
      </w:r>
      <w:r w:rsidRPr="00B84EF2">
        <w:rPr>
          <w:rFonts w:ascii="宋体" w:hAnsi="宋体" w:hint="eastAsia"/>
          <w:sz w:val="24"/>
        </w:rPr>
        <w:t>日）至交割日的当月月末，股权受让方在本次交易中取得的标的股份在前述期间内的对应的标的公司过渡期收益由股权受让方享有。</w:t>
      </w:r>
      <w:bookmarkStart w:id="62" w:name="OLE_LINK18"/>
      <w:bookmarkStart w:id="63" w:name="OLE_LINK19"/>
      <w:r w:rsidRPr="00B84EF2">
        <w:rPr>
          <w:rFonts w:ascii="宋体" w:hAnsi="宋体" w:hint="eastAsia"/>
          <w:sz w:val="24"/>
        </w:rPr>
        <w:t>标的公司在前述期间亏损导致所对应的经审计净资产相较于本次交易评估基准日经审计的标的公司净资产减少的，就净资产减少的金额的5</w:t>
      </w:r>
      <w:r w:rsidRPr="00B84EF2">
        <w:rPr>
          <w:rFonts w:ascii="宋体" w:hAnsi="宋体"/>
          <w:sz w:val="24"/>
        </w:rPr>
        <w:t>8%</w:t>
      </w:r>
      <w:r w:rsidRPr="00B84EF2">
        <w:rPr>
          <w:rFonts w:ascii="宋体" w:hAnsi="宋体" w:hint="eastAsia"/>
          <w:sz w:val="24"/>
        </w:rPr>
        <w:t>由Diamond Hill以现金方式向股权受让方进行补偿</w:t>
      </w:r>
      <w:r w:rsidRPr="007A7C4B">
        <w:rPr>
          <w:rFonts w:ascii="宋体" w:hAnsi="宋体" w:hint="eastAsia"/>
          <w:sz w:val="24"/>
        </w:rPr>
        <w:t>（</w:t>
      </w:r>
      <w:r w:rsidRPr="007A7C4B">
        <w:rPr>
          <w:rFonts w:ascii="宋体" w:hAnsi="宋体"/>
          <w:sz w:val="24"/>
        </w:rPr>
        <w:t>“</w:t>
      </w:r>
      <w:r w:rsidRPr="007A7C4B">
        <w:rPr>
          <w:rFonts w:ascii="宋体" w:hAnsi="宋体" w:hint="eastAsia"/>
          <w:sz w:val="24"/>
        </w:rPr>
        <w:t>损益补偿款</w:t>
      </w:r>
      <w:r w:rsidRPr="007A7C4B">
        <w:rPr>
          <w:rFonts w:ascii="宋体" w:hAnsi="宋体"/>
          <w:sz w:val="24"/>
        </w:rPr>
        <w:t>”</w:t>
      </w:r>
      <w:r w:rsidRPr="007A7C4B">
        <w:rPr>
          <w:rFonts w:ascii="宋体" w:hAnsi="宋体" w:hint="eastAsia"/>
          <w:sz w:val="24"/>
        </w:rPr>
        <w:t>）。</w:t>
      </w:r>
      <w:bookmarkEnd w:id="62"/>
      <w:bookmarkEnd w:id="63"/>
      <w:r w:rsidRPr="00B84EF2">
        <w:rPr>
          <w:rFonts w:ascii="宋体" w:hAnsi="宋体" w:hint="eastAsia"/>
          <w:sz w:val="24"/>
        </w:rPr>
        <w:t>过渡期内的收益或亏损金额应最终以股权受让方和Diamond Hill共同指定且具备相关资质的会计师事务所审计后的金额为准。尽管有上述约定，因集团公司重组或</w:t>
      </w:r>
      <w:r>
        <w:rPr>
          <w:rFonts w:ascii="宋体" w:hAnsi="宋体" w:hint="eastAsia"/>
          <w:sz w:val="24"/>
        </w:rPr>
        <w:t>员工期权</w:t>
      </w:r>
      <w:r w:rsidRPr="00B84EF2">
        <w:rPr>
          <w:rFonts w:ascii="宋体" w:hAnsi="宋体" w:hint="eastAsia"/>
          <w:sz w:val="24"/>
        </w:rPr>
        <w:t>解决方案或其执行而直接或间接导致任何集团公司的业务、客户、费用支出等发生变化或调整导致的任何损失都不得计入标的公司的亏损，就该等损失，转让方不承担任何责任。</w:t>
      </w:r>
    </w:p>
    <w:p w:rsidR="00760033" w:rsidRPr="00C03E05" w:rsidRDefault="00760033" w:rsidP="00760033">
      <w:pPr>
        <w:adjustRightInd w:val="0"/>
        <w:snapToGrid w:val="0"/>
        <w:spacing w:line="360" w:lineRule="auto"/>
        <w:ind w:firstLineChars="200" w:firstLine="480"/>
        <w:rPr>
          <w:rFonts w:ascii="宋体" w:hAnsi="宋体"/>
          <w:sz w:val="24"/>
        </w:rPr>
      </w:pPr>
      <w:r w:rsidRPr="00C03E05">
        <w:rPr>
          <w:rFonts w:ascii="宋体" w:hAnsi="宋体" w:hint="eastAsia"/>
          <w:sz w:val="24"/>
        </w:rPr>
        <w:t>上述应由Diamond Hill补偿的款项（如有）应由Diamond Hill在前述专项审计报告出具之日起十日内汇入股权受让方账户，但前提是，如果上述金额在交割日之日起六个月内未经审计确认的，</w:t>
      </w:r>
      <w:r w:rsidR="00C03E05">
        <w:rPr>
          <w:rFonts w:ascii="宋体" w:hAnsi="宋体" w:hint="eastAsia"/>
          <w:sz w:val="24"/>
        </w:rPr>
        <w:t>Diamond Hill</w:t>
      </w:r>
      <w:r w:rsidRPr="00C03E05">
        <w:rPr>
          <w:rFonts w:ascii="宋体" w:hAnsi="宋体" w:hint="eastAsia"/>
          <w:sz w:val="24"/>
        </w:rPr>
        <w:t>不再有义务向股权受让方支付任何损益补偿款。</w:t>
      </w:r>
    </w:p>
    <w:p w:rsidR="00C03E05" w:rsidRPr="00C03E05" w:rsidRDefault="00C03E05" w:rsidP="00C03E05">
      <w:pPr>
        <w:adjustRightInd w:val="0"/>
        <w:snapToGrid w:val="0"/>
        <w:spacing w:line="360" w:lineRule="auto"/>
        <w:ind w:firstLineChars="200" w:firstLine="480"/>
        <w:rPr>
          <w:rFonts w:ascii="宋体" w:hAnsi="宋体"/>
          <w:sz w:val="24"/>
        </w:rPr>
      </w:pPr>
      <w:r w:rsidRPr="00C03E05">
        <w:rPr>
          <w:rFonts w:ascii="宋体" w:hAnsi="宋体" w:hint="eastAsia"/>
          <w:sz w:val="24"/>
        </w:rPr>
        <w:t>一村相关转让方进一步确认，自基准日至签署日期间，除北京万通新发展集团股份有限公司可转债争议外，没有发生本协</w:t>
      </w:r>
      <w:r w:rsidRPr="007A7C4B">
        <w:rPr>
          <w:rFonts w:ascii="宋体" w:hAnsi="宋体" w:hint="eastAsia"/>
          <w:sz w:val="24"/>
        </w:rPr>
        <w:t>议条款约定或其它对资产或</w:t>
      </w:r>
      <w:r w:rsidRPr="00C03E05">
        <w:rPr>
          <w:rFonts w:ascii="宋体" w:hAnsi="宋体" w:hint="eastAsia"/>
          <w:sz w:val="24"/>
        </w:rPr>
        <w:t>财务状</w:t>
      </w:r>
      <w:r w:rsidRPr="00C03E05">
        <w:rPr>
          <w:rFonts w:ascii="宋体" w:hAnsi="宋体" w:hint="eastAsia"/>
          <w:sz w:val="24"/>
        </w:rPr>
        <w:lastRenderedPageBreak/>
        <w:t>况发生重大不利变化的事项。</w:t>
      </w:r>
    </w:p>
    <w:p w:rsidR="00B84EF2" w:rsidRPr="00C03E05" w:rsidRDefault="00B84EF2" w:rsidP="008D565E">
      <w:pPr>
        <w:adjustRightInd w:val="0"/>
        <w:snapToGrid w:val="0"/>
        <w:spacing w:line="360" w:lineRule="auto"/>
        <w:ind w:firstLineChars="200" w:firstLine="480"/>
        <w:rPr>
          <w:rFonts w:ascii="宋体" w:hAnsi="宋体"/>
          <w:sz w:val="24"/>
        </w:rPr>
      </w:pPr>
    </w:p>
    <w:bookmarkEnd w:id="59"/>
    <w:bookmarkEnd w:id="60"/>
    <w:bookmarkEnd w:id="61"/>
    <w:p w:rsidR="008D565E" w:rsidRPr="00341C48" w:rsidRDefault="007A7C4B" w:rsidP="008D565E">
      <w:pPr>
        <w:adjustRightInd w:val="0"/>
        <w:snapToGrid w:val="0"/>
        <w:spacing w:line="360" w:lineRule="auto"/>
        <w:ind w:firstLineChars="200" w:firstLine="482"/>
        <w:rPr>
          <w:rFonts w:ascii="宋体" w:hAnsi="宋体"/>
          <w:b/>
          <w:sz w:val="24"/>
        </w:rPr>
      </w:pPr>
      <w:r w:rsidRPr="00341C48">
        <w:rPr>
          <w:rFonts w:ascii="宋体" w:hAnsi="宋体" w:hint="eastAsia"/>
          <w:b/>
          <w:sz w:val="24"/>
        </w:rPr>
        <w:t>5</w:t>
      </w:r>
      <w:r w:rsidR="008D565E" w:rsidRPr="00341C48">
        <w:rPr>
          <w:rFonts w:ascii="宋体" w:hAnsi="宋体" w:hint="eastAsia"/>
          <w:b/>
          <w:sz w:val="24"/>
        </w:rPr>
        <w:t>、</w:t>
      </w:r>
      <w:bookmarkStart w:id="64" w:name="_Toc198233798"/>
      <w:bookmarkStart w:id="65" w:name="_Toc194927308"/>
      <w:bookmarkStart w:id="66" w:name="_Toc199701260"/>
      <w:bookmarkStart w:id="67" w:name="_Toc199097654"/>
      <w:bookmarkStart w:id="68" w:name="_Toc198962962"/>
      <w:bookmarkStart w:id="69" w:name="_Toc199160293"/>
      <w:bookmarkStart w:id="70" w:name="_Toc199517217"/>
      <w:r w:rsidR="008D565E" w:rsidRPr="00341C48">
        <w:rPr>
          <w:rFonts w:ascii="宋体" w:hAnsi="宋体" w:hint="eastAsia"/>
          <w:b/>
          <w:sz w:val="24"/>
        </w:rPr>
        <w:t>协议的生效与终止</w:t>
      </w:r>
      <w:bookmarkEnd w:id="64"/>
      <w:bookmarkEnd w:id="65"/>
      <w:bookmarkEnd w:id="66"/>
      <w:bookmarkEnd w:id="67"/>
      <w:bookmarkEnd w:id="68"/>
      <w:bookmarkEnd w:id="69"/>
      <w:bookmarkEnd w:id="70"/>
    </w:p>
    <w:p w:rsidR="008D565E" w:rsidRDefault="007A7C4B" w:rsidP="008D565E">
      <w:pPr>
        <w:adjustRightInd w:val="0"/>
        <w:snapToGrid w:val="0"/>
        <w:spacing w:line="360" w:lineRule="auto"/>
        <w:ind w:firstLineChars="200" w:firstLine="480"/>
        <w:rPr>
          <w:rFonts w:ascii="宋体" w:hAnsi="宋体"/>
          <w:sz w:val="24"/>
        </w:rPr>
      </w:pPr>
      <w:r>
        <w:rPr>
          <w:rFonts w:ascii="宋体" w:hAnsi="宋体" w:hint="eastAsia"/>
          <w:sz w:val="24"/>
        </w:rPr>
        <w:t>5</w:t>
      </w:r>
      <w:r w:rsidR="008D565E">
        <w:rPr>
          <w:rFonts w:ascii="宋体" w:hAnsi="宋体" w:hint="eastAsia"/>
          <w:sz w:val="24"/>
        </w:rPr>
        <w:t>.1</w:t>
      </w:r>
      <w:r w:rsidR="008D565E" w:rsidRPr="008D565E">
        <w:rPr>
          <w:rFonts w:ascii="宋体" w:hAnsi="宋体" w:hint="eastAsia"/>
          <w:sz w:val="24"/>
        </w:rPr>
        <w:t>对于Diamond Hill和</w:t>
      </w:r>
      <w:r w:rsidR="008D565E" w:rsidRPr="008D565E">
        <w:rPr>
          <w:rFonts w:ascii="宋体" w:hAnsi="宋体"/>
          <w:sz w:val="24"/>
        </w:rPr>
        <w:t>上海启</w:t>
      </w:r>
      <w:proofErr w:type="gramStart"/>
      <w:r w:rsidR="008D565E" w:rsidRPr="008D565E">
        <w:rPr>
          <w:rFonts w:ascii="宋体" w:hAnsi="宋体"/>
          <w:sz w:val="24"/>
        </w:rPr>
        <w:t>澜</w:t>
      </w:r>
      <w:proofErr w:type="gramEnd"/>
      <w:r w:rsidR="008D565E" w:rsidRPr="008D565E">
        <w:rPr>
          <w:rFonts w:ascii="宋体" w:hAnsi="宋体" w:hint="eastAsia"/>
          <w:sz w:val="24"/>
        </w:rPr>
        <w:t>，本协议自江苏华西村股份有限公司的股东会批准Diamond Hill和</w:t>
      </w:r>
      <w:r w:rsidR="008D565E" w:rsidRPr="008D565E">
        <w:rPr>
          <w:rFonts w:ascii="宋体" w:hAnsi="宋体"/>
          <w:sz w:val="24"/>
        </w:rPr>
        <w:t>上海启</w:t>
      </w:r>
      <w:proofErr w:type="gramStart"/>
      <w:r w:rsidR="008D565E" w:rsidRPr="008D565E">
        <w:rPr>
          <w:rFonts w:ascii="宋体" w:hAnsi="宋体"/>
          <w:sz w:val="24"/>
        </w:rPr>
        <w:t>澜</w:t>
      </w:r>
      <w:proofErr w:type="gramEnd"/>
      <w:r w:rsidR="008D565E" w:rsidRPr="008D565E">
        <w:rPr>
          <w:rFonts w:ascii="宋体" w:hAnsi="宋体" w:hint="eastAsia"/>
          <w:sz w:val="24"/>
        </w:rPr>
        <w:t>参与本次交易（或类似批准）之日起对其生效且具有约束力。对于除Diamond Hill和</w:t>
      </w:r>
      <w:r w:rsidR="008D565E" w:rsidRPr="008D565E">
        <w:rPr>
          <w:rFonts w:ascii="宋体" w:hAnsi="宋体"/>
          <w:sz w:val="24"/>
        </w:rPr>
        <w:t>上海启</w:t>
      </w:r>
      <w:proofErr w:type="gramStart"/>
      <w:r w:rsidR="008D565E" w:rsidRPr="008D565E">
        <w:rPr>
          <w:rFonts w:ascii="宋体" w:hAnsi="宋体"/>
          <w:sz w:val="24"/>
        </w:rPr>
        <w:t>澜</w:t>
      </w:r>
      <w:proofErr w:type="gramEnd"/>
      <w:r w:rsidR="008D565E" w:rsidRPr="008D565E">
        <w:rPr>
          <w:rFonts w:ascii="宋体" w:hAnsi="宋体" w:hint="eastAsia"/>
          <w:sz w:val="24"/>
        </w:rPr>
        <w:t>之外的本协议其他各方，本协议自文首所述的签署日起其对其生效且具有约束力。</w:t>
      </w:r>
    </w:p>
    <w:p w:rsidR="005D528F" w:rsidRPr="00341C48" w:rsidRDefault="007A7C4B" w:rsidP="005D528F">
      <w:pPr>
        <w:adjustRightInd w:val="0"/>
        <w:snapToGrid w:val="0"/>
        <w:spacing w:line="360" w:lineRule="auto"/>
        <w:ind w:firstLineChars="200" w:firstLine="480"/>
        <w:rPr>
          <w:rFonts w:ascii="宋体" w:hAnsi="宋体"/>
          <w:sz w:val="24"/>
        </w:rPr>
      </w:pPr>
      <w:r w:rsidRPr="00341C48">
        <w:rPr>
          <w:rFonts w:ascii="宋体" w:hAnsi="宋体" w:hint="eastAsia"/>
          <w:sz w:val="24"/>
        </w:rPr>
        <w:t>5</w:t>
      </w:r>
      <w:r w:rsidR="005D528F" w:rsidRPr="00341C48">
        <w:rPr>
          <w:rFonts w:ascii="宋体" w:hAnsi="宋体" w:hint="eastAsia"/>
          <w:sz w:val="24"/>
        </w:rPr>
        <w:t>.</w:t>
      </w:r>
      <w:r w:rsidR="00C03E05" w:rsidRPr="00341C48">
        <w:rPr>
          <w:rFonts w:ascii="宋体" w:hAnsi="宋体" w:hint="eastAsia"/>
          <w:sz w:val="24"/>
        </w:rPr>
        <w:t>2</w:t>
      </w:r>
      <w:r w:rsidR="005D528F" w:rsidRPr="00341C48">
        <w:rPr>
          <w:rFonts w:ascii="宋体" w:hAnsi="宋体" w:hint="eastAsia"/>
          <w:sz w:val="24"/>
        </w:rPr>
        <w:t>如果江苏华西村股份有限公司的股东会未批准Diamond Hill和</w:t>
      </w:r>
      <w:r w:rsidR="005D528F" w:rsidRPr="00341C48">
        <w:rPr>
          <w:rFonts w:ascii="宋体" w:hAnsi="宋体"/>
          <w:sz w:val="24"/>
        </w:rPr>
        <w:t>上海启</w:t>
      </w:r>
      <w:proofErr w:type="gramStart"/>
      <w:r w:rsidR="005D528F" w:rsidRPr="00341C48">
        <w:rPr>
          <w:rFonts w:ascii="宋体" w:hAnsi="宋体"/>
          <w:sz w:val="24"/>
        </w:rPr>
        <w:t>澜</w:t>
      </w:r>
      <w:proofErr w:type="gramEnd"/>
      <w:r w:rsidR="005D528F" w:rsidRPr="00341C48">
        <w:rPr>
          <w:rFonts w:ascii="宋体" w:hAnsi="宋体" w:hint="eastAsia"/>
          <w:sz w:val="24"/>
        </w:rPr>
        <w:t>参与本次交易（或未通过类似批准），则本协议自动终止，各转让方应自终止日起3个工作日内向股权受让方偿还已收到的任何转让价款。</w:t>
      </w:r>
    </w:p>
    <w:p w:rsidR="00FA3BBA" w:rsidRPr="00626F0E" w:rsidRDefault="00FA3BBA" w:rsidP="008D565E">
      <w:pPr>
        <w:adjustRightInd w:val="0"/>
        <w:snapToGrid w:val="0"/>
        <w:spacing w:line="360" w:lineRule="auto"/>
        <w:ind w:firstLineChars="200" w:firstLine="480"/>
        <w:rPr>
          <w:rFonts w:ascii="宋体" w:hAnsi="宋体"/>
          <w:sz w:val="24"/>
        </w:rPr>
      </w:pPr>
    </w:p>
    <w:p w:rsidR="008D565E" w:rsidRDefault="007A7C4B" w:rsidP="00FA3BBA">
      <w:pPr>
        <w:adjustRightInd w:val="0"/>
        <w:snapToGrid w:val="0"/>
        <w:spacing w:line="360" w:lineRule="auto"/>
        <w:ind w:firstLineChars="200" w:firstLine="482"/>
        <w:rPr>
          <w:rFonts w:ascii="宋体" w:hAnsi="宋体"/>
          <w:b/>
          <w:sz w:val="24"/>
        </w:rPr>
      </w:pPr>
      <w:r>
        <w:rPr>
          <w:rFonts w:ascii="宋体" w:hAnsi="宋体" w:hint="eastAsia"/>
          <w:b/>
          <w:sz w:val="24"/>
        </w:rPr>
        <w:t>6</w:t>
      </w:r>
      <w:r w:rsidR="00FA3BBA" w:rsidRPr="00FA3BBA">
        <w:rPr>
          <w:rFonts w:ascii="宋体" w:hAnsi="宋体" w:hint="eastAsia"/>
          <w:b/>
          <w:sz w:val="24"/>
        </w:rPr>
        <w:t>、违约责任</w:t>
      </w:r>
    </w:p>
    <w:p w:rsidR="00464CEB" w:rsidRDefault="007A7C4B" w:rsidP="00F52A5F">
      <w:pPr>
        <w:adjustRightInd w:val="0"/>
        <w:snapToGrid w:val="0"/>
        <w:spacing w:line="360" w:lineRule="auto"/>
        <w:ind w:firstLineChars="200" w:firstLine="480"/>
        <w:rPr>
          <w:rFonts w:ascii="宋体" w:hAnsi="宋体"/>
          <w:sz w:val="24"/>
        </w:rPr>
      </w:pPr>
      <w:r>
        <w:rPr>
          <w:rFonts w:ascii="宋体" w:hAnsi="宋体" w:hint="eastAsia"/>
          <w:sz w:val="24"/>
        </w:rPr>
        <w:t>6</w:t>
      </w:r>
      <w:r w:rsidR="00626F0E">
        <w:rPr>
          <w:rFonts w:ascii="宋体" w:hAnsi="宋体" w:hint="eastAsia"/>
          <w:sz w:val="24"/>
        </w:rPr>
        <w:t>.1</w:t>
      </w:r>
      <w:r w:rsidR="00F52A5F" w:rsidRPr="00F52A5F">
        <w:rPr>
          <w:rFonts w:ascii="宋体" w:hAnsi="宋体" w:hint="eastAsia"/>
          <w:sz w:val="24"/>
        </w:rPr>
        <w:t>本协议生效后，</w:t>
      </w:r>
      <w:bookmarkStart w:id="71" w:name="_Hlk163569101"/>
      <w:r w:rsidR="00F52A5F" w:rsidRPr="00F52A5F">
        <w:rPr>
          <w:rFonts w:ascii="宋体" w:hAnsi="宋体" w:hint="eastAsia"/>
          <w:sz w:val="24"/>
        </w:rPr>
        <w:t>且受限于本协议的约定，任何一方</w:t>
      </w:r>
      <w:r w:rsidR="00C03E05">
        <w:rPr>
          <w:rFonts w:ascii="宋体" w:hAnsi="宋体" w:hint="eastAsia"/>
          <w:sz w:val="24"/>
        </w:rPr>
        <w:t>（“违约方”）</w:t>
      </w:r>
      <w:r w:rsidR="00F52A5F" w:rsidRPr="00F52A5F">
        <w:rPr>
          <w:rFonts w:ascii="宋体" w:hAnsi="宋体" w:hint="eastAsia"/>
          <w:sz w:val="24"/>
        </w:rPr>
        <w:t>未能按本协议的约定履行其义务，所作的任何陈述与保证存在重大遗漏、失实或误导，</w:t>
      </w:r>
      <w:bookmarkStart w:id="72" w:name="_Ref198596908"/>
      <w:r w:rsidR="00F52A5F" w:rsidRPr="00F52A5F">
        <w:rPr>
          <w:rFonts w:ascii="宋体" w:hAnsi="宋体" w:hint="eastAsia"/>
          <w:sz w:val="24"/>
        </w:rPr>
        <w:t>或违反本协议约定的任何</w:t>
      </w:r>
      <w:bookmarkStart w:id="73" w:name="_Ref197426214"/>
      <w:bookmarkEnd w:id="71"/>
      <w:bookmarkEnd w:id="72"/>
      <w:r w:rsidR="00F52A5F" w:rsidRPr="00F52A5F">
        <w:rPr>
          <w:rFonts w:ascii="宋体" w:hAnsi="宋体" w:hint="eastAsia"/>
          <w:sz w:val="24"/>
        </w:rPr>
        <w:t>声明、承诺及保证，则构成对本协议的违约。除本协议另有约定</w:t>
      </w:r>
      <w:bookmarkEnd w:id="73"/>
      <w:r w:rsidR="00F52A5F" w:rsidRPr="00F52A5F">
        <w:rPr>
          <w:rFonts w:ascii="宋体" w:hAnsi="宋体" w:hint="eastAsia"/>
          <w:sz w:val="24"/>
        </w:rPr>
        <w:t>以外，违约方应赔偿因其违约而造成另一方的全部损失。</w:t>
      </w:r>
    </w:p>
    <w:p w:rsidR="00C03E05" w:rsidRPr="00C03E05" w:rsidRDefault="007A7C4B" w:rsidP="00C03E05">
      <w:pPr>
        <w:adjustRightInd w:val="0"/>
        <w:snapToGrid w:val="0"/>
        <w:spacing w:line="360" w:lineRule="auto"/>
        <w:ind w:firstLineChars="200" w:firstLine="480"/>
        <w:rPr>
          <w:rFonts w:ascii="宋体" w:hAnsi="宋体"/>
          <w:sz w:val="24"/>
        </w:rPr>
      </w:pPr>
      <w:bookmarkStart w:id="74" w:name="_Ref199089194"/>
      <w:r>
        <w:rPr>
          <w:rFonts w:ascii="宋体" w:hAnsi="宋体" w:hint="eastAsia"/>
          <w:sz w:val="24"/>
        </w:rPr>
        <w:t>6</w:t>
      </w:r>
      <w:r w:rsidR="00C03E05">
        <w:rPr>
          <w:rFonts w:ascii="宋体" w:hAnsi="宋体" w:hint="eastAsia"/>
          <w:sz w:val="24"/>
        </w:rPr>
        <w:t>.2</w:t>
      </w:r>
      <w:r w:rsidR="00C03E05" w:rsidRPr="00C03E05">
        <w:rPr>
          <w:rFonts w:ascii="宋体" w:hAnsi="宋体" w:hint="eastAsia"/>
          <w:sz w:val="24"/>
        </w:rPr>
        <w:t>如本协议转让方或股权受让方已</w:t>
      </w:r>
      <w:r w:rsidR="00C03E05" w:rsidRPr="00880069">
        <w:rPr>
          <w:rFonts w:ascii="宋体" w:hAnsi="宋体" w:hint="eastAsia"/>
          <w:sz w:val="24"/>
        </w:rPr>
        <w:t>按照</w:t>
      </w:r>
      <w:r w:rsidR="00341C48">
        <w:rPr>
          <w:rFonts w:ascii="宋体" w:hAnsi="宋体" w:hint="eastAsia"/>
          <w:sz w:val="24"/>
        </w:rPr>
        <w:t>协议</w:t>
      </w:r>
      <w:r w:rsidR="00C03E05" w:rsidRPr="00880069">
        <w:rPr>
          <w:rFonts w:ascii="宋体" w:hAnsi="宋体" w:hint="eastAsia"/>
          <w:sz w:val="24"/>
        </w:rPr>
        <w:t>约定支付违约金，则无需按照本条之约定向相对方另行承担</w:t>
      </w:r>
      <w:bookmarkStart w:id="75" w:name="_Hlk167023593"/>
      <w:r w:rsidR="00C03E05" w:rsidRPr="00880069">
        <w:rPr>
          <w:rFonts w:ascii="宋体" w:hAnsi="宋体" w:hint="eastAsia"/>
          <w:sz w:val="24"/>
        </w:rPr>
        <w:t>金钱给付</w:t>
      </w:r>
      <w:bookmarkEnd w:id="75"/>
      <w:r w:rsidR="00C03E05" w:rsidRPr="00880069">
        <w:rPr>
          <w:rFonts w:ascii="宋体" w:hAnsi="宋体" w:hint="eastAsia"/>
          <w:sz w:val="24"/>
        </w:rPr>
        <w:t>违约责任；</w:t>
      </w:r>
      <w:r w:rsidR="00C03E05" w:rsidRPr="00880069">
        <w:rPr>
          <w:rFonts w:ascii="宋体" w:hAnsi="宋体"/>
          <w:sz w:val="24"/>
        </w:rPr>
        <w:t>但是</w:t>
      </w:r>
      <w:r w:rsidR="00C03E05" w:rsidRPr="00C03E05">
        <w:rPr>
          <w:rFonts w:ascii="宋体" w:hAnsi="宋体"/>
          <w:sz w:val="24"/>
        </w:rPr>
        <w:t>，在任何情况下，</w:t>
      </w:r>
      <w:r w:rsidR="00C03E05" w:rsidRPr="00C03E05">
        <w:rPr>
          <w:rFonts w:ascii="宋体" w:hAnsi="宋体" w:hint="eastAsia"/>
          <w:sz w:val="24"/>
        </w:rPr>
        <w:t>前述</w:t>
      </w:r>
      <w:r w:rsidR="00C03E05" w:rsidRPr="00C03E05">
        <w:rPr>
          <w:rFonts w:ascii="宋体" w:hAnsi="宋体"/>
          <w:sz w:val="24"/>
        </w:rPr>
        <w:t>约定不妨碍股权受让方根据本协议的约定承担重组费用的义务</w:t>
      </w:r>
      <w:r w:rsidR="00C03E05" w:rsidRPr="00C03E05">
        <w:rPr>
          <w:rFonts w:ascii="宋体" w:hAnsi="宋体" w:hint="eastAsia"/>
          <w:sz w:val="24"/>
        </w:rPr>
        <w:t>。</w:t>
      </w:r>
      <w:bookmarkEnd w:id="74"/>
    </w:p>
    <w:p w:rsidR="00481995" w:rsidRPr="00D17D8D" w:rsidRDefault="007A7C4B" w:rsidP="00D17D8D">
      <w:pPr>
        <w:adjustRightInd w:val="0"/>
        <w:snapToGrid w:val="0"/>
        <w:spacing w:line="360" w:lineRule="auto"/>
        <w:ind w:firstLineChars="200" w:firstLine="480"/>
        <w:rPr>
          <w:rFonts w:ascii="宋体" w:hAnsi="宋体"/>
          <w:sz w:val="24"/>
        </w:rPr>
      </w:pPr>
      <w:r>
        <w:rPr>
          <w:rFonts w:ascii="宋体" w:hAnsi="宋体" w:hint="eastAsia"/>
          <w:sz w:val="24"/>
        </w:rPr>
        <w:t>6</w:t>
      </w:r>
      <w:r w:rsidR="00341C48">
        <w:rPr>
          <w:rFonts w:ascii="宋体" w:hAnsi="宋体" w:hint="eastAsia"/>
          <w:sz w:val="24"/>
        </w:rPr>
        <w:t>.3</w:t>
      </w:r>
      <w:r w:rsidR="00481995" w:rsidRPr="00D17D8D">
        <w:rPr>
          <w:rFonts w:ascii="宋体" w:hAnsi="宋体"/>
          <w:sz w:val="24"/>
        </w:rPr>
        <w:t>本协议的任何一方均可(a)延长任何其他相对方履行其义务或做出其他行为的时间，或(b)放弃或要求任何其他相对方遵守本协议中的任何约定或实现其履行本协议中各项义务的先决条件。任何该等延期或弃权仅在由受其约束的相关方签署的书面文件中载明方为有效。对本协议任何条款或条件的放弃不应解释为将放弃追究以后违反该同一条款或条件的权利，或以后将放弃该同一条款和条件的权利，或放弃本协议任何其他条款或条件的权利。本协议任何一方未能主张其在本协议项下的任何权利不应构成该方对任何该等权利的放弃。本协议项下存在的所有权利和救济与其他可获得的任何权利或救济是累加关系而不是排除关系。</w:t>
      </w:r>
    </w:p>
    <w:p w:rsidR="00481995" w:rsidRPr="00D17D8D" w:rsidRDefault="007A7C4B" w:rsidP="00D17D8D">
      <w:pPr>
        <w:adjustRightInd w:val="0"/>
        <w:snapToGrid w:val="0"/>
        <w:spacing w:line="360" w:lineRule="auto"/>
        <w:ind w:firstLineChars="200" w:firstLine="480"/>
        <w:rPr>
          <w:rFonts w:ascii="宋体" w:hAnsi="宋体"/>
          <w:sz w:val="24"/>
        </w:rPr>
      </w:pPr>
      <w:r>
        <w:rPr>
          <w:rFonts w:ascii="宋体" w:hAnsi="宋体" w:hint="eastAsia"/>
          <w:sz w:val="24"/>
        </w:rPr>
        <w:t>6</w:t>
      </w:r>
      <w:r w:rsidR="00481995" w:rsidRPr="00D17D8D">
        <w:rPr>
          <w:rFonts w:ascii="宋体" w:hAnsi="宋体" w:hint="eastAsia"/>
          <w:sz w:val="24"/>
        </w:rPr>
        <w:t>.4</w:t>
      </w:r>
      <w:r w:rsidR="00481995" w:rsidRPr="00D17D8D">
        <w:rPr>
          <w:rFonts w:ascii="宋体" w:hAnsi="宋体"/>
          <w:sz w:val="24"/>
        </w:rPr>
        <w:t>东山精密就股权受让方在本协议和其他交易文件项下需履行的所有义务和责任承担连带责任。</w:t>
      </w:r>
    </w:p>
    <w:p w:rsidR="00481995" w:rsidRPr="00D17D8D" w:rsidRDefault="007A7C4B" w:rsidP="00D17D8D">
      <w:pPr>
        <w:adjustRightInd w:val="0"/>
        <w:snapToGrid w:val="0"/>
        <w:spacing w:line="360" w:lineRule="auto"/>
        <w:ind w:firstLineChars="200" w:firstLine="480"/>
        <w:rPr>
          <w:rFonts w:ascii="宋体" w:hAnsi="宋体"/>
          <w:sz w:val="24"/>
        </w:rPr>
      </w:pPr>
      <w:r>
        <w:rPr>
          <w:rFonts w:ascii="宋体" w:hAnsi="宋体" w:hint="eastAsia"/>
          <w:sz w:val="24"/>
        </w:rPr>
        <w:lastRenderedPageBreak/>
        <w:t>6</w:t>
      </w:r>
      <w:r w:rsidR="00481995" w:rsidRPr="00D17D8D">
        <w:rPr>
          <w:rFonts w:ascii="宋体" w:hAnsi="宋体" w:hint="eastAsia"/>
          <w:sz w:val="24"/>
        </w:rPr>
        <w:t>.5</w:t>
      </w:r>
      <w:proofErr w:type="gramStart"/>
      <w:r w:rsidR="00481995" w:rsidRPr="00D17D8D">
        <w:rPr>
          <w:rFonts w:ascii="宋体" w:hAnsi="宋体"/>
          <w:sz w:val="24"/>
        </w:rPr>
        <w:t>各</w:t>
      </w:r>
      <w:proofErr w:type="gramEnd"/>
      <w:r w:rsidR="00481995" w:rsidRPr="00D17D8D">
        <w:rPr>
          <w:rFonts w:ascii="宋体" w:hAnsi="宋体"/>
          <w:sz w:val="24"/>
        </w:rPr>
        <w:t>转让方在本协议项下的责任相互独立。每一转让方独立就其违反其在本协议项下的义务、承诺或责任，或其在本协议项下</w:t>
      </w:r>
      <w:proofErr w:type="gramStart"/>
      <w:r w:rsidR="00481995" w:rsidRPr="00D17D8D">
        <w:rPr>
          <w:rFonts w:ascii="宋体" w:hAnsi="宋体"/>
          <w:sz w:val="24"/>
        </w:rPr>
        <w:t>作出</w:t>
      </w:r>
      <w:proofErr w:type="gramEnd"/>
      <w:r w:rsidR="00481995" w:rsidRPr="00D17D8D">
        <w:rPr>
          <w:rFonts w:ascii="宋体" w:hAnsi="宋体"/>
          <w:sz w:val="24"/>
        </w:rPr>
        <w:t>的陈述或保证不真实或不准确对股权受让方承担责任，任何转让方无须就另一转让方在本协议下的违约行为承担任何责任。</w:t>
      </w:r>
    </w:p>
    <w:p w:rsidR="00207FE2" w:rsidRPr="00481995" w:rsidRDefault="00207FE2" w:rsidP="00626F0E">
      <w:pPr>
        <w:adjustRightInd w:val="0"/>
        <w:snapToGrid w:val="0"/>
        <w:spacing w:line="360" w:lineRule="auto"/>
        <w:ind w:firstLineChars="200" w:firstLine="480"/>
        <w:rPr>
          <w:rFonts w:ascii="宋体" w:hAnsi="宋体"/>
          <w:sz w:val="24"/>
        </w:rPr>
      </w:pPr>
    </w:p>
    <w:p w:rsidR="00464CEB" w:rsidRPr="00FA3BBA" w:rsidRDefault="007A7C4B" w:rsidP="00FA3BBA">
      <w:pPr>
        <w:adjustRightInd w:val="0"/>
        <w:snapToGrid w:val="0"/>
        <w:spacing w:line="360" w:lineRule="auto"/>
        <w:ind w:firstLineChars="200" w:firstLine="482"/>
        <w:rPr>
          <w:rFonts w:ascii="宋体" w:hAnsi="宋体"/>
          <w:b/>
          <w:sz w:val="24"/>
        </w:rPr>
      </w:pPr>
      <w:r>
        <w:rPr>
          <w:rFonts w:ascii="宋体" w:hAnsi="宋体" w:hint="eastAsia"/>
          <w:b/>
          <w:sz w:val="24"/>
        </w:rPr>
        <w:t>7</w:t>
      </w:r>
      <w:r w:rsidR="00464CEB">
        <w:rPr>
          <w:rFonts w:ascii="宋体" w:hAnsi="宋体" w:hint="eastAsia"/>
          <w:b/>
          <w:sz w:val="24"/>
        </w:rPr>
        <w:t>、法律适用和争议解决</w:t>
      </w:r>
    </w:p>
    <w:p w:rsidR="00464CEB" w:rsidRPr="00464CEB" w:rsidRDefault="00464CEB" w:rsidP="00464CEB">
      <w:pPr>
        <w:snapToGrid w:val="0"/>
        <w:spacing w:line="360" w:lineRule="auto"/>
        <w:ind w:firstLineChars="200" w:firstLine="480"/>
        <w:rPr>
          <w:rFonts w:ascii="宋体" w:hAnsi="宋体"/>
          <w:sz w:val="24"/>
        </w:rPr>
      </w:pPr>
      <w:bookmarkStart w:id="76" w:name="_Toc194914256"/>
      <w:r w:rsidRPr="00464CEB">
        <w:rPr>
          <w:rFonts w:ascii="宋体" w:hAnsi="宋体" w:hint="eastAsia"/>
          <w:sz w:val="24"/>
        </w:rPr>
        <w:t>本</w:t>
      </w:r>
      <w:bookmarkStart w:id="77" w:name="_Hlk163569224"/>
      <w:r w:rsidRPr="00464CEB">
        <w:rPr>
          <w:rFonts w:ascii="宋体" w:hAnsi="宋体" w:hint="eastAsia"/>
          <w:sz w:val="24"/>
        </w:rPr>
        <w:t>协议</w:t>
      </w:r>
      <w:bookmarkStart w:id="78" w:name="_Hlk162111858"/>
      <w:r w:rsidRPr="00464CEB">
        <w:rPr>
          <w:rFonts w:ascii="宋体" w:hAnsi="宋体" w:hint="eastAsia"/>
          <w:sz w:val="24"/>
        </w:rPr>
        <w:t>的订立、效力、解释、履行以及争议的解决，均适用</w:t>
      </w:r>
      <w:bookmarkEnd w:id="77"/>
      <w:r w:rsidRPr="00464CEB">
        <w:rPr>
          <w:rFonts w:ascii="宋体" w:hAnsi="宋体" w:hint="eastAsia"/>
          <w:sz w:val="24"/>
        </w:rPr>
        <w:t>香港法律。</w:t>
      </w:r>
      <w:bookmarkEnd w:id="76"/>
      <w:bookmarkEnd w:id="78"/>
    </w:p>
    <w:p w:rsidR="008D565E" w:rsidRPr="00464CEB" w:rsidRDefault="008D565E" w:rsidP="00464CEB">
      <w:pPr>
        <w:snapToGrid w:val="0"/>
        <w:spacing w:line="360" w:lineRule="auto"/>
        <w:ind w:firstLineChars="200" w:firstLine="480"/>
        <w:rPr>
          <w:rFonts w:ascii="宋体" w:hAnsi="宋体"/>
          <w:sz w:val="24"/>
        </w:rPr>
      </w:pPr>
    </w:p>
    <w:p w:rsidR="009D59C3" w:rsidRDefault="00FA0DB3" w:rsidP="0016125E">
      <w:pPr>
        <w:adjustRightInd w:val="0"/>
        <w:snapToGrid w:val="0"/>
        <w:spacing w:line="360" w:lineRule="auto"/>
        <w:ind w:firstLineChars="200" w:firstLine="482"/>
        <w:rPr>
          <w:rFonts w:ascii="宋体" w:hAnsi="宋体"/>
          <w:b/>
          <w:sz w:val="24"/>
        </w:rPr>
      </w:pPr>
      <w:r>
        <w:rPr>
          <w:rFonts w:ascii="宋体" w:hAnsi="宋体" w:hint="eastAsia"/>
          <w:b/>
          <w:sz w:val="24"/>
        </w:rPr>
        <w:t>六</w:t>
      </w:r>
      <w:r w:rsidR="0016125E" w:rsidRPr="0016125E">
        <w:rPr>
          <w:rFonts w:ascii="宋体" w:hAnsi="宋体"/>
          <w:b/>
          <w:sz w:val="24"/>
        </w:rPr>
        <w:t>、</w:t>
      </w:r>
      <w:r w:rsidR="009D59C3">
        <w:rPr>
          <w:rFonts w:ascii="宋体" w:hAnsi="宋体"/>
          <w:b/>
          <w:sz w:val="24"/>
        </w:rPr>
        <w:t>涉及出售资产的其他安排</w:t>
      </w:r>
    </w:p>
    <w:p w:rsidR="000E33AD" w:rsidRPr="00652628" w:rsidRDefault="000E33AD" w:rsidP="000E33AD">
      <w:pPr>
        <w:snapToGrid w:val="0"/>
        <w:spacing w:line="360" w:lineRule="auto"/>
        <w:ind w:firstLineChars="200" w:firstLine="480"/>
        <w:rPr>
          <w:rFonts w:ascii="宋体" w:hAnsi="宋体"/>
          <w:sz w:val="24"/>
        </w:rPr>
      </w:pPr>
      <w:r w:rsidRPr="00652628">
        <w:rPr>
          <w:rFonts w:ascii="宋体" w:hAnsi="宋体" w:hint="eastAsia"/>
          <w:sz w:val="24"/>
        </w:rPr>
        <w:t>本次交易</w:t>
      </w:r>
      <w:r w:rsidR="009C4BD3">
        <w:rPr>
          <w:rFonts w:ascii="宋体" w:hAnsi="宋体" w:hint="eastAsia"/>
          <w:sz w:val="24"/>
        </w:rPr>
        <w:t>不涉及人员安置、土地租赁、其他债务重组等安排，所得款项将用于</w:t>
      </w:r>
      <w:r w:rsidRPr="00652628">
        <w:rPr>
          <w:rFonts w:ascii="宋体" w:hAnsi="宋体" w:hint="eastAsia"/>
          <w:sz w:val="24"/>
        </w:rPr>
        <w:t>补充</w:t>
      </w:r>
      <w:r w:rsidR="009C4BD3">
        <w:rPr>
          <w:rFonts w:ascii="宋体" w:hAnsi="宋体" w:hint="eastAsia"/>
          <w:sz w:val="24"/>
        </w:rPr>
        <w:t>公司的</w:t>
      </w:r>
      <w:r w:rsidRPr="00652628">
        <w:rPr>
          <w:rFonts w:ascii="宋体" w:hAnsi="宋体" w:hint="eastAsia"/>
          <w:sz w:val="24"/>
        </w:rPr>
        <w:t>流动资金。</w:t>
      </w:r>
    </w:p>
    <w:p w:rsidR="009D59C3" w:rsidRDefault="009D59C3" w:rsidP="0016125E">
      <w:pPr>
        <w:adjustRightInd w:val="0"/>
        <w:snapToGrid w:val="0"/>
        <w:spacing w:line="360" w:lineRule="auto"/>
        <w:ind w:firstLineChars="200" w:firstLine="482"/>
        <w:rPr>
          <w:rFonts w:ascii="宋体" w:hAnsi="宋体"/>
          <w:b/>
          <w:sz w:val="24"/>
        </w:rPr>
      </w:pPr>
    </w:p>
    <w:p w:rsidR="0016125E" w:rsidRPr="0016125E" w:rsidRDefault="00FA0DB3" w:rsidP="0016125E">
      <w:pPr>
        <w:adjustRightInd w:val="0"/>
        <w:snapToGrid w:val="0"/>
        <w:spacing w:line="360" w:lineRule="auto"/>
        <w:ind w:firstLineChars="200" w:firstLine="482"/>
        <w:rPr>
          <w:rFonts w:ascii="宋体" w:hAnsi="宋体"/>
          <w:b/>
          <w:sz w:val="24"/>
        </w:rPr>
      </w:pPr>
      <w:r>
        <w:rPr>
          <w:rFonts w:ascii="宋体" w:hAnsi="宋体" w:hint="eastAsia"/>
          <w:b/>
          <w:sz w:val="24"/>
        </w:rPr>
        <w:t>七</w:t>
      </w:r>
      <w:r w:rsidR="009D59C3">
        <w:rPr>
          <w:rFonts w:ascii="宋体" w:hAnsi="宋体" w:hint="eastAsia"/>
          <w:b/>
          <w:sz w:val="24"/>
        </w:rPr>
        <w:t>、出售资产的目的和对</w:t>
      </w:r>
      <w:r w:rsidR="0016125E" w:rsidRPr="0016125E">
        <w:rPr>
          <w:rFonts w:ascii="宋体" w:hAnsi="宋体"/>
          <w:b/>
          <w:sz w:val="24"/>
        </w:rPr>
        <w:t>公司的影响</w:t>
      </w:r>
    </w:p>
    <w:p w:rsidR="000E33AD" w:rsidRDefault="00B0580F" w:rsidP="00B0580F">
      <w:pPr>
        <w:tabs>
          <w:tab w:val="num" w:pos="900"/>
        </w:tabs>
        <w:snapToGrid w:val="0"/>
        <w:spacing w:line="360" w:lineRule="auto"/>
        <w:ind w:firstLineChars="200" w:firstLine="480"/>
        <w:rPr>
          <w:rFonts w:ascii="宋体" w:hAnsi="宋体"/>
          <w:sz w:val="24"/>
        </w:rPr>
      </w:pPr>
      <w:bookmarkStart w:id="79" w:name="OLE_LINK30"/>
      <w:r>
        <w:rPr>
          <w:rFonts w:ascii="宋体" w:hAnsi="宋体" w:hint="eastAsia"/>
          <w:sz w:val="24"/>
        </w:rPr>
        <w:t>公司</w:t>
      </w:r>
      <w:r w:rsidRPr="00B0580F">
        <w:rPr>
          <w:rFonts w:ascii="宋体" w:hAnsi="宋体" w:hint="eastAsia"/>
          <w:sz w:val="24"/>
        </w:rPr>
        <w:t>本次转让索尔思光电股份，预计将</w:t>
      </w:r>
      <w:r>
        <w:rPr>
          <w:rFonts w:ascii="宋体" w:hAnsi="宋体" w:hint="eastAsia"/>
          <w:sz w:val="24"/>
        </w:rPr>
        <w:t>实现</w:t>
      </w:r>
      <w:r w:rsidRPr="00B0580F">
        <w:rPr>
          <w:rFonts w:ascii="宋体" w:hAnsi="宋体" w:hint="eastAsia"/>
          <w:sz w:val="24"/>
        </w:rPr>
        <w:t>约2亿元人民币的净利润（因公司对索尔思光电采用权益法核算，暂无法确定交割时间，上述利润仅为预测数，具体以会计师事务所审计后的结果为准）。本次股份转让事项系公司为优化资产结构，提高资产流动性而</w:t>
      </w:r>
      <w:proofErr w:type="gramStart"/>
      <w:r w:rsidRPr="00B0580F">
        <w:rPr>
          <w:rFonts w:ascii="宋体" w:hAnsi="宋体" w:hint="eastAsia"/>
          <w:sz w:val="24"/>
        </w:rPr>
        <w:t>作出</w:t>
      </w:r>
      <w:proofErr w:type="gramEnd"/>
      <w:r w:rsidRPr="00B0580F">
        <w:rPr>
          <w:rFonts w:ascii="宋体" w:hAnsi="宋体" w:hint="eastAsia"/>
          <w:sz w:val="24"/>
        </w:rPr>
        <w:t>，对公司将产生积极的影响。本次交易价格经双方协商确定，遵循了公开、公平、公正的原则，交易定价公允、合理，不存在损害公司及全体股东利益的情形。</w:t>
      </w:r>
      <w:bookmarkEnd w:id="79"/>
    </w:p>
    <w:p w:rsidR="00FF6017" w:rsidRPr="004845B8" w:rsidRDefault="00FF6017" w:rsidP="00075C32">
      <w:pPr>
        <w:tabs>
          <w:tab w:val="num" w:pos="900"/>
        </w:tabs>
        <w:snapToGrid w:val="0"/>
        <w:spacing w:line="360" w:lineRule="auto"/>
        <w:ind w:firstLineChars="200" w:firstLine="480"/>
        <w:rPr>
          <w:rFonts w:ascii="宋体" w:hAnsi="宋体"/>
          <w:sz w:val="24"/>
        </w:rPr>
      </w:pPr>
      <w:r w:rsidRPr="004845B8">
        <w:rPr>
          <w:rFonts w:ascii="宋体" w:hAnsi="宋体"/>
          <w:sz w:val="24"/>
        </w:rPr>
        <w:t>本次转让完成后，上海启</w:t>
      </w:r>
      <w:proofErr w:type="gramStart"/>
      <w:r w:rsidRPr="004845B8">
        <w:rPr>
          <w:rFonts w:ascii="宋体" w:hAnsi="宋体"/>
          <w:sz w:val="24"/>
        </w:rPr>
        <w:t>澜</w:t>
      </w:r>
      <w:proofErr w:type="gramEnd"/>
      <w:r w:rsidR="00A670B5" w:rsidRPr="004845B8">
        <w:rPr>
          <w:rFonts w:ascii="宋体" w:hAnsi="宋体" w:hint="eastAsia"/>
          <w:sz w:val="24"/>
        </w:rPr>
        <w:t>不再</w:t>
      </w:r>
      <w:r w:rsidRPr="004845B8">
        <w:rPr>
          <w:rFonts w:ascii="宋体" w:hAnsi="宋体"/>
          <w:sz w:val="24"/>
        </w:rPr>
        <w:t>持有索尔思光电股份。</w:t>
      </w:r>
    </w:p>
    <w:p w:rsidR="00835BA0" w:rsidRPr="00B53BD9" w:rsidRDefault="00835BA0" w:rsidP="00E34148">
      <w:pPr>
        <w:tabs>
          <w:tab w:val="num" w:pos="900"/>
        </w:tabs>
        <w:snapToGrid w:val="0"/>
        <w:spacing w:line="360" w:lineRule="auto"/>
        <w:ind w:firstLineChars="200" w:firstLine="480"/>
        <w:rPr>
          <w:rFonts w:ascii="宋体" w:hAnsi="宋体"/>
          <w:sz w:val="24"/>
        </w:rPr>
      </w:pPr>
    </w:p>
    <w:p w:rsidR="00E34148" w:rsidRPr="00E34148" w:rsidRDefault="00E34148" w:rsidP="00E34148">
      <w:pPr>
        <w:tabs>
          <w:tab w:val="num" w:pos="900"/>
        </w:tabs>
        <w:snapToGrid w:val="0"/>
        <w:spacing w:line="360" w:lineRule="auto"/>
        <w:ind w:firstLineChars="200" w:firstLine="482"/>
        <w:rPr>
          <w:rFonts w:ascii="宋体" w:hAnsi="宋体"/>
          <w:b/>
          <w:sz w:val="24"/>
        </w:rPr>
      </w:pPr>
      <w:r w:rsidRPr="00E34148">
        <w:rPr>
          <w:rFonts w:ascii="宋体" w:hAnsi="宋体"/>
          <w:b/>
          <w:sz w:val="24"/>
        </w:rPr>
        <w:t>八、交易对方履约能力及风险提示</w:t>
      </w:r>
    </w:p>
    <w:p w:rsidR="00E34148" w:rsidRDefault="00E34148" w:rsidP="00E34148">
      <w:pPr>
        <w:tabs>
          <w:tab w:val="num" w:pos="900"/>
        </w:tabs>
        <w:snapToGrid w:val="0"/>
        <w:spacing w:line="360" w:lineRule="auto"/>
        <w:ind w:firstLineChars="200" w:firstLine="480"/>
        <w:rPr>
          <w:rFonts w:ascii="宋体" w:hAnsi="宋体"/>
          <w:sz w:val="24"/>
        </w:rPr>
      </w:pPr>
      <w:r w:rsidRPr="00E34148">
        <w:rPr>
          <w:rFonts w:ascii="宋体" w:hAnsi="宋体"/>
          <w:sz w:val="24"/>
        </w:rPr>
        <w:t>本次</w:t>
      </w:r>
      <w:r w:rsidR="002853FA">
        <w:rPr>
          <w:rFonts w:ascii="宋体" w:hAnsi="宋体"/>
          <w:sz w:val="24"/>
        </w:rPr>
        <w:t>收购方</w:t>
      </w:r>
      <w:r>
        <w:rPr>
          <w:rFonts w:ascii="宋体" w:hAnsi="宋体"/>
          <w:sz w:val="24"/>
        </w:rPr>
        <w:t>信用状况良好，</w:t>
      </w:r>
      <w:r w:rsidR="00D25A3F">
        <w:rPr>
          <w:rFonts w:ascii="宋体" w:hAnsi="宋体"/>
          <w:sz w:val="24"/>
        </w:rPr>
        <w:t>具备履约能力，公司将及时督促</w:t>
      </w:r>
      <w:r w:rsidR="002853FA">
        <w:rPr>
          <w:rFonts w:ascii="宋体" w:hAnsi="宋体"/>
          <w:sz w:val="24"/>
        </w:rPr>
        <w:t>收购方</w:t>
      </w:r>
      <w:r w:rsidR="00D25A3F">
        <w:rPr>
          <w:rFonts w:ascii="宋体" w:hAnsi="宋体"/>
          <w:sz w:val="24"/>
        </w:rPr>
        <w:t>按</w:t>
      </w:r>
      <w:r w:rsidR="000F20D3">
        <w:rPr>
          <w:rFonts w:ascii="宋体" w:hAnsi="宋体"/>
          <w:sz w:val="24"/>
        </w:rPr>
        <w:t>协议</w:t>
      </w:r>
      <w:r w:rsidR="00D25A3F">
        <w:rPr>
          <w:rFonts w:ascii="宋体" w:hAnsi="宋体"/>
          <w:sz w:val="24"/>
        </w:rPr>
        <w:t>约定支付股份</w:t>
      </w:r>
      <w:r w:rsidRPr="00E34148">
        <w:rPr>
          <w:rFonts w:ascii="宋体" w:hAnsi="宋体"/>
          <w:sz w:val="24"/>
        </w:rPr>
        <w:t>转让</w:t>
      </w:r>
      <w:r w:rsidR="003E0391">
        <w:rPr>
          <w:rFonts w:ascii="宋体" w:hAnsi="宋体"/>
          <w:sz w:val="24"/>
        </w:rPr>
        <w:t>价</w:t>
      </w:r>
      <w:r w:rsidRPr="00E34148">
        <w:rPr>
          <w:rFonts w:ascii="宋体" w:hAnsi="宋体"/>
          <w:sz w:val="24"/>
        </w:rPr>
        <w:t>款。</w:t>
      </w:r>
    </w:p>
    <w:p w:rsidR="00F1039C" w:rsidRPr="003B79B2" w:rsidRDefault="00E34148" w:rsidP="00E34148">
      <w:pPr>
        <w:tabs>
          <w:tab w:val="num" w:pos="900"/>
        </w:tabs>
        <w:snapToGrid w:val="0"/>
        <w:spacing w:line="360" w:lineRule="auto"/>
        <w:ind w:firstLineChars="200" w:firstLine="480"/>
        <w:rPr>
          <w:rFonts w:ascii="宋体" w:hAnsi="宋体"/>
          <w:sz w:val="24"/>
        </w:rPr>
      </w:pPr>
      <w:r w:rsidRPr="003B79B2">
        <w:rPr>
          <w:rFonts w:ascii="宋体" w:hAnsi="宋体"/>
          <w:sz w:val="24"/>
        </w:rPr>
        <w:t>虽然交易各方就本次交易方案进行了充分沟通并达成一致，但</w:t>
      </w:r>
      <w:proofErr w:type="gramStart"/>
      <w:r w:rsidRPr="003B79B2">
        <w:rPr>
          <w:rFonts w:ascii="宋体" w:hAnsi="宋体"/>
          <w:sz w:val="24"/>
        </w:rPr>
        <w:t>若各方</w:t>
      </w:r>
      <w:proofErr w:type="gramEnd"/>
      <w:r w:rsidRPr="003B79B2">
        <w:rPr>
          <w:rFonts w:ascii="宋体" w:hAnsi="宋体"/>
          <w:sz w:val="24"/>
        </w:rPr>
        <w:t>未能按照</w:t>
      </w:r>
      <w:r w:rsidR="000F20D3">
        <w:rPr>
          <w:rFonts w:ascii="宋体" w:hAnsi="宋体"/>
          <w:sz w:val="24"/>
        </w:rPr>
        <w:t>协议</w:t>
      </w:r>
      <w:r w:rsidRPr="003B79B2">
        <w:rPr>
          <w:rFonts w:ascii="宋体" w:hAnsi="宋体"/>
          <w:sz w:val="24"/>
        </w:rPr>
        <w:t>约</w:t>
      </w:r>
      <w:r w:rsidR="00F1039C" w:rsidRPr="003B79B2">
        <w:rPr>
          <w:rFonts w:ascii="宋体" w:hAnsi="宋体"/>
          <w:sz w:val="24"/>
        </w:rPr>
        <w:t>定及时履行相应</w:t>
      </w:r>
      <w:r w:rsidR="00D30211">
        <w:rPr>
          <w:rFonts w:ascii="宋体" w:hAnsi="宋体"/>
          <w:sz w:val="24"/>
        </w:rPr>
        <w:t>的</w:t>
      </w:r>
      <w:r w:rsidR="00F1039C" w:rsidRPr="003B79B2">
        <w:rPr>
          <w:rFonts w:ascii="宋体" w:hAnsi="宋体"/>
          <w:sz w:val="24"/>
        </w:rPr>
        <w:t>义务，将可能带来</w:t>
      </w:r>
      <w:r w:rsidR="0026438E">
        <w:rPr>
          <w:rFonts w:ascii="宋体" w:hAnsi="宋体"/>
          <w:sz w:val="24"/>
        </w:rPr>
        <w:t>本次</w:t>
      </w:r>
      <w:r w:rsidR="00F1039C" w:rsidRPr="003B79B2">
        <w:rPr>
          <w:rFonts w:ascii="宋体" w:hAnsi="宋体"/>
          <w:sz w:val="24"/>
        </w:rPr>
        <w:t>交易无法顺利实施的风险。</w:t>
      </w:r>
    </w:p>
    <w:p w:rsidR="002D2659" w:rsidRDefault="002D2659" w:rsidP="00E34148">
      <w:pPr>
        <w:tabs>
          <w:tab w:val="num" w:pos="900"/>
        </w:tabs>
        <w:snapToGrid w:val="0"/>
        <w:spacing w:line="360" w:lineRule="auto"/>
        <w:ind w:firstLineChars="200" w:firstLine="480"/>
        <w:rPr>
          <w:rFonts w:ascii="宋体" w:hAnsi="宋体"/>
          <w:sz w:val="24"/>
        </w:rPr>
      </w:pPr>
      <w:r w:rsidRPr="005F3749">
        <w:rPr>
          <w:rStyle w:val="fontstyle01"/>
          <w:rFonts w:hint="default"/>
          <w:color w:val="auto"/>
        </w:rPr>
        <w:t>本次交易</w:t>
      </w:r>
      <w:r w:rsidRPr="005F3749">
        <w:rPr>
          <w:rFonts w:ascii="宋体" w:hAnsi="宋体"/>
          <w:sz w:val="24"/>
        </w:rPr>
        <w:t>需要履行必要的内外部相关决策、审批程序，存在未能通过该等决策、审批程序的</w:t>
      </w:r>
      <w:r>
        <w:rPr>
          <w:rFonts w:ascii="宋体" w:hAnsi="宋体"/>
          <w:sz w:val="24"/>
        </w:rPr>
        <w:t>风险。</w:t>
      </w:r>
    </w:p>
    <w:bookmarkEnd w:id="0"/>
    <w:bookmarkEnd w:id="1"/>
    <w:p w:rsidR="00887C6A" w:rsidRDefault="000F20D3" w:rsidP="00E34148">
      <w:pPr>
        <w:tabs>
          <w:tab w:val="num" w:pos="900"/>
        </w:tabs>
        <w:snapToGrid w:val="0"/>
        <w:spacing w:line="360" w:lineRule="auto"/>
        <w:ind w:firstLineChars="200" w:firstLine="480"/>
        <w:rPr>
          <w:rFonts w:ascii="宋体" w:hAnsi="宋体"/>
          <w:sz w:val="24"/>
        </w:rPr>
      </w:pPr>
      <w:r>
        <w:rPr>
          <w:rFonts w:ascii="宋体" w:hAnsi="宋体"/>
          <w:sz w:val="24"/>
        </w:rPr>
        <w:t>公司将按照相关法律法规要求及时履行信息披露义务，</w:t>
      </w:r>
      <w:r w:rsidR="00887C6A" w:rsidRPr="0016125E">
        <w:rPr>
          <w:rFonts w:ascii="宋体" w:hAnsi="宋体"/>
          <w:sz w:val="24"/>
        </w:rPr>
        <w:t>敬请投资者关注公司后续相关公告并注意投资风险。</w:t>
      </w:r>
    </w:p>
    <w:p w:rsidR="002A4C64" w:rsidRPr="00922166" w:rsidRDefault="002A4C64" w:rsidP="0016125E">
      <w:pPr>
        <w:adjustRightInd w:val="0"/>
        <w:snapToGrid w:val="0"/>
        <w:spacing w:line="360" w:lineRule="auto"/>
        <w:ind w:firstLineChars="200" w:firstLine="482"/>
        <w:rPr>
          <w:rFonts w:ascii="宋体" w:hAnsi="宋体"/>
          <w:b/>
          <w:sz w:val="24"/>
        </w:rPr>
      </w:pPr>
    </w:p>
    <w:p w:rsidR="0016125E" w:rsidRPr="0016125E" w:rsidRDefault="00E34148" w:rsidP="0016125E">
      <w:pPr>
        <w:adjustRightInd w:val="0"/>
        <w:snapToGrid w:val="0"/>
        <w:spacing w:line="360" w:lineRule="auto"/>
        <w:ind w:firstLineChars="200" w:firstLine="482"/>
        <w:rPr>
          <w:rFonts w:ascii="宋体" w:hAnsi="宋体"/>
          <w:b/>
          <w:sz w:val="24"/>
        </w:rPr>
      </w:pPr>
      <w:r>
        <w:rPr>
          <w:rFonts w:ascii="宋体" w:hAnsi="宋体"/>
          <w:b/>
          <w:sz w:val="24"/>
        </w:rPr>
        <w:t>九</w:t>
      </w:r>
      <w:r w:rsidR="0016125E" w:rsidRPr="0016125E">
        <w:rPr>
          <w:rFonts w:ascii="宋体" w:hAnsi="宋体"/>
          <w:b/>
          <w:sz w:val="24"/>
        </w:rPr>
        <w:t>、备查文件</w:t>
      </w:r>
    </w:p>
    <w:p w:rsidR="0016125E" w:rsidRDefault="0016125E" w:rsidP="00A670B5">
      <w:pPr>
        <w:tabs>
          <w:tab w:val="num" w:pos="900"/>
        </w:tabs>
        <w:snapToGrid w:val="0"/>
        <w:spacing w:line="360" w:lineRule="auto"/>
        <w:ind w:firstLineChars="200" w:firstLine="480"/>
        <w:rPr>
          <w:rFonts w:ascii="宋体" w:hAnsi="宋体"/>
          <w:sz w:val="24"/>
        </w:rPr>
      </w:pPr>
      <w:r w:rsidRPr="0016125E">
        <w:rPr>
          <w:rFonts w:ascii="宋体" w:hAnsi="宋体"/>
          <w:sz w:val="24"/>
        </w:rPr>
        <w:t>1、第九届董事会第</w:t>
      </w:r>
      <w:r w:rsidR="00A670B5">
        <w:rPr>
          <w:rFonts w:ascii="宋体" w:hAnsi="宋体"/>
          <w:sz w:val="24"/>
        </w:rPr>
        <w:t>九</w:t>
      </w:r>
      <w:r w:rsidR="001F6CF1">
        <w:rPr>
          <w:rFonts w:ascii="宋体" w:hAnsi="宋体"/>
          <w:sz w:val="24"/>
        </w:rPr>
        <w:t>次会议决议；</w:t>
      </w:r>
    </w:p>
    <w:p w:rsidR="001F6CF1" w:rsidRDefault="001F6CF1" w:rsidP="00A670B5">
      <w:pPr>
        <w:tabs>
          <w:tab w:val="num" w:pos="900"/>
        </w:tabs>
        <w:snapToGrid w:val="0"/>
        <w:spacing w:line="360" w:lineRule="auto"/>
        <w:ind w:firstLineChars="200" w:firstLine="480"/>
        <w:rPr>
          <w:rFonts w:ascii="宋体" w:hAnsi="宋体"/>
          <w:sz w:val="24"/>
        </w:rPr>
      </w:pPr>
      <w:r>
        <w:rPr>
          <w:rFonts w:ascii="宋体" w:hAnsi="宋体" w:hint="eastAsia"/>
          <w:sz w:val="24"/>
        </w:rPr>
        <w:t>2、</w:t>
      </w:r>
      <w:r w:rsidR="00A670B5">
        <w:rPr>
          <w:rFonts w:ascii="宋体" w:hAnsi="宋体" w:hint="eastAsia"/>
          <w:sz w:val="24"/>
        </w:rPr>
        <w:t>关于</w:t>
      </w:r>
      <w:r w:rsidR="00A670B5" w:rsidRPr="00A670B5">
        <w:rPr>
          <w:rFonts w:ascii="宋体" w:hAnsi="宋体"/>
          <w:sz w:val="24"/>
        </w:rPr>
        <w:t>Source Photonics Holdings (Cayman) Limited</w:t>
      </w:r>
      <w:r w:rsidR="00A670B5" w:rsidRPr="00A670B5">
        <w:rPr>
          <w:rFonts w:ascii="宋体" w:hAnsi="宋体" w:hint="eastAsia"/>
          <w:sz w:val="24"/>
        </w:rPr>
        <w:t>之股份转让协议</w:t>
      </w:r>
      <w:r w:rsidR="001253BE">
        <w:rPr>
          <w:rFonts w:ascii="宋体" w:hAnsi="宋体" w:hint="eastAsia"/>
          <w:sz w:val="24"/>
        </w:rPr>
        <w:t>；</w:t>
      </w:r>
    </w:p>
    <w:p w:rsidR="001253BE" w:rsidRDefault="001253BE" w:rsidP="0016125E">
      <w:pPr>
        <w:adjustRightInd w:val="0"/>
        <w:snapToGrid w:val="0"/>
        <w:spacing w:line="360" w:lineRule="auto"/>
        <w:ind w:firstLineChars="200" w:firstLine="480"/>
        <w:rPr>
          <w:rFonts w:ascii="宋体" w:hAnsi="宋体"/>
          <w:sz w:val="24"/>
        </w:rPr>
      </w:pPr>
      <w:r>
        <w:rPr>
          <w:rFonts w:ascii="宋体" w:hAnsi="宋体" w:hint="eastAsia"/>
          <w:sz w:val="24"/>
        </w:rPr>
        <w:t>3、</w:t>
      </w:r>
      <w:r w:rsidRPr="001253BE">
        <w:rPr>
          <w:rFonts w:ascii="宋体" w:hAnsi="宋体" w:hint="eastAsia"/>
          <w:sz w:val="24"/>
        </w:rPr>
        <w:t>索尔思光电</w:t>
      </w:r>
      <w:r w:rsidR="009D671E">
        <w:rPr>
          <w:rFonts w:ascii="宋体" w:hAnsi="宋体" w:hint="eastAsia"/>
          <w:sz w:val="24"/>
        </w:rPr>
        <w:t>202</w:t>
      </w:r>
      <w:r w:rsidR="00132BFE">
        <w:rPr>
          <w:rFonts w:ascii="宋体" w:hAnsi="宋体" w:hint="eastAsia"/>
          <w:sz w:val="24"/>
        </w:rPr>
        <w:t>4</w:t>
      </w:r>
      <w:r w:rsidR="009D671E">
        <w:rPr>
          <w:rFonts w:ascii="宋体" w:hAnsi="宋体" w:hint="eastAsia"/>
          <w:sz w:val="24"/>
        </w:rPr>
        <w:t>年度审计报告。</w:t>
      </w:r>
    </w:p>
    <w:p w:rsidR="0016125E" w:rsidRDefault="0016125E" w:rsidP="0016125E">
      <w:pPr>
        <w:adjustRightInd w:val="0"/>
        <w:snapToGrid w:val="0"/>
        <w:spacing w:line="360" w:lineRule="auto"/>
        <w:ind w:firstLineChars="200" w:firstLine="480"/>
        <w:rPr>
          <w:rFonts w:ascii="宋体" w:hAnsi="宋体"/>
          <w:sz w:val="24"/>
        </w:rPr>
      </w:pPr>
    </w:p>
    <w:p w:rsidR="00BC5775" w:rsidRPr="00BC5775" w:rsidRDefault="00BC5775" w:rsidP="0016125E">
      <w:pPr>
        <w:adjustRightInd w:val="0"/>
        <w:snapToGrid w:val="0"/>
        <w:spacing w:line="360" w:lineRule="auto"/>
        <w:ind w:firstLineChars="200" w:firstLine="480"/>
        <w:rPr>
          <w:rFonts w:ascii="宋体" w:hAnsi="宋体"/>
          <w:sz w:val="24"/>
        </w:rPr>
      </w:pPr>
    </w:p>
    <w:p w:rsidR="0016125E" w:rsidRPr="0016125E" w:rsidRDefault="0016125E" w:rsidP="0016125E">
      <w:pPr>
        <w:adjustRightInd w:val="0"/>
        <w:snapToGrid w:val="0"/>
        <w:spacing w:line="360" w:lineRule="auto"/>
        <w:ind w:firstLineChars="200" w:firstLine="480"/>
        <w:rPr>
          <w:rFonts w:ascii="宋体" w:hAnsi="宋体"/>
          <w:sz w:val="24"/>
        </w:rPr>
      </w:pPr>
      <w:r w:rsidRPr="0016125E">
        <w:rPr>
          <w:rFonts w:ascii="宋体" w:hAnsi="宋体"/>
          <w:sz w:val="24"/>
        </w:rPr>
        <w:t>特此公告。</w:t>
      </w:r>
    </w:p>
    <w:p w:rsidR="00773A0A" w:rsidRDefault="00773A0A" w:rsidP="0016125E">
      <w:pPr>
        <w:adjustRightInd w:val="0"/>
        <w:snapToGrid w:val="0"/>
        <w:spacing w:line="360" w:lineRule="auto"/>
        <w:ind w:firstLineChars="200" w:firstLine="480"/>
        <w:rPr>
          <w:rFonts w:ascii="宋体" w:hAnsi="宋体"/>
          <w:sz w:val="24"/>
        </w:rPr>
      </w:pPr>
    </w:p>
    <w:p w:rsidR="00A670B5" w:rsidRDefault="00A670B5" w:rsidP="0016125E">
      <w:pPr>
        <w:adjustRightInd w:val="0"/>
        <w:snapToGrid w:val="0"/>
        <w:spacing w:line="360" w:lineRule="auto"/>
        <w:ind w:firstLineChars="200" w:firstLine="480"/>
        <w:rPr>
          <w:rFonts w:ascii="宋体" w:hAnsi="宋体"/>
          <w:sz w:val="24"/>
        </w:rPr>
      </w:pPr>
    </w:p>
    <w:p w:rsidR="00341C48" w:rsidRDefault="00341C48" w:rsidP="0016125E">
      <w:pPr>
        <w:adjustRightInd w:val="0"/>
        <w:snapToGrid w:val="0"/>
        <w:spacing w:line="360" w:lineRule="auto"/>
        <w:ind w:firstLineChars="200" w:firstLine="480"/>
        <w:rPr>
          <w:rFonts w:ascii="宋体" w:hAnsi="宋体"/>
          <w:sz w:val="24"/>
        </w:rPr>
      </w:pPr>
    </w:p>
    <w:p w:rsidR="00341C48" w:rsidRDefault="00341C48" w:rsidP="0016125E">
      <w:pPr>
        <w:adjustRightInd w:val="0"/>
        <w:snapToGrid w:val="0"/>
        <w:spacing w:line="360" w:lineRule="auto"/>
        <w:ind w:firstLineChars="200" w:firstLine="480"/>
        <w:rPr>
          <w:rFonts w:ascii="宋体" w:hAnsi="宋体"/>
          <w:sz w:val="24"/>
        </w:rPr>
      </w:pPr>
    </w:p>
    <w:p w:rsidR="00341C48" w:rsidRDefault="00341C48" w:rsidP="0016125E">
      <w:pPr>
        <w:adjustRightInd w:val="0"/>
        <w:snapToGrid w:val="0"/>
        <w:spacing w:line="360" w:lineRule="auto"/>
        <w:ind w:firstLineChars="200" w:firstLine="480"/>
        <w:rPr>
          <w:rFonts w:ascii="宋体" w:hAnsi="宋体"/>
          <w:sz w:val="24"/>
        </w:rPr>
      </w:pPr>
    </w:p>
    <w:p w:rsidR="0016125E" w:rsidRPr="0016125E" w:rsidRDefault="0016125E" w:rsidP="00481995">
      <w:pPr>
        <w:adjustRightInd w:val="0"/>
        <w:snapToGrid w:val="0"/>
        <w:spacing w:line="360" w:lineRule="auto"/>
        <w:ind w:firstLineChars="1800" w:firstLine="4320"/>
        <w:rPr>
          <w:rFonts w:ascii="宋体" w:hAnsi="宋体"/>
          <w:sz w:val="24"/>
        </w:rPr>
      </w:pPr>
      <w:r w:rsidRPr="0016125E">
        <w:rPr>
          <w:rFonts w:ascii="宋体" w:hAnsi="宋体"/>
          <w:sz w:val="24"/>
        </w:rPr>
        <w:t>江苏华西村股份有限公司董事会</w:t>
      </w:r>
    </w:p>
    <w:p w:rsidR="0016125E" w:rsidRPr="004845B8" w:rsidRDefault="006D7500" w:rsidP="00481995">
      <w:pPr>
        <w:adjustRightInd w:val="0"/>
        <w:snapToGrid w:val="0"/>
        <w:spacing w:line="360" w:lineRule="auto"/>
        <w:ind w:firstLineChars="2200" w:firstLine="5280"/>
        <w:rPr>
          <w:rFonts w:ascii="宋体" w:hAnsi="宋体"/>
          <w:sz w:val="24"/>
        </w:rPr>
      </w:pPr>
      <w:r w:rsidRPr="004845B8">
        <w:rPr>
          <w:rFonts w:ascii="宋体" w:hAnsi="宋体"/>
          <w:sz w:val="24"/>
        </w:rPr>
        <w:t>202</w:t>
      </w:r>
      <w:r w:rsidR="00132BFE" w:rsidRPr="004845B8">
        <w:rPr>
          <w:rFonts w:ascii="宋体" w:hAnsi="宋体" w:hint="eastAsia"/>
          <w:sz w:val="24"/>
        </w:rPr>
        <w:t>5</w:t>
      </w:r>
      <w:r w:rsidR="0016125E" w:rsidRPr="004845B8">
        <w:rPr>
          <w:rFonts w:ascii="宋体" w:hAnsi="宋体"/>
          <w:sz w:val="24"/>
        </w:rPr>
        <w:t>年</w:t>
      </w:r>
      <w:r w:rsidR="003B79B2" w:rsidRPr="004845B8">
        <w:rPr>
          <w:rFonts w:ascii="宋体" w:hAnsi="宋体" w:hint="eastAsia"/>
          <w:sz w:val="24"/>
        </w:rPr>
        <w:t>6</w:t>
      </w:r>
      <w:r w:rsidR="0016125E" w:rsidRPr="004845B8">
        <w:rPr>
          <w:rFonts w:ascii="宋体" w:hAnsi="宋体"/>
          <w:sz w:val="24"/>
        </w:rPr>
        <w:t>月</w:t>
      </w:r>
      <w:r w:rsidR="004845B8" w:rsidRPr="004845B8">
        <w:rPr>
          <w:rFonts w:ascii="宋体" w:hAnsi="宋体" w:hint="eastAsia"/>
          <w:sz w:val="24"/>
        </w:rPr>
        <w:t>13</w:t>
      </w:r>
      <w:r w:rsidR="0016125E" w:rsidRPr="004845B8">
        <w:rPr>
          <w:rFonts w:ascii="宋体" w:hAnsi="宋体"/>
          <w:sz w:val="24"/>
        </w:rPr>
        <w:t>日</w:t>
      </w:r>
    </w:p>
    <w:sectPr w:rsidR="0016125E" w:rsidRPr="004845B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FC5" w:rsidRDefault="000B1FC5" w:rsidP="00D40AF1">
      <w:r>
        <w:separator/>
      </w:r>
    </w:p>
  </w:endnote>
  <w:endnote w:type="continuationSeparator" w:id="0">
    <w:p w:rsidR="000B1FC5" w:rsidRDefault="000B1FC5" w:rsidP="00D4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92" w:rsidRDefault="00AB3E92">
    <w:pPr>
      <w:pStyle w:val="a7"/>
      <w:jc w:val="center"/>
    </w:pPr>
    <w:r>
      <w:fldChar w:fldCharType="begin"/>
    </w:r>
    <w:r>
      <w:instrText>PAGE   \* MERGEFORMAT</w:instrText>
    </w:r>
    <w:r>
      <w:fldChar w:fldCharType="separate"/>
    </w:r>
    <w:r w:rsidR="00863CF5" w:rsidRPr="00863CF5">
      <w:rPr>
        <w:noProof/>
        <w:lang w:val="zh-CN"/>
      </w:rPr>
      <w:t>5</w:t>
    </w:r>
    <w:r>
      <w:fldChar w:fldCharType="end"/>
    </w:r>
  </w:p>
  <w:p w:rsidR="00AB3E92" w:rsidRDefault="00AB3E9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FC5" w:rsidRDefault="000B1FC5" w:rsidP="00D40AF1">
      <w:r>
        <w:separator/>
      </w:r>
    </w:p>
  </w:footnote>
  <w:footnote w:type="continuationSeparator" w:id="0">
    <w:p w:rsidR="000B1FC5" w:rsidRDefault="000B1FC5" w:rsidP="00D40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42DF4"/>
    <w:multiLevelType w:val="singleLevel"/>
    <w:tmpl w:val="8B542DF4"/>
    <w:lvl w:ilvl="0">
      <w:start w:val="1"/>
      <w:numFmt w:val="decimal"/>
      <w:suff w:val="nothing"/>
      <w:lvlText w:val="%1"/>
      <w:lvlJc w:val="left"/>
      <w:pPr>
        <w:ind w:left="80" w:hanging="440"/>
      </w:pPr>
      <w:rPr>
        <w:rFonts w:hint="eastAsia"/>
      </w:rPr>
    </w:lvl>
  </w:abstractNum>
  <w:abstractNum w:abstractNumId="1">
    <w:nsid w:val="99301460"/>
    <w:multiLevelType w:val="singleLevel"/>
    <w:tmpl w:val="99301460"/>
    <w:lvl w:ilvl="0">
      <w:start w:val="1"/>
      <w:numFmt w:val="decimal"/>
      <w:suff w:val="nothing"/>
      <w:lvlText w:val="%1"/>
      <w:lvlJc w:val="left"/>
      <w:pPr>
        <w:ind w:left="440" w:hanging="440"/>
      </w:pPr>
      <w:rPr>
        <w:rFonts w:hint="eastAsia"/>
      </w:rPr>
    </w:lvl>
  </w:abstractNum>
  <w:abstractNum w:abstractNumId="2">
    <w:nsid w:val="0000001B"/>
    <w:multiLevelType w:val="multilevel"/>
    <w:tmpl w:val="0000001B"/>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20"/>
        </w:tabs>
        <w:ind w:left="1120" w:hanging="420"/>
      </w:pPr>
      <w:rPr>
        <w:rFonts w:hint="eastAsia"/>
      </w:rPr>
    </w:lvl>
    <w:lvl w:ilvl="2">
      <w:start w:val="1"/>
      <w:numFmt w:val="decimal"/>
      <w:lvlText w:val="(%3)"/>
      <w:lvlJc w:val="left"/>
      <w:pPr>
        <w:tabs>
          <w:tab w:val="left" w:pos="1540"/>
        </w:tabs>
        <w:ind w:left="1540" w:hanging="420"/>
      </w:pPr>
      <w:rPr>
        <w:rFonts w:hint="eastAsia"/>
        <w:b w:val="0"/>
      </w:rPr>
    </w:lvl>
    <w:lvl w:ilvl="3">
      <w:start w:val="1"/>
      <w:numFmt w:val="decimal"/>
      <w:suff w:val="space"/>
      <w:lvlText w:val="（%4）"/>
      <w:lvlJc w:val="left"/>
      <w:pPr>
        <w:ind w:left="2260" w:hanging="720"/>
      </w:pPr>
      <w:rPr>
        <w:rFonts w:hint="default"/>
      </w:rPr>
    </w:lvl>
    <w:lvl w:ilvl="4">
      <w:start w:val="1"/>
      <w:numFmt w:val="lowerLetter"/>
      <w:lvlRestart w:val="0"/>
      <w:lvlText w:val="%5)"/>
      <w:lvlJc w:val="left"/>
      <w:pPr>
        <w:tabs>
          <w:tab w:val="left" w:pos="2380"/>
        </w:tabs>
        <w:ind w:left="2380" w:hanging="420"/>
      </w:pPr>
    </w:lvl>
    <w:lvl w:ilvl="5">
      <w:start w:val="1"/>
      <w:numFmt w:val="lowerRoman"/>
      <w:lvlRestart w:val="0"/>
      <w:lvlText w:val="%6."/>
      <w:lvlJc w:val="right"/>
      <w:pPr>
        <w:tabs>
          <w:tab w:val="left" w:pos="2800"/>
        </w:tabs>
        <w:ind w:left="2800" w:hanging="420"/>
      </w:pPr>
    </w:lvl>
    <w:lvl w:ilvl="6">
      <w:start w:val="1"/>
      <w:numFmt w:val="decimal"/>
      <w:lvlRestart w:val="0"/>
      <w:lvlText w:val="%7."/>
      <w:lvlJc w:val="left"/>
      <w:pPr>
        <w:tabs>
          <w:tab w:val="left" w:pos="3220"/>
        </w:tabs>
        <w:ind w:left="3220" w:hanging="420"/>
      </w:pPr>
    </w:lvl>
    <w:lvl w:ilvl="7">
      <w:start w:val="1"/>
      <w:numFmt w:val="lowerLetter"/>
      <w:lvlRestart w:val="0"/>
      <w:lvlText w:val="%8)"/>
      <w:lvlJc w:val="left"/>
      <w:pPr>
        <w:tabs>
          <w:tab w:val="left" w:pos="3640"/>
        </w:tabs>
        <w:ind w:left="3640" w:hanging="420"/>
      </w:pPr>
    </w:lvl>
    <w:lvl w:ilvl="8">
      <w:start w:val="1"/>
      <w:numFmt w:val="lowerRoman"/>
      <w:lvlRestart w:val="0"/>
      <w:lvlText w:val="%9."/>
      <w:lvlJc w:val="right"/>
      <w:pPr>
        <w:tabs>
          <w:tab w:val="left" w:pos="4060"/>
        </w:tabs>
        <w:ind w:left="4060" w:hanging="420"/>
      </w:pPr>
    </w:lvl>
  </w:abstractNum>
  <w:abstractNum w:abstractNumId="3">
    <w:nsid w:val="00057845"/>
    <w:multiLevelType w:val="multilevel"/>
    <w:tmpl w:val="028E438A"/>
    <w:lvl w:ilvl="0">
      <w:start w:val="1"/>
      <w:numFmt w:val="decimal"/>
      <w:pStyle w:val="1"/>
      <w:lvlText w:val="第%1条"/>
      <w:lvlJc w:val="left"/>
      <w:pPr>
        <w:ind w:left="4243" w:hanging="840"/>
      </w:pPr>
      <w:rPr>
        <w:rFonts w:hint="default"/>
      </w:rPr>
    </w:lvl>
    <w:lvl w:ilvl="1">
      <w:start w:val="1"/>
      <w:numFmt w:val="decimal"/>
      <w:pStyle w:val="2"/>
      <w:lvlText w:val="%1.%2"/>
      <w:lvlJc w:val="left"/>
      <w:pPr>
        <w:ind w:left="2117" w:hanging="840"/>
      </w:pPr>
      <w:rPr>
        <w:rFonts w:ascii="Times New Roman" w:hAnsi="Times New Roman" w:hint="default"/>
        <w:b w:val="0"/>
        <w:i w:val="0"/>
      </w:rPr>
    </w:lvl>
    <w:lvl w:ilvl="2">
      <w:start w:val="1"/>
      <w:numFmt w:val="decimal"/>
      <w:pStyle w:val="3"/>
      <w:lvlText w:val="%1.%2.%3"/>
      <w:lvlJc w:val="left"/>
      <w:pPr>
        <w:ind w:left="1260" w:hanging="1260"/>
      </w:pPr>
      <w:rPr>
        <w:rFonts w:hint="eastAsia"/>
        <w:b w:val="0"/>
        <w:strike w: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13832D01"/>
    <w:multiLevelType w:val="multilevel"/>
    <w:tmpl w:val="13832D0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1FEF3F70"/>
    <w:multiLevelType w:val="multilevel"/>
    <w:tmpl w:val="1FEF3F70"/>
    <w:lvl w:ilvl="0">
      <w:start w:val="1"/>
      <w:numFmt w:val="decimal"/>
      <w:lvlText w:val="2.%1"/>
      <w:lvlJc w:val="left"/>
      <w:pPr>
        <w:tabs>
          <w:tab w:val="left" w:pos="360"/>
        </w:tabs>
        <w:ind w:left="360" w:hanging="360"/>
      </w:pPr>
      <w:rPr>
        <w:rFonts w:ascii="Times New Roman" w:hAnsi="Times New Roman" w:hint="default"/>
        <w:sz w:val="24"/>
        <w:szCs w:val="24"/>
      </w:rPr>
    </w:lvl>
    <w:lvl w:ilvl="1">
      <w:start w:val="1"/>
      <w:numFmt w:val="decimal"/>
      <w:suff w:val="nothing"/>
      <w:lvlText w:val="（%2）"/>
      <w:lvlJc w:val="left"/>
      <w:pPr>
        <w:ind w:left="674" w:hanging="390"/>
      </w:pPr>
      <w:rPr>
        <w:rFonts w:ascii="Times New Roman" w:hAnsi="Times New Roman" w:cs="Times New Roman" w:hint="default"/>
        <w:sz w:val="24"/>
        <w:szCs w:val="24"/>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6">
    <w:nsid w:val="20EEE12C"/>
    <w:multiLevelType w:val="singleLevel"/>
    <w:tmpl w:val="20EEE12C"/>
    <w:lvl w:ilvl="0">
      <w:start w:val="1"/>
      <w:numFmt w:val="decimal"/>
      <w:suff w:val="nothing"/>
      <w:lvlText w:val="%1"/>
      <w:lvlJc w:val="left"/>
      <w:pPr>
        <w:ind w:left="440" w:hanging="440"/>
      </w:pPr>
      <w:rPr>
        <w:rFonts w:hint="eastAsia"/>
      </w:rPr>
    </w:lvl>
  </w:abstractNum>
  <w:abstractNum w:abstractNumId="7">
    <w:nsid w:val="2AAB2496"/>
    <w:multiLevelType w:val="multilevel"/>
    <w:tmpl w:val="2AAB2496"/>
    <w:lvl w:ilvl="0">
      <w:start w:val="1"/>
      <w:numFmt w:val="decimal"/>
      <w:lvlText w:val="8.%1"/>
      <w:lvlJc w:val="left"/>
      <w:pPr>
        <w:tabs>
          <w:tab w:val="left" w:pos="357"/>
        </w:tabs>
        <w:ind w:left="440" w:hanging="440"/>
      </w:pPr>
      <w:rPr>
        <w:rFonts w:ascii="Times" w:hAnsi="Times" w:hint="default"/>
        <w:b w:val="0"/>
        <w:bCs/>
        <w:sz w:val="24"/>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8">
    <w:nsid w:val="2CDF242D"/>
    <w:multiLevelType w:val="singleLevel"/>
    <w:tmpl w:val="2CDF242D"/>
    <w:lvl w:ilvl="0">
      <w:start w:val="1"/>
      <w:numFmt w:val="decimal"/>
      <w:suff w:val="nothing"/>
      <w:lvlText w:val="（%1）"/>
      <w:lvlJc w:val="left"/>
      <w:pPr>
        <w:ind w:left="2567" w:hanging="440"/>
      </w:pPr>
      <w:rPr>
        <w:rFonts w:ascii="Times New Roman" w:hAnsi="Times New Roman" w:cs="Times New Roman" w:hint="default"/>
      </w:rPr>
    </w:lvl>
  </w:abstractNum>
  <w:abstractNum w:abstractNumId="9">
    <w:nsid w:val="2D2061A2"/>
    <w:multiLevelType w:val="hybridMultilevel"/>
    <w:tmpl w:val="CDDC2794"/>
    <w:lvl w:ilvl="0" w:tplc="BEC89140">
      <w:start w:val="1"/>
      <w:numFmt w:val="japaneseCounting"/>
      <w:lvlText w:val="%1、"/>
      <w:lvlJc w:val="left"/>
      <w:pPr>
        <w:ind w:left="1183" w:hanging="720"/>
      </w:pPr>
      <w:rPr>
        <w:rFonts w:hint="default"/>
      </w:rPr>
    </w:lvl>
    <w:lvl w:ilvl="1" w:tplc="04090019" w:tentative="1">
      <w:start w:val="1"/>
      <w:numFmt w:val="lowerLetter"/>
      <w:lvlText w:val="%2)"/>
      <w:lvlJc w:val="left"/>
      <w:pPr>
        <w:ind w:left="1303" w:hanging="420"/>
      </w:pPr>
    </w:lvl>
    <w:lvl w:ilvl="2" w:tplc="0409001B" w:tentative="1">
      <w:start w:val="1"/>
      <w:numFmt w:val="lowerRoman"/>
      <w:lvlText w:val="%3."/>
      <w:lvlJc w:val="right"/>
      <w:pPr>
        <w:ind w:left="1723" w:hanging="420"/>
      </w:pPr>
    </w:lvl>
    <w:lvl w:ilvl="3" w:tplc="0409000F" w:tentative="1">
      <w:start w:val="1"/>
      <w:numFmt w:val="decimal"/>
      <w:lvlText w:val="%4."/>
      <w:lvlJc w:val="left"/>
      <w:pPr>
        <w:ind w:left="2143" w:hanging="420"/>
      </w:pPr>
    </w:lvl>
    <w:lvl w:ilvl="4" w:tplc="04090019" w:tentative="1">
      <w:start w:val="1"/>
      <w:numFmt w:val="lowerLetter"/>
      <w:lvlText w:val="%5)"/>
      <w:lvlJc w:val="left"/>
      <w:pPr>
        <w:ind w:left="2563" w:hanging="420"/>
      </w:pPr>
    </w:lvl>
    <w:lvl w:ilvl="5" w:tplc="0409001B" w:tentative="1">
      <w:start w:val="1"/>
      <w:numFmt w:val="lowerRoman"/>
      <w:lvlText w:val="%6."/>
      <w:lvlJc w:val="right"/>
      <w:pPr>
        <w:ind w:left="2983" w:hanging="420"/>
      </w:pPr>
    </w:lvl>
    <w:lvl w:ilvl="6" w:tplc="0409000F" w:tentative="1">
      <w:start w:val="1"/>
      <w:numFmt w:val="decimal"/>
      <w:lvlText w:val="%7."/>
      <w:lvlJc w:val="left"/>
      <w:pPr>
        <w:ind w:left="3403" w:hanging="420"/>
      </w:pPr>
    </w:lvl>
    <w:lvl w:ilvl="7" w:tplc="04090019" w:tentative="1">
      <w:start w:val="1"/>
      <w:numFmt w:val="lowerLetter"/>
      <w:lvlText w:val="%8)"/>
      <w:lvlJc w:val="left"/>
      <w:pPr>
        <w:ind w:left="3823" w:hanging="420"/>
      </w:pPr>
    </w:lvl>
    <w:lvl w:ilvl="8" w:tplc="0409001B" w:tentative="1">
      <w:start w:val="1"/>
      <w:numFmt w:val="lowerRoman"/>
      <w:lvlText w:val="%9."/>
      <w:lvlJc w:val="right"/>
      <w:pPr>
        <w:ind w:left="4243" w:hanging="420"/>
      </w:pPr>
    </w:lvl>
  </w:abstractNum>
  <w:abstractNum w:abstractNumId="10">
    <w:nsid w:val="30F27544"/>
    <w:multiLevelType w:val="multilevel"/>
    <w:tmpl w:val="30F27544"/>
    <w:lvl w:ilvl="0">
      <w:start w:val="1"/>
      <w:numFmt w:val="decimal"/>
      <w:lvlText w:val="5.%1"/>
      <w:lvlJc w:val="left"/>
      <w:pPr>
        <w:tabs>
          <w:tab w:val="left" w:pos="360"/>
        </w:tabs>
        <w:ind w:left="360" w:hanging="360"/>
      </w:pPr>
      <w:rPr>
        <w:rFonts w:ascii="Times" w:hAnsi="Times" w:hint="default"/>
        <w:sz w:val="24"/>
      </w:rPr>
    </w:lvl>
    <w:lvl w:ilvl="1">
      <w:start w:val="1"/>
      <w:numFmt w:val="decimal"/>
      <w:lvlText w:val="（%2）"/>
      <w:lvlJc w:val="left"/>
      <w:pPr>
        <w:tabs>
          <w:tab w:val="left" w:pos="810"/>
        </w:tabs>
        <w:ind w:left="810" w:hanging="390"/>
      </w:pPr>
      <w:rPr>
        <w:rFonts w:hint="eastAsia"/>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11">
    <w:nsid w:val="37962C64"/>
    <w:multiLevelType w:val="singleLevel"/>
    <w:tmpl w:val="37962C64"/>
    <w:lvl w:ilvl="0">
      <w:start w:val="1"/>
      <w:numFmt w:val="decimal"/>
      <w:suff w:val="nothing"/>
      <w:lvlText w:val="%1"/>
      <w:lvlJc w:val="left"/>
      <w:pPr>
        <w:ind w:left="440" w:hanging="440"/>
      </w:pPr>
      <w:rPr>
        <w:rFonts w:hint="eastAsia"/>
      </w:rPr>
    </w:lvl>
  </w:abstractNum>
  <w:abstractNum w:abstractNumId="12">
    <w:nsid w:val="3E6C661D"/>
    <w:multiLevelType w:val="singleLevel"/>
    <w:tmpl w:val="3E6C661D"/>
    <w:lvl w:ilvl="0">
      <w:start w:val="1"/>
      <w:numFmt w:val="decimal"/>
      <w:suff w:val="nothing"/>
      <w:lvlText w:val="（%1）"/>
      <w:lvlJc w:val="left"/>
      <w:pPr>
        <w:ind w:left="440" w:hanging="440"/>
      </w:pPr>
      <w:rPr>
        <w:rFonts w:ascii="Times New Roman" w:hAnsi="Times New Roman" w:cs="Times New Roman" w:hint="default"/>
      </w:rPr>
    </w:lvl>
  </w:abstractNum>
  <w:abstractNum w:abstractNumId="13">
    <w:nsid w:val="3E842163"/>
    <w:multiLevelType w:val="multilevel"/>
    <w:tmpl w:val="3E842163"/>
    <w:lvl w:ilvl="0">
      <w:start w:val="1"/>
      <w:numFmt w:val="lowerLetter"/>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3F654FE9"/>
    <w:multiLevelType w:val="multilevel"/>
    <w:tmpl w:val="3F654FE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433D2DB1"/>
    <w:multiLevelType w:val="multilevel"/>
    <w:tmpl w:val="433D2DB1"/>
    <w:lvl w:ilvl="0">
      <w:start w:val="1"/>
      <w:numFmt w:val="decimal"/>
      <w:lvlText w:val="9.%1"/>
      <w:lvlJc w:val="left"/>
      <w:pPr>
        <w:ind w:left="440" w:hanging="440"/>
      </w:pPr>
      <w:rPr>
        <w:rFonts w:ascii="Times" w:hAnsi="Times" w:hint="default"/>
        <w:sz w:val="24"/>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nsid w:val="44467C1E"/>
    <w:multiLevelType w:val="singleLevel"/>
    <w:tmpl w:val="44467C1E"/>
    <w:lvl w:ilvl="0">
      <w:start w:val="1"/>
      <w:numFmt w:val="decimal"/>
      <w:suff w:val="nothing"/>
      <w:lvlText w:val="（%1）"/>
      <w:lvlJc w:val="left"/>
      <w:pPr>
        <w:ind w:left="865" w:hanging="440"/>
      </w:pPr>
      <w:rPr>
        <w:rFonts w:ascii="Times New Roman" w:hAnsi="Times New Roman" w:cs="Times New Roman" w:hint="default"/>
        <w:sz w:val="24"/>
        <w:szCs w:val="24"/>
      </w:rPr>
    </w:lvl>
  </w:abstractNum>
  <w:abstractNum w:abstractNumId="17">
    <w:nsid w:val="45F4761D"/>
    <w:multiLevelType w:val="multilevel"/>
    <w:tmpl w:val="45F4761D"/>
    <w:lvl w:ilvl="0">
      <w:start w:val="1"/>
      <w:numFmt w:val="decimal"/>
      <w:lvlText w:val="4.%1"/>
      <w:lvlJc w:val="left"/>
      <w:pPr>
        <w:ind w:left="440" w:hanging="440"/>
      </w:pPr>
      <w:rPr>
        <w:rFonts w:hint="eastAsia"/>
        <w:sz w:val="24"/>
      </w:rPr>
    </w:lvl>
    <w:lvl w:ilvl="1">
      <w:start w:val="1"/>
      <w:numFmt w:val="lowerLetter"/>
      <w:lvlText w:val="%2)"/>
      <w:lvlJc w:val="left"/>
      <w:pPr>
        <w:ind w:left="880" w:hanging="440"/>
      </w:pPr>
      <w:rPr>
        <w:rFonts w:hint="eastAsia"/>
      </w:rPr>
    </w:lvl>
    <w:lvl w:ilvl="2">
      <w:start w:val="1"/>
      <w:numFmt w:val="lowerRoman"/>
      <w:lvlText w:val="%3."/>
      <w:lvlJc w:val="right"/>
      <w:pPr>
        <w:ind w:left="1320" w:hanging="440"/>
      </w:pPr>
      <w:rPr>
        <w:rFonts w:hint="eastAsia"/>
      </w:rPr>
    </w:lvl>
    <w:lvl w:ilvl="3">
      <w:start w:val="1"/>
      <w:numFmt w:val="decimal"/>
      <w:lvlText w:val="%4."/>
      <w:lvlJc w:val="left"/>
      <w:pPr>
        <w:ind w:left="1760" w:hanging="440"/>
      </w:pPr>
      <w:rPr>
        <w:rFonts w:hint="eastAsia"/>
      </w:rPr>
    </w:lvl>
    <w:lvl w:ilvl="4">
      <w:start w:val="1"/>
      <w:numFmt w:val="lowerLetter"/>
      <w:lvlText w:val="%5)"/>
      <w:lvlJc w:val="left"/>
      <w:pPr>
        <w:ind w:left="2200" w:hanging="440"/>
      </w:pPr>
      <w:rPr>
        <w:rFonts w:hint="eastAsia"/>
      </w:rPr>
    </w:lvl>
    <w:lvl w:ilvl="5">
      <w:start w:val="1"/>
      <w:numFmt w:val="lowerRoman"/>
      <w:lvlText w:val="%6."/>
      <w:lvlJc w:val="right"/>
      <w:pPr>
        <w:ind w:left="2640" w:hanging="440"/>
      </w:pPr>
      <w:rPr>
        <w:rFonts w:hint="eastAsia"/>
      </w:rPr>
    </w:lvl>
    <w:lvl w:ilvl="6">
      <w:start w:val="1"/>
      <w:numFmt w:val="decimal"/>
      <w:lvlText w:val="%7."/>
      <w:lvlJc w:val="left"/>
      <w:pPr>
        <w:ind w:left="3080" w:hanging="440"/>
      </w:pPr>
      <w:rPr>
        <w:rFonts w:hint="eastAsia"/>
      </w:rPr>
    </w:lvl>
    <w:lvl w:ilvl="7">
      <w:start w:val="1"/>
      <w:numFmt w:val="lowerLetter"/>
      <w:lvlText w:val="%8)"/>
      <w:lvlJc w:val="left"/>
      <w:pPr>
        <w:ind w:left="3520" w:hanging="440"/>
      </w:pPr>
      <w:rPr>
        <w:rFonts w:hint="eastAsia"/>
      </w:rPr>
    </w:lvl>
    <w:lvl w:ilvl="8">
      <w:start w:val="1"/>
      <w:numFmt w:val="lowerRoman"/>
      <w:lvlText w:val="%9."/>
      <w:lvlJc w:val="right"/>
      <w:pPr>
        <w:ind w:left="3960" w:hanging="440"/>
      </w:pPr>
      <w:rPr>
        <w:rFonts w:hint="eastAsia"/>
      </w:rPr>
    </w:lvl>
  </w:abstractNum>
  <w:abstractNum w:abstractNumId="18">
    <w:nsid w:val="47831EAA"/>
    <w:multiLevelType w:val="multilevel"/>
    <w:tmpl w:val="47831E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8396A66"/>
    <w:multiLevelType w:val="multilevel"/>
    <w:tmpl w:val="48396A66"/>
    <w:lvl w:ilvl="0">
      <w:start w:val="1"/>
      <w:numFmt w:val="decimal"/>
      <w:lvlText w:val="3.%1"/>
      <w:lvlJc w:val="left"/>
      <w:pPr>
        <w:tabs>
          <w:tab w:val="left" w:pos="360"/>
        </w:tabs>
        <w:ind w:left="360" w:hanging="360"/>
      </w:pPr>
      <w:rPr>
        <w:rFonts w:ascii="Times New Roman" w:hAnsi="Times New Roman" w:hint="default"/>
        <w:sz w:val="24"/>
        <w:szCs w:val="24"/>
      </w:rPr>
    </w:lvl>
    <w:lvl w:ilvl="1">
      <w:start w:val="1"/>
      <w:numFmt w:val="decimal"/>
      <w:suff w:val="nothing"/>
      <w:lvlText w:val="（%2）"/>
      <w:lvlJc w:val="left"/>
      <w:pPr>
        <w:ind w:left="6344" w:hanging="390"/>
      </w:pPr>
      <w:rPr>
        <w:rFonts w:ascii="Times New Roman" w:hAnsi="Times New Roman" w:cs="Times New Roman" w:hint="default"/>
        <w:sz w:val="24"/>
        <w:szCs w:val="24"/>
      </w:rPr>
    </w:lvl>
    <w:lvl w:ilvl="2">
      <w:start w:val="1"/>
      <w:numFmt w:val="lowerRoman"/>
      <w:lvlRestart w:val="0"/>
      <w:lvlText w:val="%3."/>
      <w:lvlJc w:val="right"/>
      <w:pPr>
        <w:tabs>
          <w:tab w:val="left" w:pos="1260"/>
        </w:tabs>
        <w:ind w:left="1260" w:hanging="420"/>
      </w:pPr>
    </w:lvl>
    <w:lvl w:ilvl="3">
      <w:start w:val="1"/>
      <w:numFmt w:val="decimal"/>
      <w:lvlRestart w:val="0"/>
      <w:lvlText w:val="%4."/>
      <w:lvlJc w:val="left"/>
      <w:pPr>
        <w:tabs>
          <w:tab w:val="left" w:pos="1680"/>
        </w:tabs>
        <w:ind w:left="1680" w:hanging="420"/>
      </w:pPr>
    </w:lvl>
    <w:lvl w:ilvl="4">
      <w:start w:val="1"/>
      <w:numFmt w:val="lowerLetter"/>
      <w:lvlRestart w:val="0"/>
      <w:lvlText w:val="%5)"/>
      <w:lvlJc w:val="left"/>
      <w:pPr>
        <w:tabs>
          <w:tab w:val="left" w:pos="2100"/>
        </w:tabs>
        <w:ind w:left="2100" w:hanging="420"/>
      </w:pPr>
    </w:lvl>
    <w:lvl w:ilvl="5">
      <w:start w:val="1"/>
      <w:numFmt w:val="lowerRoman"/>
      <w:lvlRestart w:val="0"/>
      <w:lvlText w:val="%6."/>
      <w:lvlJc w:val="right"/>
      <w:pPr>
        <w:tabs>
          <w:tab w:val="left" w:pos="2520"/>
        </w:tabs>
        <w:ind w:left="2520" w:hanging="420"/>
      </w:pPr>
    </w:lvl>
    <w:lvl w:ilvl="6">
      <w:start w:val="1"/>
      <w:numFmt w:val="decimal"/>
      <w:lvlRestart w:val="0"/>
      <w:lvlText w:val="%7."/>
      <w:lvlJc w:val="left"/>
      <w:pPr>
        <w:tabs>
          <w:tab w:val="left" w:pos="2940"/>
        </w:tabs>
        <w:ind w:left="2940" w:hanging="420"/>
      </w:pPr>
    </w:lvl>
    <w:lvl w:ilvl="7">
      <w:start w:val="1"/>
      <w:numFmt w:val="lowerLetter"/>
      <w:lvlRestart w:val="0"/>
      <w:lvlText w:val="%8)"/>
      <w:lvlJc w:val="left"/>
      <w:pPr>
        <w:tabs>
          <w:tab w:val="left" w:pos="3360"/>
        </w:tabs>
        <w:ind w:left="3360" w:hanging="420"/>
      </w:pPr>
    </w:lvl>
    <w:lvl w:ilvl="8">
      <w:start w:val="1"/>
      <w:numFmt w:val="lowerRoman"/>
      <w:lvlRestart w:val="0"/>
      <w:lvlText w:val="%9."/>
      <w:lvlJc w:val="right"/>
      <w:pPr>
        <w:tabs>
          <w:tab w:val="left" w:pos="3780"/>
        </w:tabs>
        <w:ind w:left="3780" w:hanging="420"/>
      </w:pPr>
    </w:lvl>
  </w:abstractNum>
  <w:abstractNum w:abstractNumId="20">
    <w:nsid w:val="49673CD0"/>
    <w:multiLevelType w:val="multilevel"/>
    <w:tmpl w:val="49673CD0"/>
    <w:lvl w:ilvl="0">
      <w:start w:val="1"/>
      <w:numFmt w:val="decimal"/>
      <w:suff w:val="nothing"/>
      <w:lvlText w:val="%1"/>
      <w:lvlJc w:val="left"/>
      <w:pPr>
        <w:ind w:left="720" w:hanging="360"/>
      </w:pPr>
      <w:rPr>
        <w:rFonts w:hint="eastAsia"/>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nsid w:val="591F3675"/>
    <w:multiLevelType w:val="multilevel"/>
    <w:tmpl w:val="591F3675"/>
    <w:lvl w:ilvl="0">
      <w:start w:val="1"/>
      <w:numFmt w:val="chineseCountingThousand"/>
      <w:lvlText w:val="（%1）"/>
      <w:lvlJc w:val="left"/>
      <w:pPr>
        <w:ind w:left="6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0794589"/>
    <w:multiLevelType w:val="multilevel"/>
    <w:tmpl w:val="60794589"/>
    <w:lvl w:ilvl="0">
      <w:start w:val="1"/>
      <w:numFmt w:val="decimal"/>
      <w:lvlText w:val="2.2.%1"/>
      <w:lvlJc w:val="left"/>
      <w:pPr>
        <w:ind w:left="797"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nsid w:val="608E638E"/>
    <w:multiLevelType w:val="singleLevel"/>
    <w:tmpl w:val="608E638E"/>
    <w:lvl w:ilvl="0">
      <w:start w:val="1"/>
      <w:numFmt w:val="decimal"/>
      <w:suff w:val="nothing"/>
      <w:lvlText w:val="（%1）"/>
      <w:lvlJc w:val="left"/>
      <w:pPr>
        <w:ind w:left="1291" w:hanging="440"/>
      </w:pPr>
      <w:rPr>
        <w:rFonts w:ascii="Times New Roman" w:hAnsi="Times New Roman" w:cs="Times New Roman" w:hint="default"/>
        <w:sz w:val="24"/>
        <w:szCs w:val="24"/>
        <w:lang w:val="en-US"/>
      </w:rPr>
    </w:lvl>
  </w:abstractNum>
  <w:abstractNum w:abstractNumId="24">
    <w:nsid w:val="67B842A9"/>
    <w:multiLevelType w:val="multilevel"/>
    <w:tmpl w:val="67B842A9"/>
    <w:lvl w:ilvl="0">
      <w:start w:val="1"/>
      <w:numFmt w:val="decimal"/>
      <w:lvlText w:val="(%1)"/>
      <w:lvlJc w:val="left"/>
      <w:pPr>
        <w:ind w:left="987" w:hanging="420"/>
      </w:pPr>
      <w:rPr>
        <w:rFonts w:ascii="Times New Roman" w:hAnsi="Times New Roman" w:cs="Times New Roman" w:hint="default"/>
        <w:b w:val="0"/>
        <w:sz w:val="24"/>
        <w:szCs w:val="24"/>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5">
    <w:nsid w:val="76711FA0"/>
    <w:multiLevelType w:val="multilevel"/>
    <w:tmpl w:val="76711FA0"/>
    <w:lvl w:ilvl="0">
      <w:start w:val="1"/>
      <w:numFmt w:val="decimal"/>
      <w:lvlText w:val="10.%1"/>
      <w:lvlJc w:val="left"/>
      <w:pPr>
        <w:ind w:left="440" w:hanging="440"/>
      </w:pPr>
      <w:rPr>
        <w:rFonts w:ascii="Times" w:hAnsi="Times" w:hint="default"/>
        <w:sz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9"/>
  </w:num>
  <w:num w:numId="3">
    <w:abstractNumId w:val="20"/>
  </w:num>
  <w:num w:numId="4">
    <w:abstractNumId w:val="5"/>
  </w:num>
  <w:num w:numId="5">
    <w:abstractNumId w:val="22"/>
  </w:num>
  <w:num w:numId="6">
    <w:abstractNumId w:val="6"/>
  </w:num>
  <w:num w:numId="7">
    <w:abstractNumId w:val="0"/>
  </w:num>
  <w:num w:numId="8">
    <w:abstractNumId w:val="12"/>
  </w:num>
  <w:num w:numId="9">
    <w:abstractNumId w:val="1"/>
  </w:num>
  <w:num w:numId="10">
    <w:abstractNumId w:val="11"/>
  </w:num>
  <w:num w:numId="11">
    <w:abstractNumId w:val="10"/>
  </w:num>
  <w:num w:numId="12">
    <w:abstractNumId w:val="7"/>
  </w:num>
  <w:num w:numId="13">
    <w:abstractNumId w:val="16"/>
  </w:num>
  <w:num w:numId="14">
    <w:abstractNumId w:val="15"/>
  </w:num>
  <w:num w:numId="15">
    <w:abstractNumId w:val="25"/>
  </w:num>
  <w:num w:numId="16">
    <w:abstractNumId w:val="23"/>
  </w:num>
  <w:num w:numId="17">
    <w:abstractNumId w:val="8"/>
  </w:num>
  <w:num w:numId="18">
    <w:abstractNumId w:val="17"/>
  </w:num>
  <w:num w:numId="19">
    <w:abstractNumId w:val="13"/>
  </w:num>
  <w:num w:numId="20">
    <w:abstractNumId w:val="18"/>
  </w:num>
  <w:num w:numId="21">
    <w:abstractNumId w:val="3"/>
  </w:num>
  <w:num w:numId="22">
    <w:abstractNumId w:val="14"/>
  </w:num>
  <w:num w:numId="23">
    <w:abstractNumId w:val="24"/>
  </w:num>
  <w:num w:numId="24">
    <w:abstractNumId w:val="2"/>
  </w:num>
  <w:num w:numId="25">
    <w:abstractNumId w:val="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4AA"/>
    <w:rsid w:val="00004B4D"/>
    <w:rsid w:val="000107ED"/>
    <w:rsid w:val="00012112"/>
    <w:rsid w:val="00012DE9"/>
    <w:rsid w:val="000155BD"/>
    <w:rsid w:val="00016309"/>
    <w:rsid w:val="0002021D"/>
    <w:rsid w:val="00020EF0"/>
    <w:rsid w:val="00025DA4"/>
    <w:rsid w:val="00032B60"/>
    <w:rsid w:val="00032F41"/>
    <w:rsid w:val="000332CE"/>
    <w:rsid w:val="00037A8C"/>
    <w:rsid w:val="00052F15"/>
    <w:rsid w:val="00054175"/>
    <w:rsid w:val="00062A08"/>
    <w:rsid w:val="00065E71"/>
    <w:rsid w:val="000750CD"/>
    <w:rsid w:val="00075C32"/>
    <w:rsid w:val="000943DC"/>
    <w:rsid w:val="00096690"/>
    <w:rsid w:val="00096DA8"/>
    <w:rsid w:val="000A5490"/>
    <w:rsid w:val="000B1FC5"/>
    <w:rsid w:val="000D0799"/>
    <w:rsid w:val="000D4A6B"/>
    <w:rsid w:val="000E2DB3"/>
    <w:rsid w:val="000E33AD"/>
    <w:rsid w:val="000E36E4"/>
    <w:rsid w:val="000F20D3"/>
    <w:rsid w:val="000F2375"/>
    <w:rsid w:val="000F3B03"/>
    <w:rsid w:val="000F4937"/>
    <w:rsid w:val="000F4D52"/>
    <w:rsid w:val="001253BE"/>
    <w:rsid w:val="00126216"/>
    <w:rsid w:val="00132BFE"/>
    <w:rsid w:val="00135D25"/>
    <w:rsid w:val="00154698"/>
    <w:rsid w:val="0016065E"/>
    <w:rsid w:val="0016125E"/>
    <w:rsid w:val="00163AE8"/>
    <w:rsid w:val="00164735"/>
    <w:rsid w:val="00173EE0"/>
    <w:rsid w:val="0017567E"/>
    <w:rsid w:val="00177007"/>
    <w:rsid w:val="00186EB8"/>
    <w:rsid w:val="001A0779"/>
    <w:rsid w:val="001A2296"/>
    <w:rsid w:val="001A4A74"/>
    <w:rsid w:val="001A4BAB"/>
    <w:rsid w:val="001C1C79"/>
    <w:rsid w:val="001C3D1A"/>
    <w:rsid w:val="001C705D"/>
    <w:rsid w:val="001D1EBB"/>
    <w:rsid w:val="001D4DBD"/>
    <w:rsid w:val="001D5BBA"/>
    <w:rsid w:val="001D710F"/>
    <w:rsid w:val="001D75F9"/>
    <w:rsid w:val="001E5A3C"/>
    <w:rsid w:val="001F6CF1"/>
    <w:rsid w:val="00207FE2"/>
    <w:rsid w:val="00211614"/>
    <w:rsid w:val="00217EF0"/>
    <w:rsid w:val="002266A8"/>
    <w:rsid w:val="00230A3B"/>
    <w:rsid w:val="0023509F"/>
    <w:rsid w:val="002362AF"/>
    <w:rsid w:val="00242EA3"/>
    <w:rsid w:val="00260510"/>
    <w:rsid w:val="0026438E"/>
    <w:rsid w:val="00265EAD"/>
    <w:rsid w:val="00267B07"/>
    <w:rsid w:val="00273EA2"/>
    <w:rsid w:val="0027479B"/>
    <w:rsid w:val="002853FA"/>
    <w:rsid w:val="0028570E"/>
    <w:rsid w:val="00293778"/>
    <w:rsid w:val="002A4C64"/>
    <w:rsid w:val="002A5FEA"/>
    <w:rsid w:val="002B2CEA"/>
    <w:rsid w:val="002B7B00"/>
    <w:rsid w:val="002C54C4"/>
    <w:rsid w:val="002C6678"/>
    <w:rsid w:val="002D0A55"/>
    <w:rsid w:val="002D1B40"/>
    <w:rsid w:val="002D2659"/>
    <w:rsid w:val="002E2157"/>
    <w:rsid w:val="002F047D"/>
    <w:rsid w:val="002F4AA0"/>
    <w:rsid w:val="002F58E5"/>
    <w:rsid w:val="00300941"/>
    <w:rsid w:val="003028EC"/>
    <w:rsid w:val="00304583"/>
    <w:rsid w:val="00312EA4"/>
    <w:rsid w:val="003249A4"/>
    <w:rsid w:val="00326023"/>
    <w:rsid w:val="003265FB"/>
    <w:rsid w:val="00335E1A"/>
    <w:rsid w:val="00341C48"/>
    <w:rsid w:val="00343BAA"/>
    <w:rsid w:val="00357D64"/>
    <w:rsid w:val="003610A0"/>
    <w:rsid w:val="003717A2"/>
    <w:rsid w:val="00376F28"/>
    <w:rsid w:val="00377C07"/>
    <w:rsid w:val="0039468F"/>
    <w:rsid w:val="003A634D"/>
    <w:rsid w:val="003B0ACE"/>
    <w:rsid w:val="003B3E88"/>
    <w:rsid w:val="003B670A"/>
    <w:rsid w:val="003B79B2"/>
    <w:rsid w:val="003C4473"/>
    <w:rsid w:val="003D0AE5"/>
    <w:rsid w:val="003D2761"/>
    <w:rsid w:val="003E0391"/>
    <w:rsid w:val="003E07AA"/>
    <w:rsid w:val="003E099E"/>
    <w:rsid w:val="003E362E"/>
    <w:rsid w:val="003E7CA0"/>
    <w:rsid w:val="003F39A3"/>
    <w:rsid w:val="003F4468"/>
    <w:rsid w:val="004161C2"/>
    <w:rsid w:val="00422A66"/>
    <w:rsid w:val="004237EC"/>
    <w:rsid w:val="004249AD"/>
    <w:rsid w:val="00435F80"/>
    <w:rsid w:val="00444AC5"/>
    <w:rsid w:val="00451F6F"/>
    <w:rsid w:val="0045336C"/>
    <w:rsid w:val="00456C55"/>
    <w:rsid w:val="00464CEB"/>
    <w:rsid w:val="0046556E"/>
    <w:rsid w:val="00466CE7"/>
    <w:rsid w:val="004671DE"/>
    <w:rsid w:val="00467205"/>
    <w:rsid w:val="00481995"/>
    <w:rsid w:val="004839A8"/>
    <w:rsid w:val="00483D18"/>
    <w:rsid w:val="004845B8"/>
    <w:rsid w:val="0049166A"/>
    <w:rsid w:val="004A0107"/>
    <w:rsid w:val="004A22AB"/>
    <w:rsid w:val="004A2A35"/>
    <w:rsid w:val="004A3869"/>
    <w:rsid w:val="004A44AC"/>
    <w:rsid w:val="004A6578"/>
    <w:rsid w:val="004B09F6"/>
    <w:rsid w:val="004B6694"/>
    <w:rsid w:val="004C3EF4"/>
    <w:rsid w:val="004C4F5E"/>
    <w:rsid w:val="004D597C"/>
    <w:rsid w:val="004E0C49"/>
    <w:rsid w:val="004E3935"/>
    <w:rsid w:val="004E39CF"/>
    <w:rsid w:val="004F2CCF"/>
    <w:rsid w:val="004F796D"/>
    <w:rsid w:val="0050747D"/>
    <w:rsid w:val="00520085"/>
    <w:rsid w:val="005247DF"/>
    <w:rsid w:val="00536D8D"/>
    <w:rsid w:val="005402B2"/>
    <w:rsid w:val="005452D3"/>
    <w:rsid w:val="005656D4"/>
    <w:rsid w:val="00570B09"/>
    <w:rsid w:val="005722A8"/>
    <w:rsid w:val="00573757"/>
    <w:rsid w:val="005769AF"/>
    <w:rsid w:val="005777A4"/>
    <w:rsid w:val="00581A66"/>
    <w:rsid w:val="0058261C"/>
    <w:rsid w:val="005A1C89"/>
    <w:rsid w:val="005B0D5B"/>
    <w:rsid w:val="005C6E77"/>
    <w:rsid w:val="005D4627"/>
    <w:rsid w:val="005D4BD0"/>
    <w:rsid w:val="005D528F"/>
    <w:rsid w:val="005D6892"/>
    <w:rsid w:val="005E2DE3"/>
    <w:rsid w:val="005F320D"/>
    <w:rsid w:val="005F3749"/>
    <w:rsid w:val="0060097F"/>
    <w:rsid w:val="00603A67"/>
    <w:rsid w:val="00622D02"/>
    <w:rsid w:val="00626D85"/>
    <w:rsid w:val="00626F0E"/>
    <w:rsid w:val="0063051C"/>
    <w:rsid w:val="006306F5"/>
    <w:rsid w:val="00631E32"/>
    <w:rsid w:val="006445C2"/>
    <w:rsid w:val="00663417"/>
    <w:rsid w:val="00665A97"/>
    <w:rsid w:val="006719DA"/>
    <w:rsid w:val="00676ED0"/>
    <w:rsid w:val="0068439A"/>
    <w:rsid w:val="0068534E"/>
    <w:rsid w:val="0069239E"/>
    <w:rsid w:val="00692BC0"/>
    <w:rsid w:val="006B0EAF"/>
    <w:rsid w:val="006D01B6"/>
    <w:rsid w:val="006D092D"/>
    <w:rsid w:val="006D68DB"/>
    <w:rsid w:val="006D6B11"/>
    <w:rsid w:val="006D7500"/>
    <w:rsid w:val="006D7B39"/>
    <w:rsid w:val="006E091F"/>
    <w:rsid w:val="006E19A2"/>
    <w:rsid w:val="006E5D9D"/>
    <w:rsid w:val="006E7076"/>
    <w:rsid w:val="006F0763"/>
    <w:rsid w:val="006F36F0"/>
    <w:rsid w:val="006F5B21"/>
    <w:rsid w:val="00700106"/>
    <w:rsid w:val="007026C4"/>
    <w:rsid w:val="007038D9"/>
    <w:rsid w:val="0071038F"/>
    <w:rsid w:val="00710786"/>
    <w:rsid w:val="00711885"/>
    <w:rsid w:val="0071202D"/>
    <w:rsid w:val="00714F6C"/>
    <w:rsid w:val="007271DB"/>
    <w:rsid w:val="00731E42"/>
    <w:rsid w:val="00741039"/>
    <w:rsid w:val="00744BAC"/>
    <w:rsid w:val="00745283"/>
    <w:rsid w:val="00760033"/>
    <w:rsid w:val="00763603"/>
    <w:rsid w:val="00773A0A"/>
    <w:rsid w:val="007807B8"/>
    <w:rsid w:val="00781C43"/>
    <w:rsid w:val="00782E67"/>
    <w:rsid w:val="007834D4"/>
    <w:rsid w:val="007A399D"/>
    <w:rsid w:val="007A574B"/>
    <w:rsid w:val="007A7C4B"/>
    <w:rsid w:val="007C720F"/>
    <w:rsid w:val="007D42F3"/>
    <w:rsid w:val="007D483C"/>
    <w:rsid w:val="007E17A4"/>
    <w:rsid w:val="007E1ED5"/>
    <w:rsid w:val="007F057D"/>
    <w:rsid w:val="007F4E55"/>
    <w:rsid w:val="0080591A"/>
    <w:rsid w:val="00807EB9"/>
    <w:rsid w:val="008103DF"/>
    <w:rsid w:val="00811553"/>
    <w:rsid w:val="00811E7E"/>
    <w:rsid w:val="0081354B"/>
    <w:rsid w:val="008305BF"/>
    <w:rsid w:val="00835BA0"/>
    <w:rsid w:val="0084413F"/>
    <w:rsid w:val="00852E5E"/>
    <w:rsid w:val="00863CF5"/>
    <w:rsid w:val="00872E47"/>
    <w:rsid w:val="00873A7D"/>
    <w:rsid w:val="00880069"/>
    <w:rsid w:val="008801E1"/>
    <w:rsid w:val="008821E6"/>
    <w:rsid w:val="00887C6A"/>
    <w:rsid w:val="00891EAB"/>
    <w:rsid w:val="008932D0"/>
    <w:rsid w:val="00896733"/>
    <w:rsid w:val="008A3D70"/>
    <w:rsid w:val="008A5066"/>
    <w:rsid w:val="008B4108"/>
    <w:rsid w:val="008D3EAF"/>
    <w:rsid w:val="008D565E"/>
    <w:rsid w:val="008F68DA"/>
    <w:rsid w:val="008F6C4D"/>
    <w:rsid w:val="009023CC"/>
    <w:rsid w:val="0090417A"/>
    <w:rsid w:val="00904CE4"/>
    <w:rsid w:val="0091043F"/>
    <w:rsid w:val="009136EA"/>
    <w:rsid w:val="00922166"/>
    <w:rsid w:val="00930A38"/>
    <w:rsid w:val="009601A2"/>
    <w:rsid w:val="009614BB"/>
    <w:rsid w:val="00972DAD"/>
    <w:rsid w:val="0097460D"/>
    <w:rsid w:val="0097558C"/>
    <w:rsid w:val="009907EE"/>
    <w:rsid w:val="009A10A7"/>
    <w:rsid w:val="009A6ED9"/>
    <w:rsid w:val="009B10D0"/>
    <w:rsid w:val="009B2270"/>
    <w:rsid w:val="009C4BD3"/>
    <w:rsid w:val="009D4115"/>
    <w:rsid w:val="009D52CF"/>
    <w:rsid w:val="009D59C3"/>
    <w:rsid w:val="009D671E"/>
    <w:rsid w:val="009E4938"/>
    <w:rsid w:val="009E4A20"/>
    <w:rsid w:val="009E544F"/>
    <w:rsid w:val="009E65FF"/>
    <w:rsid w:val="009E7B50"/>
    <w:rsid w:val="009F3E3A"/>
    <w:rsid w:val="009F6EAF"/>
    <w:rsid w:val="00A02C48"/>
    <w:rsid w:val="00A12191"/>
    <w:rsid w:val="00A223D1"/>
    <w:rsid w:val="00A25AEC"/>
    <w:rsid w:val="00A30C81"/>
    <w:rsid w:val="00A34B9D"/>
    <w:rsid w:val="00A4460C"/>
    <w:rsid w:val="00A457EF"/>
    <w:rsid w:val="00A45AEC"/>
    <w:rsid w:val="00A50CAA"/>
    <w:rsid w:val="00A531FF"/>
    <w:rsid w:val="00A55201"/>
    <w:rsid w:val="00A64131"/>
    <w:rsid w:val="00A653F0"/>
    <w:rsid w:val="00A670B5"/>
    <w:rsid w:val="00A82887"/>
    <w:rsid w:val="00A84CA6"/>
    <w:rsid w:val="00A86872"/>
    <w:rsid w:val="00A90EE6"/>
    <w:rsid w:val="00A92189"/>
    <w:rsid w:val="00A92E90"/>
    <w:rsid w:val="00A93541"/>
    <w:rsid w:val="00A948F6"/>
    <w:rsid w:val="00A9594F"/>
    <w:rsid w:val="00AA0A03"/>
    <w:rsid w:val="00AA2C98"/>
    <w:rsid w:val="00AB2C21"/>
    <w:rsid w:val="00AB3E92"/>
    <w:rsid w:val="00AB5EA3"/>
    <w:rsid w:val="00AC1722"/>
    <w:rsid w:val="00AC1F50"/>
    <w:rsid w:val="00AC6A65"/>
    <w:rsid w:val="00AD4EA3"/>
    <w:rsid w:val="00AD5A9D"/>
    <w:rsid w:val="00AD60B4"/>
    <w:rsid w:val="00AF5233"/>
    <w:rsid w:val="00B03134"/>
    <w:rsid w:val="00B0580F"/>
    <w:rsid w:val="00B10026"/>
    <w:rsid w:val="00B100BE"/>
    <w:rsid w:val="00B12217"/>
    <w:rsid w:val="00B126D8"/>
    <w:rsid w:val="00B140DD"/>
    <w:rsid w:val="00B14C86"/>
    <w:rsid w:val="00B17426"/>
    <w:rsid w:val="00B20E7F"/>
    <w:rsid w:val="00B2303A"/>
    <w:rsid w:val="00B35AB4"/>
    <w:rsid w:val="00B51AC5"/>
    <w:rsid w:val="00B52DB7"/>
    <w:rsid w:val="00B53BD9"/>
    <w:rsid w:val="00B5478D"/>
    <w:rsid w:val="00B609C7"/>
    <w:rsid w:val="00B73B9B"/>
    <w:rsid w:val="00B7424B"/>
    <w:rsid w:val="00B75722"/>
    <w:rsid w:val="00B76F86"/>
    <w:rsid w:val="00B84EF2"/>
    <w:rsid w:val="00B862FE"/>
    <w:rsid w:val="00B90EE4"/>
    <w:rsid w:val="00B9687A"/>
    <w:rsid w:val="00BA3563"/>
    <w:rsid w:val="00BA3781"/>
    <w:rsid w:val="00BB446F"/>
    <w:rsid w:val="00BB4B2C"/>
    <w:rsid w:val="00BB6A5E"/>
    <w:rsid w:val="00BB74AA"/>
    <w:rsid w:val="00BC5775"/>
    <w:rsid w:val="00BF6452"/>
    <w:rsid w:val="00C039F1"/>
    <w:rsid w:val="00C03E05"/>
    <w:rsid w:val="00C040BC"/>
    <w:rsid w:val="00C1376A"/>
    <w:rsid w:val="00C17436"/>
    <w:rsid w:val="00C27759"/>
    <w:rsid w:val="00C47F72"/>
    <w:rsid w:val="00C6253B"/>
    <w:rsid w:val="00C75C7F"/>
    <w:rsid w:val="00C80263"/>
    <w:rsid w:val="00C82286"/>
    <w:rsid w:val="00C827C4"/>
    <w:rsid w:val="00C857B0"/>
    <w:rsid w:val="00CA4E2B"/>
    <w:rsid w:val="00CA4E83"/>
    <w:rsid w:val="00CA6F6F"/>
    <w:rsid w:val="00CB4398"/>
    <w:rsid w:val="00CC45A9"/>
    <w:rsid w:val="00CD29E5"/>
    <w:rsid w:val="00CD3BB6"/>
    <w:rsid w:val="00CF0206"/>
    <w:rsid w:val="00CF0599"/>
    <w:rsid w:val="00CF0937"/>
    <w:rsid w:val="00CF64EA"/>
    <w:rsid w:val="00CF70AD"/>
    <w:rsid w:val="00CF7923"/>
    <w:rsid w:val="00D00C12"/>
    <w:rsid w:val="00D024D8"/>
    <w:rsid w:val="00D102F4"/>
    <w:rsid w:val="00D1529C"/>
    <w:rsid w:val="00D1583E"/>
    <w:rsid w:val="00D17520"/>
    <w:rsid w:val="00D17D8D"/>
    <w:rsid w:val="00D25A3F"/>
    <w:rsid w:val="00D2710E"/>
    <w:rsid w:val="00D30211"/>
    <w:rsid w:val="00D33375"/>
    <w:rsid w:val="00D36F38"/>
    <w:rsid w:val="00D40AF1"/>
    <w:rsid w:val="00D42120"/>
    <w:rsid w:val="00D4267C"/>
    <w:rsid w:val="00D445D0"/>
    <w:rsid w:val="00D503AC"/>
    <w:rsid w:val="00D6370A"/>
    <w:rsid w:val="00D725AD"/>
    <w:rsid w:val="00D83177"/>
    <w:rsid w:val="00D947E3"/>
    <w:rsid w:val="00D96793"/>
    <w:rsid w:val="00DA36C4"/>
    <w:rsid w:val="00DC5AAE"/>
    <w:rsid w:val="00DC6E17"/>
    <w:rsid w:val="00DD57D9"/>
    <w:rsid w:val="00DE28E9"/>
    <w:rsid w:val="00DE465F"/>
    <w:rsid w:val="00E012B3"/>
    <w:rsid w:val="00E05877"/>
    <w:rsid w:val="00E06AC8"/>
    <w:rsid w:val="00E07A03"/>
    <w:rsid w:val="00E10092"/>
    <w:rsid w:val="00E17A9F"/>
    <w:rsid w:val="00E20784"/>
    <w:rsid w:val="00E27C07"/>
    <w:rsid w:val="00E34148"/>
    <w:rsid w:val="00E419DC"/>
    <w:rsid w:val="00E56782"/>
    <w:rsid w:val="00E628C6"/>
    <w:rsid w:val="00E65FD0"/>
    <w:rsid w:val="00E71415"/>
    <w:rsid w:val="00E7273B"/>
    <w:rsid w:val="00E913A9"/>
    <w:rsid w:val="00E94CF3"/>
    <w:rsid w:val="00E95279"/>
    <w:rsid w:val="00EA5796"/>
    <w:rsid w:val="00EA5D74"/>
    <w:rsid w:val="00EA6490"/>
    <w:rsid w:val="00EB7556"/>
    <w:rsid w:val="00EC25FC"/>
    <w:rsid w:val="00EC7638"/>
    <w:rsid w:val="00ED7DDD"/>
    <w:rsid w:val="00EE3FC7"/>
    <w:rsid w:val="00EE5FC8"/>
    <w:rsid w:val="00EE65A6"/>
    <w:rsid w:val="00F1039C"/>
    <w:rsid w:val="00F10DFB"/>
    <w:rsid w:val="00F37FDB"/>
    <w:rsid w:val="00F421EE"/>
    <w:rsid w:val="00F52A5F"/>
    <w:rsid w:val="00F56866"/>
    <w:rsid w:val="00F64E70"/>
    <w:rsid w:val="00F76D45"/>
    <w:rsid w:val="00F8627E"/>
    <w:rsid w:val="00F910CB"/>
    <w:rsid w:val="00F96FB0"/>
    <w:rsid w:val="00FA032C"/>
    <w:rsid w:val="00FA0DB3"/>
    <w:rsid w:val="00FA3BBA"/>
    <w:rsid w:val="00FC44E2"/>
    <w:rsid w:val="00FD3DBD"/>
    <w:rsid w:val="00FD56F4"/>
    <w:rsid w:val="00FE68AB"/>
    <w:rsid w:val="00FF4D6C"/>
    <w:rsid w:val="00FF6017"/>
    <w:rsid w:val="00FF7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D1A"/>
    <w:pPr>
      <w:widowControl w:val="0"/>
      <w:jc w:val="both"/>
    </w:pPr>
    <w:rPr>
      <w:kern w:val="2"/>
      <w:sz w:val="21"/>
      <w:szCs w:val="24"/>
    </w:rPr>
  </w:style>
  <w:style w:type="paragraph" w:styleId="1">
    <w:name w:val="heading 1"/>
    <w:basedOn w:val="a0"/>
    <w:next w:val="a"/>
    <w:link w:val="1Char"/>
    <w:autoRedefine/>
    <w:uiPriority w:val="99"/>
    <w:qFormat/>
    <w:rsid w:val="009136EA"/>
    <w:pPr>
      <w:widowControl/>
      <w:numPr>
        <w:numId w:val="21"/>
      </w:numPr>
      <w:tabs>
        <w:tab w:val="left" w:pos="0"/>
        <w:tab w:val="left" w:pos="709"/>
      </w:tabs>
      <w:adjustRightInd w:val="0"/>
      <w:snapToGrid w:val="0"/>
      <w:spacing w:beforeLines="100" w:before="312" w:afterLines="100" w:after="312" w:line="360" w:lineRule="exact"/>
      <w:ind w:left="567" w:rightChars="35" w:right="84" w:firstLineChars="0" w:hanging="567"/>
      <w:jc w:val="center"/>
      <w:textAlignment w:val="baseline"/>
      <w:outlineLvl w:val="0"/>
    </w:pPr>
    <w:rPr>
      <w:rFonts w:eastAsia="楷体"/>
      <w:b/>
      <w:kern w:val="0"/>
      <w:sz w:val="24"/>
    </w:rPr>
  </w:style>
  <w:style w:type="paragraph" w:styleId="2">
    <w:name w:val="heading 2"/>
    <w:basedOn w:val="a0"/>
    <w:next w:val="a"/>
    <w:link w:val="2Char"/>
    <w:uiPriority w:val="99"/>
    <w:unhideWhenUsed/>
    <w:qFormat/>
    <w:rsid w:val="009136EA"/>
    <w:pPr>
      <w:widowControl/>
      <w:numPr>
        <w:ilvl w:val="1"/>
        <w:numId w:val="21"/>
      </w:numPr>
      <w:tabs>
        <w:tab w:val="left" w:pos="709"/>
      </w:tabs>
      <w:adjustRightInd w:val="0"/>
      <w:snapToGrid w:val="0"/>
      <w:spacing w:beforeLines="100" w:before="312" w:afterLines="100" w:after="312" w:line="360" w:lineRule="exact"/>
      <w:ind w:rightChars="100" w:right="240" w:firstLineChars="0" w:firstLine="0"/>
      <w:textAlignment w:val="baseline"/>
      <w:outlineLvl w:val="1"/>
    </w:pPr>
    <w:rPr>
      <w:rFonts w:eastAsia="楷体"/>
      <w:bCs/>
      <w:kern w:val="0"/>
      <w:sz w:val="24"/>
      <w:lang w:val="en-GB"/>
    </w:rPr>
  </w:style>
  <w:style w:type="paragraph" w:styleId="3">
    <w:name w:val="heading 3"/>
    <w:basedOn w:val="2"/>
    <w:next w:val="a"/>
    <w:link w:val="3Char"/>
    <w:autoRedefine/>
    <w:uiPriority w:val="9"/>
    <w:qFormat/>
    <w:rsid w:val="009136EA"/>
    <w:pPr>
      <w:numPr>
        <w:ilvl w:val="2"/>
      </w:numPr>
      <w:tabs>
        <w:tab w:val="clear" w:pos="709"/>
      </w:tabs>
      <w:ind w:left="709" w:hanging="709"/>
      <w:outlineLvl w:val="2"/>
    </w:pPr>
    <w:rPr>
      <w:snapToGrid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1CharCharChar">
    <w:name w:val="Char Char Char Char Char Char1 Char Char Char"/>
    <w:basedOn w:val="a"/>
    <w:rsid w:val="00BB74AA"/>
    <w:pPr>
      <w:autoSpaceDE w:val="0"/>
      <w:autoSpaceDN w:val="0"/>
      <w:adjustRightInd w:val="0"/>
      <w:jc w:val="left"/>
      <w:textAlignment w:val="baseline"/>
    </w:pPr>
    <w:rPr>
      <w:rFonts w:ascii="宋体"/>
      <w:kern w:val="0"/>
      <w:sz w:val="34"/>
      <w:szCs w:val="20"/>
    </w:rPr>
  </w:style>
  <w:style w:type="paragraph" w:styleId="a4">
    <w:name w:val="Body Text Indent"/>
    <w:basedOn w:val="a"/>
    <w:rsid w:val="00BB74AA"/>
    <w:pPr>
      <w:spacing w:after="120"/>
      <w:ind w:leftChars="200" w:left="200"/>
    </w:pPr>
    <w:rPr>
      <w:rFonts w:ascii="宋体" w:hAnsi="宋体"/>
      <w:sz w:val="28"/>
    </w:rPr>
  </w:style>
  <w:style w:type="paragraph" w:styleId="20">
    <w:name w:val="Body Text Indent 2"/>
    <w:basedOn w:val="a"/>
    <w:rsid w:val="00BB74AA"/>
    <w:pPr>
      <w:spacing w:line="600" w:lineRule="exact"/>
      <w:ind w:firstLine="646"/>
    </w:pPr>
    <w:rPr>
      <w:rFonts w:ascii="仿宋_GB2312" w:eastAsia="仿宋_GB2312"/>
      <w:sz w:val="32"/>
      <w:szCs w:val="20"/>
    </w:rPr>
  </w:style>
  <w:style w:type="paragraph" w:styleId="a5">
    <w:name w:val="Balloon Text"/>
    <w:basedOn w:val="a"/>
    <w:semiHidden/>
    <w:rsid w:val="00304583"/>
    <w:rPr>
      <w:sz w:val="18"/>
      <w:szCs w:val="18"/>
    </w:rPr>
  </w:style>
  <w:style w:type="paragraph" w:customStyle="1" w:styleId="CM1">
    <w:name w:val="CM1"/>
    <w:basedOn w:val="a"/>
    <w:next w:val="a"/>
    <w:rsid w:val="009D52CF"/>
    <w:pPr>
      <w:autoSpaceDE w:val="0"/>
      <w:autoSpaceDN w:val="0"/>
      <w:adjustRightInd w:val="0"/>
    </w:pPr>
    <w:rPr>
      <w:rFonts w:ascii="黑体" w:eastAsia="黑体"/>
      <w:kern w:val="0"/>
      <w:sz w:val="24"/>
    </w:rPr>
  </w:style>
  <w:style w:type="paragraph" w:styleId="a6">
    <w:name w:val="header"/>
    <w:basedOn w:val="a"/>
    <w:link w:val="Char"/>
    <w:rsid w:val="00D40AF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D40AF1"/>
    <w:rPr>
      <w:kern w:val="2"/>
      <w:sz w:val="18"/>
      <w:szCs w:val="18"/>
    </w:rPr>
  </w:style>
  <w:style w:type="paragraph" w:styleId="a7">
    <w:name w:val="footer"/>
    <w:basedOn w:val="a"/>
    <w:link w:val="Char0"/>
    <w:uiPriority w:val="99"/>
    <w:rsid w:val="00D40AF1"/>
    <w:pPr>
      <w:tabs>
        <w:tab w:val="center" w:pos="4153"/>
        <w:tab w:val="right" w:pos="8306"/>
      </w:tabs>
      <w:snapToGrid w:val="0"/>
      <w:jc w:val="left"/>
    </w:pPr>
    <w:rPr>
      <w:sz w:val="18"/>
      <w:szCs w:val="18"/>
    </w:rPr>
  </w:style>
  <w:style w:type="character" w:customStyle="1" w:styleId="Char0">
    <w:name w:val="页脚 Char"/>
    <w:link w:val="a7"/>
    <w:uiPriority w:val="99"/>
    <w:rsid w:val="00D40AF1"/>
    <w:rPr>
      <w:kern w:val="2"/>
      <w:sz w:val="18"/>
      <w:szCs w:val="18"/>
    </w:rPr>
  </w:style>
  <w:style w:type="table" w:styleId="a8">
    <w:name w:val="Table Grid"/>
    <w:basedOn w:val="a2"/>
    <w:qFormat/>
    <w:rsid w:val="0016125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标题1"/>
    <w:basedOn w:val="a"/>
    <w:link w:val="1Char0"/>
    <w:uiPriority w:val="99"/>
    <w:rsid w:val="00C47F72"/>
    <w:pPr>
      <w:autoSpaceDE w:val="0"/>
      <w:autoSpaceDN w:val="0"/>
      <w:adjustRightInd w:val="0"/>
      <w:spacing w:beforeLines="50" w:afterLines="50" w:line="360" w:lineRule="auto"/>
      <w:ind w:firstLineChars="200" w:firstLine="482"/>
      <w:outlineLvl w:val="0"/>
    </w:pPr>
    <w:rPr>
      <w:rFonts w:ascii="宋体" w:hAnsi="Calibri"/>
      <w:b/>
      <w:bCs/>
      <w:kern w:val="0"/>
      <w:sz w:val="20"/>
      <w:szCs w:val="20"/>
    </w:rPr>
  </w:style>
  <w:style w:type="character" w:customStyle="1" w:styleId="1Char0">
    <w:name w:val="标题1 Char"/>
    <w:link w:val="10"/>
    <w:uiPriority w:val="99"/>
    <w:locked/>
    <w:rsid w:val="00C47F72"/>
    <w:rPr>
      <w:rFonts w:ascii="宋体" w:hAnsi="Calibri"/>
      <w:b/>
      <w:bCs/>
    </w:rPr>
  </w:style>
  <w:style w:type="paragraph" w:customStyle="1" w:styleId="21">
    <w:name w:val="正文2"/>
    <w:basedOn w:val="a"/>
    <w:link w:val="2Char0"/>
    <w:uiPriority w:val="99"/>
    <w:rsid w:val="00631E32"/>
    <w:pPr>
      <w:spacing w:beforeLines="50" w:afterLines="50" w:line="360" w:lineRule="auto"/>
      <w:ind w:firstLineChars="200" w:firstLine="480"/>
    </w:pPr>
    <w:rPr>
      <w:rFonts w:ascii="宋体" w:hAnsi="宋体"/>
      <w:kern w:val="0"/>
      <w:sz w:val="20"/>
      <w:szCs w:val="20"/>
    </w:rPr>
  </w:style>
  <w:style w:type="character" w:customStyle="1" w:styleId="2Char0">
    <w:name w:val="正文2 Char"/>
    <w:link w:val="21"/>
    <w:uiPriority w:val="99"/>
    <w:locked/>
    <w:rsid w:val="00631E32"/>
    <w:rPr>
      <w:rFonts w:ascii="宋体" w:hAnsi="宋体"/>
    </w:rPr>
  </w:style>
  <w:style w:type="character" w:customStyle="1" w:styleId="fontstyle01">
    <w:name w:val="fontstyle01"/>
    <w:rsid w:val="00300941"/>
    <w:rPr>
      <w:rFonts w:ascii="宋体" w:eastAsia="宋体" w:hAnsi="宋体" w:hint="eastAsia"/>
      <w:b w:val="0"/>
      <w:bCs w:val="0"/>
      <w:i w:val="0"/>
      <w:iCs w:val="0"/>
      <w:color w:val="000000"/>
      <w:sz w:val="24"/>
      <w:szCs w:val="24"/>
    </w:rPr>
  </w:style>
  <w:style w:type="paragraph" w:styleId="a9">
    <w:name w:val="Normal (Web)"/>
    <w:basedOn w:val="a"/>
    <w:uiPriority w:val="99"/>
    <w:unhideWhenUsed/>
    <w:rsid w:val="00E34148"/>
    <w:pPr>
      <w:widowControl/>
      <w:spacing w:before="100" w:beforeAutospacing="1" w:after="100" w:afterAutospacing="1"/>
      <w:jc w:val="left"/>
    </w:pPr>
    <w:rPr>
      <w:rFonts w:ascii="宋体" w:hAnsi="宋体" w:cs="宋体"/>
      <w:kern w:val="0"/>
      <w:sz w:val="24"/>
    </w:rPr>
  </w:style>
  <w:style w:type="paragraph" w:styleId="a0">
    <w:name w:val="List Paragraph"/>
    <w:basedOn w:val="a"/>
    <w:uiPriority w:val="34"/>
    <w:qFormat/>
    <w:rsid w:val="00D36F38"/>
    <w:pPr>
      <w:ind w:firstLineChars="200" w:firstLine="420"/>
    </w:pPr>
  </w:style>
  <w:style w:type="paragraph" w:customStyle="1" w:styleId="000">
    <w:name w:val="000正文（招股书）"/>
    <w:link w:val="0000"/>
    <w:qFormat/>
    <w:rsid w:val="000F20D3"/>
    <w:pPr>
      <w:spacing w:beforeLines="50" w:before="120" w:afterLines="50" w:after="120" w:line="360" w:lineRule="auto"/>
      <w:ind w:firstLineChars="200" w:firstLine="480"/>
      <w:jc w:val="both"/>
    </w:pPr>
    <w:rPr>
      <w:rFonts w:cstheme="minorBidi"/>
      <w:kern w:val="2"/>
      <w:sz w:val="24"/>
      <w:szCs w:val="24"/>
    </w:rPr>
  </w:style>
  <w:style w:type="character" w:customStyle="1" w:styleId="0000">
    <w:name w:val="000正文（招股书） 字符"/>
    <w:basedOn w:val="a1"/>
    <w:link w:val="000"/>
    <w:qFormat/>
    <w:rsid w:val="000F20D3"/>
    <w:rPr>
      <w:rFonts w:cstheme="minorBidi"/>
      <w:kern w:val="2"/>
      <w:sz w:val="24"/>
      <w:szCs w:val="24"/>
    </w:rPr>
  </w:style>
  <w:style w:type="character" w:customStyle="1" w:styleId="1Char">
    <w:name w:val="标题 1 Char"/>
    <w:basedOn w:val="a1"/>
    <w:link w:val="1"/>
    <w:uiPriority w:val="99"/>
    <w:qFormat/>
    <w:rsid w:val="009136EA"/>
    <w:rPr>
      <w:rFonts w:eastAsia="楷体"/>
      <w:b/>
      <w:sz w:val="24"/>
      <w:szCs w:val="24"/>
    </w:rPr>
  </w:style>
  <w:style w:type="character" w:customStyle="1" w:styleId="2Char">
    <w:name w:val="标题 2 Char"/>
    <w:basedOn w:val="a1"/>
    <w:link w:val="2"/>
    <w:uiPriority w:val="99"/>
    <w:qFormat/>
    <w:rsid w:val="009136EA"/>
    <w:rPr>
      <w:rFonts w:eastAsia="楷体"/>
      <w:bCs/>
      <w:sz w:val="24"/>
      <w:szCs w:val="24"/>
      <w:lang w:val="en-GB"/>
    </w:rPr>
  </w:style>
  <w:style w:type="character" w:customStyle="1" w:styleId="3Char">
    <w:name w:val="标题 3 Char"/>
    <w:basedOn w:val="a1"/>
    <w:link w:val="3"/>
    <w:uiPriority w:val="99"/>
    <w:qFormat/>
    <w:rsid w:val="009136EA"/>
    <w:rPr>
      <w:rFonts w:eastAsia="楷体"/>
      <w:bCs/>
      <w:snapToGrid w:val="0"/>
      <w:sz w:val="24"/>
      <w:szCs w:val="24"/>
      <w:lang w:val="en-GB"/>
    </w:rPr>
  </w:style>
  <w:style w:type="character" w:customStyle="1" w:styleId="DeltaViewDeletion">
    <w:name w:val="DeltaView Deletion"/>
    <w:uiPriority w:val="99"/>
    <w:qFormat/>
    <w:rsid w:val="00016309"/>
    <w:rPr>
      <w:strike/>
      <w:color w:val="FF0000"/>
      <w:spacing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D1A"/>
    <w:pPr>
      <w:widowControl w:val="0"/>
      <w:jc w:val="both"/>
    </w:pPr>
    <w:rPr>
      <w:kern w:val="2"/>
      <w:sz w:val="21"/>
      <w:szCs w:val="24"/>
    </w:rPr>
  </w:style>
  <w:style w:type="paragraph" w:styleId="1">
    <w:name w:val="heading 1"/>
    <w:basedOn w:val="a0"/>
    <w:next w:val="a"/>
    <w:link w:val="1Char"/>
    <w:autoRedefine/>
    <w:uiPriority w:val="99"/>
    <w:qFormat/>
    <w:rsid w:val="009136EA"/>
    <w:pPr>
      <w:widowControl/>
      <w:numPr>
        <w:numId w:val="21"/>
      </w:numPr>
      <w:tabs>
        <w:tab w:val="left" w:pos="0"/>
        <w:tab w:val="left" w:pos="709"/>
      </w:tabs>
      <w:adjustRightInd w:val="0"/>
      <w:snapToGrid w:val="0"/>
      <w:spacing w:beforeLines="100" w:before="312" w:afterLines="100" w:after="312" w:line="360" w:lineRule="exact"/>
      <w:ind w:left="567" w:rightChars="35" w:right="84" w:firstLineChars="0" w:hanging="567"/>
      <w:jc w:val="center"/>
      <w:textAlignment w:val="baseline"/>
      <w:outlineLvl w:val="0"/>
    </w:pPr>
    <w:rPr>
      <w:rFonts w:eastAsia="楷体"/>
      <w:b/>
      <w:kern w:val="0"/>
      <w:sz w:val="24"/>
    </w:rPr>
  </w:style>
  <w:style w:type="paragraph" w:styleId="2">
    <w:name w:val="heading 2"/>
    <w:basedOn w:val="a0"/>
    <w:next w:val="a"/>
    <w:link w:val="2Char"/>
    <w:uiPriority w:val="99"/>
    <w:unhideWhenUsed/>
    <w:qFormat/>
    <w:rsid w:val="009136EA"/>
    <w:pPr>
      <w:widowControl/>
      <w:numPr>
        <w:ilvl w:val="1"/>
        <w:numId w:val="21"/>
      </w:numPr>
      <w:tabs>
        <w:tab w:val="left" w:pos="709"/>
      </w:tabs>
      <w:adjustRightInd w:val="0"/>
      <w:snapToGrid w:val="0"/>
      <w:spacing w:beforeLines="100" w:before="312" w:afterLines="100" w:after="312" w:line="360" w:lineRule="exact"/>
      <w:ind w:rightChars="100" w:right="240" w:firstLineChars="0" w:firstLine="0"/>
      <w:textAlignment w:val="baseline"/>
      <w:outlineLvl w:val="1"/>
    </w:pPr>
    <w:rPr>
      <w:rFonts w:eastAsia="楷体"/>
      <w:bCs/>
      <w:kern w:val="0"/>
      <w:sz w:val="24"/>
      <w:lang w:val="en-GB"/>
    </w:rPr>
  </w:style>
  <w:style w:type="paragraph" w:styleId="3">
    <w:name w:val="heading 3"/>
    <w:basedOn w:val="2"/>
    <w:next w:val="a"/>
    <w:link w:val="3Char"/>
    <w:autoRedefine/>
    <w:uiPriority w:val="9"/>
    <w:qFormat/>
    <w:rsid w:val="009136EA"/>
    <w:pPr>
      <w:numPr>
        <w:ilvl w:val="2"/>
      </w:numPr>
      <w:tabs>
        <w:tab w:val="clear" w:pos="709"/>
      </w:tabs>
      <w:ind w:left="709" w:hanging="709"/>
      <w:outlineLvl w:val="2"/>
    </w:pPr>
    <w:rPr>
      <w:snapToGrid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harCharCharCharCharChar1CharCharChar">
    <w:name w:val="Char Char Char Char Char Char1 Char Char Char"/>
    <w:basedOn w:val="a"/>
    <w:rsid w:val="00BB74AA"/>
    <w:pPr>
      <w:autoSpaceDE w:val="0"/>
      <w:autoSpaceDN w:val="0"/>
      <w:adjustRightInd w:val="0"/>
      <w:jc w:val="left"/>
      <w:textAlignment w:val="baseline"/>
    </w:pPr>
    <w:rPr>
      <w:rFonts w:ascii="宋体"/>
      <w:kern w:val="0"/>
      <w:sz w:val="34"/>
      <w:szCs w:val="20"/>
    </w:rPr>
  </w:style>
  <w:style w:type="paragraph" w:styleId="a4">
    <w:name w:val="Body Text Indent"/>
    <w:basedOn w:val="a"/>
    <w:rsid w:val="00BB74AA"/>
    <w:pPr>
      <w:spacing w:after="120"/>
      <w:ind w:leftChars="200" w:left="200"/>
    </w:pPr>
    <w:rPr>
      <w:rFonts w:ascii="宋体" w:hAnsi="宋体"/>
      <w:sz w:val="28"/>
    </w:rPr>
  </w:style>
  <w:style w:type="paragraph" w:styleId="20">
    <w:name w:val="Body Text Indent 2"/>
    <w:basedOn w:val="a"/>
    <w:rsid w:val="00BB74AA"/>
    <w:pPr>
      <w:spacing w:line="600" w:lineRule="exact"/>
      <w:ind w:firstLine="646"/>
    </w:pPr>
    <w:rPr>
      <w:rFonts w:ascii="仿宋_GB2312" w:eastAsia="仿宋_GB2312"/>
      <w:sz w:val="32"/>
      <w:szCs w:val="20"/>
    </w:rPr>
  </w:style>
  <w:style w:type="paragraph" w:styleId="a5">
    <w:name w:val="Balloon Text"/>
    <w:basedOn w:val="a"/>
    <w:semiHidden/>
    <w:rsid w:val="00304583"/>
    <w:rPr>
      <w:sz w:val="18"/>
      <w:szCs w:val="18"/>
    </w:rPr>
  </w:style>
  <w:style w:type="paragraph" w:customStyle="1" w:styleId="CM1">
    <w:name w:val="CM1"/>
    <w:basedOn w:val="a"/>
    <w:next w:val="a"/>
    <w:rsid w:val="009D52CF"/>
    <w:pPr>
      <w:autoSpaceDE w:val="0"/>
      <w:autoSpaceDN w:val="0"/>
      <w:adjustRightInd w:val="0"/>
    </w:pPr>
    <w:rPr>
      <w:rFonts w:ascii="黑体" w:eastAsia="黑体"/>
      <w:kern w:val="0"/>
      <w:sz w:val="24"/>
    </w:rPr>
  </w:style>
  <w:style w:type="paragraph" w:styleId="a6">
    <w:name w:val="header"/>
    <w:basedOn w:val="a"/>
    <w:link w:val="Char"/>
    <w:rsid w:val="00D40AF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D40AF1"/>
    <w:rPr>
      <w:kern w:val="2"/>
      <w:sz w:val="18"/>
      <w:szCs w:val="18"/>
    </w:rPr>
  </w:style>
  <w:style w:type="paragraph" w:styleId="a7">
    <w:name w:val="footer"/>
    <w:basedOn w:val="a"/>
    <w:link w:val="Char0"/>
    <w:uiPriority w:val="99"/>
    <w:rsid w:val="00D40AF1"/>
    <w:pPr>
      <w:tabs>
        <w:tab w:val="center" w:pos="4153"/>
        <w:tab w:val="right" w:pos="8306"/>
      </w:tabs>
      <w:snapToGrid w:val="0"/>
      <w:jc w:val="left"/>
    </w:pPr>
    <w:rPr>
      <w:sz w:val="18"/>
      <w:szCs w:val="18"/>
    </w:rPr>
  </w:style>
  <w:style w:type="character" w:customStyle="1" w:styleId="Char0">
    <w:name w:val="页脚 Char"/>
    <w:link w:val="a7"/>
    <w:uiPriority w:val="99"/>
    <w:rsid w:val="00D40AF1"/>
    <w:rPr>
      <w:kern w:val="2"/>
      <w:sz w:val="18"/>
      <w:szCs w:val="18"/>
    </w:rPr>
  </w:style>
  <w:style w:type="table" w:styleId="a8">
    <w:name w:val="Table Grid"/>
    <w:basedOn w:val="a2"/>
    <w:qFormat/>
    <w:rsid w:val="0016125E"/>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标题1"/>
    <w:basedOn w:val="a"/>
    <w:link w:val="1Char0"/>
    <w:uiPriority w:val="99"/>
    <w:rsid w:val="00C47F72"/>
    <w:pPr>
      <w:autoSpaceDE w:val="0"/>
      <w:autoSpaceDN w:val="0"/>
      <w:adjustRightInd w:val="0"/>
      <w:spacing w:beforeLines="50" w:afterLines="50" w:line="360" w:lineRule="auto"/>
      <w:ind w:firstLineChars="200" w:firstLine="482"/>
      <w:outlineLvl w:val="0"/>
    </w:pPr>
    <w:rPr>
      <w:rFonts w:ascii="宋体" w:hAnsi="Calibri"/>
      <w:b/>
      <w:bCs/>
      <w:kern w:val="0"/>
      <w:sz w:val="20"/>
      <w:szCs w:val="20"/>
    </w:rPr>
  </w:style>
  <w:style w:type="character" w:customStyle="1" w:styleId="1Char0">
    <w:name w:val="标题1 Char"/>
    <w:link w:val="10"/>
    <w:uiPriority w:val="99"/>
    <w:locked/>
    <w:rsid w:val="00C47F72"/>
    <w:rPr>
      <w:rFonts w:ascii="宋体" w:hAnsi="Calibri"/>
      <w:b/>
      <w:bCs/>
    </w:rPr>
  </w:style>
  <w:style w:type="paragraph" w:customStyle="1" w:styleId="21">
    <w:name w:val="正文2"/>
    <w:basedOn w:val="a"/>
    <w:link w:val="2Char0"/>
    <w:uiPriority w:val="99"/>
    <w:rsid w:val="00631E32"/>
    <w:pPr>
      <w:spacing w:beforeLines="50" w:afterLines="50" w:line="360" w:lineRule="auto"/>
      <w:ind w:firstLineChars="200" w:firstLine="480"/>
    </w:pPr>
    <w:rPr>
      <w:rFonts w:ascii="宋体" w:hAnsi="宋体"/>
      <w:kern w:val="0"/>
      <w:sz w:val="20"/>
      <w:szCs w:val="20"/>
    </w:rPr>
  </w:style>
  <w:style w:type="character" w:customStyle="1" w:styleId="2Char0">
    <w:name w:val="正文2 Char"/>
    <w:link w:val="21"/>
    <w:uiPriority w:val="99"/>
    <w:locked/>
    <w:rsid w:val="00631E32"/>
    <w:rPr>
      <w:rFonts w:ascii="宋体" w:hAnsi="宋体"/>
    </w:rPr>
  </w:style>
  <w:style w:type="character" w:customStyle="1" w:styleId="fontstyle01">
    <w:name w:val="fontstyle01"/>
    <w:rsid w:val="00300941"/>
    <w:rPr>
      <w:rFonts w:ascii="宋体" w:eastAsia="宋体" w:hAnsi="宋体" w:hint="eastAsia"/>
      <w:b w:val="0"/>
      <w:bCs w:val="0"/>
      <w:i w:val="0"/>
      <w:iCs w:val="0"/>
      <w:color w:val="000000"/>
      <w:sz w:val="24"/>
      <w:szCs w:val="24"/>
    </w:rPr>
  </w:style>
  <w:style w:type="paragraph" w:styleId="a9">
    <w:name w:val="Normal (Web)"/>
    <w:basedOn w:val="a"/>
    <w:uiPriority w:val="99"/>
    <w:unhideWhenUsed/>
    <w:rsid w:val="00E34148"/>
    <w:pPr>
      <w:widowControl/>
      <w:spacing w:before="100" w:beforeAutospacing="1" w:after="100" w:afterAutospacing="1"/>
      <w:jc w:val="left"/>
    </w:pPr>
    <w:rPr>
      <w:rFonts w:ascii="宋体" w:hAnsi="宋体" w:cs="宋体"/>
      <w:kern w:val="0"/>
      <w:sz w:val="24"/>
    </w:rPr>
  </w:style>
  <w:style w:type="paragraph" w:styleId="a0">
    <w:name w:val="List Paragraph"/>
    <w:basedOn w:val="a"/>
    <w:uiPriority w:val="34"/>
    <w:qFormat/>
    <w:rsid w:val="00D36F38"/>
    <w:pPr>
      <w:ind w:firstLineChars="200" w:firstLine="420"/>
    </w:pPr>
  </w:style>
  <w:style w:type="paragraph" w:customStyle="1" w:styleId="000">
    <w:name w:val="000正文（招股书）"/>
    <w:link w:val="0000"/>
    <w:qFormat/>
    <w:rsid w:val="000F20D3"/>
    <w:pPr>
      <w:spacing w:beforeLines="50" w:before="120" w:afterLines="50" w:after="120" w:line="360" w:lineRule="auto"/>
      <w:ind w:firstLineChars="200" w:firstLine="480"/>
      <w:jc w:val="both"/>
    </w:pPr>
    <w:rPr>
      <w:rFonts w:cstheme="minorBidi"/>
      <w:kern w:val="2"/>
      <w:sz w:val="24"/>
      <w:szCs w:val="24"/>
    </w:rPr>
  </w:style>
  <w:style w:type="character" w:customStyle="1" w:styleId="0000">
    <w:name w:val="000正文（招股书） 字符"/>
    <w:basedOn w:val="a1"/>
    <w:link w:val="000"/>
    <w:qFormat/>
    <w:rsid w:val="000F20D3"/>
    <w:rPr>
      <w:rFonts w:cstheme="minorBidi"/>
      <w:kern w:val="2"/>
      <w:sz w:val="24"/>
      <w:szCs w:val="24"/>
    </w:rPr>
  </w:style>
  <w:style w:type="character" w:customStyle="1" w:styleId="1Char">
    <w:name w:val="标题 1 Char"/>
    <w:basedOn w:val="a1"/>
    <w:link w:val="1"/>
    <w:uiPriority w:val="99"/>
    <w:qFormat/>
    <w:rsid w:val="009136EA"/>
    <w:rPr>
      <w:rFonts w:eastAsia="楷体"/>
      <w:b/>
      <w:sz w:val="24"/>
      <w:szCs w:val="24"/>
    </w:rPr>
  </w:style>
  <w:style w:type="character" w:customStyle="1" w:styleId="2Char">
    <w:name w:val="标题 2 Char"/>
    <w:basedOn w:val="a1"/>
    <w:link w:val="2"/>
    <w:uiPriority w:val="99"/>
    <w:qFormat/>
    <w:rsid w:val="009136EA"/>
    <w:rPr>
      <w:rFonts w:eastAsia="楷体"/>
      <w:bCs/>
      <w:sz w:val="24"/>
      <w:szCs w:val="24"/>
      <w:lang w:val="en-GB"/>
    </w:rPr>
  </w:style>
  <w:style w:type="character" w:customStyle="1" w:styleId="3Char">
    <w:name w:val="标题 3 Char"/>
    <w:basedOn w:val="a1"/>
    <w:link w:val="3"/>
    <w:uiPriority w:val="99"/>
    <w:qFormat/>
    <w:rsid w:val="009136EA"/>
    <w:rPr>
      <w:rFonts w:eastAsia="楷体"/>
      <w:bCs/>
      <w:snapToGrid w:val="0"/>
      <w:sz w:val="24"/>
      <w:szCs w:val="24"/>
      <w:lang w:val="en-GB"/>
    </w:rPr>
  </w:style>
  <w:style w:type="character" w:customStyle="1" w:styleId="DeltaViewDeletion">
    <w:name w:val="DeltaView Deletion"/>
    <w:uiPriority w:val="99"/>
    <w:qFormat/>
    <w:rsid w:val="00016309"/>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43686">
      <w:bodyDiv w:val="1"/>
      <w:marLeft w:val="0"/>
      <w:marRight w:val="0"/>
      <w:marTop w:val="0"/>
      <w:marBottom w:val="0"/>
      <w:divBdr>
        <w:top w:val="none" w:sz="0" w:space="0" w:color="auto"/>
        <w:left w:val="none" w:sz="0" w:space="0" w:color="auto"/>
        <w:bottom w:val="none" w:sz="0" w:space="0" w:color="auto"/>
        <w:right w:val="none" w:sz="0" w:space="0" w:color="auto"/>
      </w:divBdr>
    </w:div>
    <w:div w:id="321929730">
      <w:bodyDiv w:val="1"/>
      <w:marLeft w:val="0"/>
      <w:marRight w:val="0"/>
      <w:marTop w:val="0"/>
      <w:marBottom w:val="0"/>
      <w:divBdr>
        <w:top w:val="none" w:sz="0" w:space="0" w:color="auto"/>
        <w:left w:val="none" w:sz="0" w:space="0" w:color="auto"/>
        <w:bottom w:val="none" w:sz="0" w:space="0" w:color="auto"/>
        <w:right w:val="none" w:sz="0" w:space="0" w:color="auto"/>
      </w:divBdr>
    </w:div>
    <w:div w:id="484905474">
      <w:bodyDiv w:val="1"/>
      <w:marLeft w:val="0"/>
      <w:marRight w:val="0"/>
      <w:marTop w:val="0"/>
      <w:marBottom w:val="0"/>
      <w:divBdr>
        <w:top w:val="none" w:sz="0" w:space="0" w:color="auto"/>
        <w:left w:val="none" w:sz="0" w:space="0" w:color="auto"/>
        <w:bottom w:val="none" w:sz="0" w:space="0" w:color="auto"/>
        <w:right w:val="none" w:sz="0" w:space="0" w:color="auto"/>
      </w:divBdr>
    </w:div>
    <w:div w:id="718164734">
      <w:bodyDiv w:val="1"/>
      <w:marLeft w:val="0"/>
      <w:marRight w:val="0"/>
      <w:marTop w:val="0"/>
      <w:marBottom w:val="0"/>
      <w:divBdr>
        <w:top w:val="none" w:sz="0" w:space="0" w:color="auto"/>
        <w:left w:val="none" w:sz="0" w:space="0" w:color="auto"/>
        <w:bottom w:val="none" w:sz="0" w:space="0" w:color="auto"/>
        <w:right w:val="none" w:sz="0" w:space="0" w:color="auto"/>
      </w:divBdr>
    </w:div>
    <w:div w:id="731732078">
      <w:bodyDiv w:val="1"/>
      <w:marLeft w:val="0"/>
      <w:marRight w:val="0"/>
      <w:marTop w:val="0"/>
      <w:marBottom w:val="0"/>
      <w:divBdr>
        <w:top w:val="none" w:sz="0" w:space="0" w:color="auto"/>
        <w:left w:val="none" w:sz="0" w:space="0" w:color="auto"/>
        <w:bottom w:val="none" w:sz="0" w:space="0" w:color="auto"/>
        <w:right w:val="none" w:sz="0" w:space="0" w:color="auto"/>
      </w:divBdr>
    </w:div>
    <w:div w:id="795024216">
      <w:bodyDiv w:val="1"/>
      <w:marLeft w:val="0"/>
      <w:marRight w:val="0"/>
      <w:marTop w:val="0"/>
      <w:marBottom w:val="0"/>
      <w:divBdr>
        <w:top w:val="none" w:sz="0" w:space="0" w:color="auto"/>
        <w:left w:val="none" w:sz="0" w:space="0" w:color="auto"/>
        <w:bottom w:val="none" w:sz="0" w:space="0" w:color="auto"/>
        <w:right w:val="none" w:sz="0" w:space="0" w:color="auto"/>
      </w:divBdr>
    </w:div>
    <w:div w:id="1275821837">
      <w:bodyDiv w:val="1"/>
      <w:marLeft w:val="0"/>
      <w:marRight w:val="0"/>
      <w:marTop w:val="0"/>
      <w:marBottom w:val="0"/>
      <w:divBdr>
        <w:top w:val="none" w:sz="0" w:space="0" w:color="auto"/>
        <w:left w:val="none" w:sz="0" w:space="0" w:color="auto"/>
        <w:bottom w:val="none" w:sz="0" w:space="0" w:color="auto"/>
        <w:right w:val="none" w:sz="0" w:space="0" w:color="auto"/>
      </w:divBdr>
    </w:div>
    <w:div w:id="1620645458">
      <w:bodyDiv w:val="1"/>
      <w:marLeft w:val="0"/>
      <w:marRight w:val="0"/>
      <w:marTop w:val="0"/>
      <w:marBottom w:val="0"/>
      <w:divBdr>
        <w:top w:val="none" w:sz="0" w:space="0" w:color="auto"/>
        <w:left w:val="none" w:sz="0" w:space="0" w:color="auto"/>
        <w:bottom w:val="none" w:sz="0" w:space="0" w:color="auto"/>
        <w:right w:val="none" w:sz="0" w:space="0" w:color="auto"/>
      </w:divBdr>
    </w:div>
    <w:div w:id="1627855538">
      <w:bodyDiv w:val="1"/>
      <w:marLeft w:val="0"/>
      <w:marRight w:val="0"/>
      <w:marTop w:val="0"/>
      <w:marBottom w:val="0"/>
      <w:divBdr>
        <w:top w:val="none" w:sz="0" w:space="0" w:color="auto"/>
        <w:left w:val="none" w:sz="0" w:space="0" w:color="auto"/>
        <w:bottom w:val="none" w:sz="0" w:space="0" w:color="auto"/>
        <w:right w:val="none" w:sz="0" w:space="0" w:color="auto"/>
      </w:divBdr>
    </w:div>
    <w:div w:id="1653101147">
      <w:bodyDiv w:val="1"/>
      <w:marLeft w:val="0"/>
      <w:marRight w:val="0"/>
      <w:marTop w:val="0"/>
      <w:marBottom w:val="0"/>
      <w:divBdr>
        <w:top w:val="none" w:sz="0" w:space="0" w:color="auto"/>
        <w:left w:val="none" w:sz="0" w:space="0" w:color="auto"/>
        <w:bottom w:val="none" w:sz="0" w:space="0" w:color="auto"/>
        <w:right w:val="none" w:sz="0" w:space="0" w:color="auto"/>
      </w:divBdr>
    </w:div>
    <w:div w:id="1669869172">
      <w:bodyDiv w:val="1"/>
      <w:marLeft w:val="0"/>
      <w:marRight w:val="0"/>
      <w:marTop w:val="0"/>
      <w:marBottom w:val="0"/>
      <w:divBdr>
        <w:top w:val="none" w:sz="0" w:space="0" w:color="auto"/>
        <w:left w:val="none" w:sz="0" w:space="0" w:color="auto"/>
        <w:bottom w:val="none" w:sz="0" w:space="0" w:color="auto"/>
        <w:right w:val="none" w:sz="0" w:space="0" w:color="auto"/>
      </w:divBdr>
      <w:divsChild>
        <w:div w:id="619921111">
          <w:marLeft w:val="0"/>
          <w:marRight w:val="225"/>
          <w:marTop w:val="0"/>
          <w:marBottom w:val="0"/>
          <w:divBdr>
            <w:top w:val="none" w:sz="0" w:space="0" w:color="auto"/>
            <w:left w:val="none" w:sz="0" w:space="0" w:color="auto"/>
            <w:bottom w:val="none" w:sz="0" w:space="0" w:color="auto"/>
            <w:right w:val="none" w:sz="0" w:space="0" w:color="auto"/>
          </w:divBdr>
          <w:divsChild>
            <w:div w:id="603613786">
              <w:marLeft w:val="0"/>
              <w:marRight w:val="0"/>
              <w:marTop w:val="0"/>
              <w:marBottom w:val="0"/>
              <w:divBdr>
                <w:top w:val="none" w:sz="0" w:space="0" w:color="auto"/>
                <w:left w:val="none" w:sz="0" w:space="0" w:color="auto"/>
                <w:bottom w:val="none" w:sz="0" w:space="0" w:color="auto"/>
                <w:right w:val="none" w:sz="0" w:space="0" w:color="auto"/>
              </w:divBdr>
            </w:div>
          </w:divsChild>
        </w:div>
        <w:div w:id="2083597966">
          <w:marLeft w:val="0"/>
          <w:marRight w:val="0"/>
          <w:marTop w:val="0"/>
          <w:marBottom w:val="0"/>
          <w:divBdr>
            <w:top w:val="none" w:sz="0" w:space="0" w:color="auto"/>
            <w:left w:val="none" w:sz="0" w:space="0" w:color="auto"/>
            <w:bottom w:val="none" w:sz="0" w:space="0" w:color="auto"/>
            <w:right w:val="none" w:sz="0" w:space="0" w:color="auto"/>
          </w:divBdr>
          <w:divsChild>
            <w:div w:id="20611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98866">
      <w:bodyDiv w:val="1"/>
      <w:marLeft w:val="0"/>
      <w:marRight w:val="0"/>
      <w:marTop w:val="0"/>
      <w:marBottom w:val="0"/>
      <w:divBdr>
        <w:top w:val="none" w:sz="0" w:space="0" w:color="auto"/>
        <w:left w:val="none" w:sz="0" w:space="0" w:color="auto"/>
        <w:bottom w:val="none" w:sz="0" w:space="0" w:color="auto"/>
        <w:right w:val="none" w:sz="0" w:space="0" w:color="auto"/>
      </w:divBdr>
    </w:div>
    <w:div w:id="2144810796">
      <w:bodyDiv w:val="1"/>
      <w:marLeft w:val="0"/>
      <w:marRight w:val="0"/>
      <w:marTop w:val="0"/>
      <w:marBottom w:val="0"/>
      <w:divBdr>
        <w:top w:val="none" w:sz="0" w:space="0" w:color="auto"/>
        <w:left w:val="none" w:sz="0" w:space="0" w:color="auto"/>
        <w:bottom w:val="none" w:sz="0" w:space="0" w:color="auto"/>
        <w:right w:val="none" w:sz="0" w:space="0" w:color="auto"/>
      </w:divBdr>
      <w:divsChild>
        <w:div w:id="615714547">
          <w:marLeft w:val="0"/>
          <w:marRight w:val="225"/>
          <w:marTop w:val="0"/>
          <w:marBottom w:val="0"/>
          <w:divBdr>
            <w:top w:val="none" w:sz="0" w:space="0" w:color="auto"/>
            <w:left w:val="none" w:sz="0" w:space="0" w:color="auto"/>
            <w:bottom w:val="none" w:sz="0" w:space="0" w:color="auto"/>
            <w:right w:val="none" w:sz="0" w:space="0" w:color="auto"/>
          </w:divBdr>
        </w:div>
        <w:div w:id="1144276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1992</TotalTime>
  <Pages>12</Pages>
  <Words>1326</Words>
  <Characters>7564</Characters>
  <Application>Microsoft Office Word</Application>
  <DocSecurity>0</DocSecurity>
  <Lines>63</Lines>
  <Paragraphs>17</Paragraphs>
  <ScaleCrop>false</ScaleCrop>
  <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华西股份</dc:title>
  <dc:creator>zbc1</dc:creator>
  <cp:lastModifiedBy>Lenovo</cp:lastModifiedBy>
  <cp:revision>51</cp:revision>
  <cp:lastPrinted>2024-06-22T01:25:00Z</cp:lastPrinted>
  <dcterms:created xsi:type="dcterms:W3CDTF">2023-12-25T02:52:00Z</dcterms:created>
  <dcterms:modified xsi:type="dcterms:W3CDTF">2025-06-13T11:59:00Z</dcterms:modified>
</cp:coreProperties>
</file>