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A5" w:rsidRDefault="001114A2" w:rsidP="0006197B">
      <w:pPr>
        <w:spacing w:before="200" w:after="200" w:line="560" w:lineRule="exact"/>
        <w:jc w:val="center"/>
        <w:rPr>
          <w:rFonts w:ascii="宋体" w:eastAsia="宋体" w:hAnsi="宋体" w:cs="宋体"/>
          <w:szCs w:val="21"/>
        </w:rPr>
      </w:pPr>
      <w:r w:rsidRPr="0006197B">
        <w:rPr>
          <w:rFonts w:ascii="宋体" w:eastAsia="宋体" w:hAnsi="宋体" w:cs="宋体"/>
          <w:szCs w:val="21"/>
        </w:rPr>
        <w:t xml:space="preserve">证券代码：000936     </w:t>
      </w:r>
      <w:r w:rsidR="0006197B">
        <w:rPr>
          <w:rFonts w:ascii="宋体" w:eastAsia="宋体" w:hAnsi="宋体" w:cs="宋体" w:hint="eastAsia"/>
          <w:szCs w:val="21"/>
        </w:rPr>
        <w:t xml:space="preserve"> </w:t>
      </w:r>
      <w:r w:rsidRPr="0006197B">
        <w:rPr>
          <w:rFonts w:ascii="宋体" w:eastAsia="宋体" w:hAnsi="宋体" w:cs="宋体"/>
          <w:szCs w:val="21"/>
        </w:rPr>
        <w:t xml:space="preserve"> </w:t>
      </w:r>
      <w:r w:rsidR="0006197B">
        <w:rPr>
          <w:rFonts w:ascii="宋体" w:eastAsia="宋体" w:hAnsi="宋体" w:cs="宋体" w:hint="eastAsia"/>
          <w:szCs w:val="21"/>
        </w:rPr>
        <w:t xml:space="preserve"> </w:t>
      </w:r>
      <w:r w:rsidRPr="0006197B">
        <w:rPr>
          <w:rFonts w:ascii="宋体" w:eastAsia="宋体" w:hAnsi="宋体" w:cs="宋体"/>
          <w:szCs w:val="21"/>
        </w:rPr>
        <w:t xml:space="preserve">       证券简称：华西股份  </w:t>
      </w:r>
      <w:r w:rsidR="0006197B">
        <w:rPr>
          <w:rFonts w:ascii="宋体" w:eastAsia="宋体" w:hAnsi="宋体" w:cs="宋体" w:hint="eastAsia"/>
          <w:szCs w:val="21"/>
        </w:rPr>
        <w:t xml:space="preserve"> </w:t>
      </w:r>
      <w:r w:rsidRPr="0006197B">
        <w:rPr>
          <w:rFonts w:ascii="宋体" w:eastAsia="宋体" w:hAnsi="宋体" w:cs="宋体"/>
          <w:szCs w:val="21"/>
        </w:rPr>
        <w:t xml:space="preserve">         公告编号：2025-008</w:t>
      </w:r>
    </w:p>
    <w:p w:rsidR="0006197B" w:rsidRPr="0006197B" w:rsidRDefault="0006197B" w:rsidP="0006197B">
      <w:pPr>
        <w:spacing w:before="200" w:after="200"/>
        <w:jc w:val="center"/>
        <w:rPr>
          <w:rFonts w:ascii="宋体" w:eastAsia="宋体" w:hAnsi="宋体" w:cs="宋体"/>
          <w:szCs w:val="21"/>
        </w:rPr>
      </w:pPr>
    </w:p>
    <w:p w:rsidR="004052A5" w:rsidRDefault="001114A2">
      <w:pPr>
        <w:spacing w:after="1000"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江苏华西村股份有限公司2024年年度报告摘要</w:t>
      </w:r>
    </w:p>
    <w:p w:rsidR="004052A5" w:rsidRDefault="001114A2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0" w:name="_Toc988889"/>
      <w:r>
        <w:rPr>
          <w:rFonts w:ascii="宋体" w:eastAsia="宋体" w:hAnsi="宋体" w:cs="宋体"/>
          <w:b/>
          <w:bCs/>
          <w:sz w:val="24"/>
          <w:szCs w:val="24"/>
        </w:rPr>
        <w:t>一、重要提示</w:t>
      </w:r>
      <w:bookmarkEnd w:id="0"/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本年度报告摘要来自年度报告全文，为全面了解本公司的经营成果、财务状况及未来发展规划，投资者应当到证监会指定媒体仔细阅读年度报告全文。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所有董事均</w:t>
      </w:r>
      <w:proofErr w:type="gramStart"/>
      <w:r>
        <w:rPr>
          <w:rFonts w:ascii="宋体" w:eastAsia="宋体" w:hAnsi="宋体" w:cs="宋体"/>
          <w:sz w:val="18"/>
          <w:szCs w:val="18"/>
        </w:rPr>
        <w:t>已出席</w:t>
      </w:r>
      <w:proofErr w:type="gramEnd"/>
      <w:r>
        <w:rPr>
          <w:rFonts w:ascii="宋体" w:eastAsia="宋体" w:hAnsi="宋体" w:cs="宋体"/>
          <w:sz w:val="18"/>
          <w:szCs w:val="18"/>
        </w:rPr>
        <w:t>了审议本报告的董事会会议。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非标准审计意见提示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□适用</w:t>
      </w:r>
      <w:bookmarkStart w:id="1" w:name="OLE_LINK30"/>
      <w:bookmarkStart w:id="2" w:name="OLE_LINK31"/>
      <w:r>
        <w:rPr>
          <w:rFonts w:ascii="宋体" w:eastAsia="宋体" w:hAnsi="宋体" w:cs="宋体"/>
          <w:sz w:val="18"/>
          <w:szCs w:val="18"/>
        </w:rPr>
        <w:t xml:space="preserve">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bookmarkEnd w:id="1"/>
    <w:bookmarkEnd w:id="2"/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董事会审议的报告期利润分配预案或公积金转增股本预案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适用 □不适用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是否以公积金转增股本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□是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否</w:t>
      </w:r>
    </w:p>
    <w:p w:rsidR="004052A5" w:rsidRDefault="001114A2" w:rsidP="0006197B">
      <w:pPr>
        <w:adjustRightInd w:val="0"/>
        <w:snapToGrid w:val="0"/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公司经本次董事会审议通过的利润分配预案为：以886,012,887为基数，向全体股东每10股派发现金红利0.2元（含税），送红股0股（含税），不以公积金转增股本。</w:t>
      </w:r>
    </w:p>
    <w:p w:rsidR="004052A5" w:rsidRDefault="001114A2" w:rsidP="0006197B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董事会决议通过的本报告期优先股利润分配预案</w:t>
      </w:r>
    </w:p>
    <w:p w:rsidR="00294F8E" w:rsidRDefault="001114A2" w:rsidP="00294F8E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bookmarkStart w:id="3" w:name="_Toc988890"/>
      <w:r w:rsidR="00294F8E">
        <w:rPr>
          <w:rFonts w:ascii="宋体" w:eastAsia="宋体" w:hAnsi="宋体" w:cs="宋体" w:hint="eastAsia"/>
          <w:sz w:val="18"/>
          <w:szCs w:val="18"/>
        </w:rPr>
        <w:t xml:space="preserve"> </w:t>
      </w:r>
      <w:r w:rsidR="00294F8E">
        <w:rPr>
          <w:rFonts w:ascii="宋体" w:eastAsia="宋体" w:hAnsi="宋体" w:cs="宋体"/>
          <w:sz w:val="18"/>
          <w:szCs w:val="18"/>
        </w:rPr>
        <w:sym w:font="Wingdings 2" w:char="F052"/>
      </w:r>
      <w:r w:rsidR="00294F8E">
        <w:rPr>
          <w:rFonts w:ascii="宋体" w:eastAsia="宋体" w:hAnsi="宋体" w:cs="宋体" w:hint="eastAsia"/>
          <w:sz w:val="18"/>
          <w:szCs w:val="18"/>
        </w:rPr>
        <w:t>不适用</w:t>
      </w:r>
    </w:p>
    <w:p w:rsidR="00294F8E" w:rsidRDefault="00294F8E" w:rsidP="00294F8E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</w:p>
    <w:p w:rsidR="004052A5" w:rsidRDefault="001114A2" w:rsidP="00294F8E">
      <w:pPr>
        <w:adjustRightInd w:val="0"/>
        <w:snapToGrid w:val="0"/>
        <w:spacing w:before="100" w:after="100" w:line="276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二、公司基本情况</w:t>
      </w:r>
      <w:bookmarkEnd w:id="3"/>
    </w:p>
    <w:p w:rsidR="004052A5" w:rsidRDefault="001114A2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4" w:name="_Toc988891"/>
      <w:r>
        <w:rPr>
          <w:rFonts w:ascii="宋体" w:hAnsi="宋体" w:cs="宋体"/>
          <w:b/>
          <w:bCs/>
        </w:rPr>
        <w:t>1、公司简介</w:t>
      </w:r>
      <w:bookmarkEnd w:id="4"/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1480"/>
        <w:gridCol w:w="1480"/>
        <w:gridCol w:w="1480"/>
      </w:tblGrid>
      <w:tr w:rsidR="004052A5" w:rsidTr="00DF19CA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股票简称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华西股份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股票代码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000936</w:t>
            </w:r>
          </w:p>
        </w:tc>
      </w:tr>
      <w:tr w:rsidR="004052A5" w:rsidTr="00DF19CA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股票上市交易所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深圳证券交易所</w:t>
            </w:r>
          </w:p>
        </w:tc>
      </w:tr>
      <w:tr w:rsidR="00DF19CA" w:rsidTr="00DF19CA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联系人和联系方式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董事会秘书</w:t>
            </w:r>
          </w:p>
        </w:tc>
      </w:tr>
      <w:tr w:rsidR="00DF19CA" w:rsidTr="00366D11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9CA" w:rsidRDefault="00DF19CA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王学良</w:t>
            </w:r>
          </w:p>
        </w:tc>
      </w:tr>
      <w:tr w:rsidR="00DF19CA" w:rsidTr="00972FC4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办公地址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9CA" w:rsidRDefault="00DF19CA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江苏省江阴市华士镇华西工业园</w:t>
            </w: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泾浜</w:t>
            </w:r>
            <w:proofErr w:type="gramEnd"/>
            <w:r>
              <w:rPr>
                <w:rFonts w:ascii="宋体" w:eastAsia="宋体" w:hAnsi="宋体" w:cs="宋体"/>
                <w:sz w:val="18"/>
                <w:szCs w:val="18"/>
              </w:rPr>
              <w:t>路88号</w:t>
            </w:r>
          </w:p>
        </w:tc>
      </w:tr>
      <w:tr w:rsidR="00DF19CA" w:rsidTr="00AE0E3D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传真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9CA" w:rsidRDefault="00DF19CA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0510-86217177</w:t>
            </w:r>
          </w:p>
        </w:tc>
      </w:tr>
      <w:tr w:rsidR="00DF19CA" w:rsidTr="003963DE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9CA" w:rsidRDefault="00DF19CA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0510-86217188</w:t>
            </w:r>
          </w:p>
        </w:tc>
      </w:tr>
      <w:tr w:rsidR="00DF19CA" w:rsidTr="00753E5D">
        <w:trPr>
          <w:trHeight w:val="240"/>
        </w:trPr>
        <w:tc>
          <w:tcPr>
            <w:tcW w:w="5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F19CA" w:rsidRDefault="00DF19CA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电子信箱</w:t>
            </w:r>
          </w:p>
        </w:tc>
        <w:tc>
          <w:tcPr>
            <w:tcW w:w="4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9CA" w:rsidRDefault="00DF19CA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wangxl@cnhuaxicun.com</w:t>
            </w:r>
          </w:p>
        </w:tc>
      </w:tr>
    </w:tbl>
    <w:p w:rsidR="004052A5" w:rsidRDefault="001114A2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5" w:name="_Toc988892"/>
      <w:r>
        <w:rPr>
          <w:rFonts w:ascii="宋体" w:hAnsi="宋体" w:cs="宋体"/>
          <w:b/>
          <w:bCs/>
        </w:rPr>
        <w:t>2、报告期主要业务或产品简介</w:t>
      </w:r>
      <w:bookmarkEnd w:id="5"/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1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Style w:val="a4"/>
          <w:rFonts w:cs="Calibri" w:hint="eastAsia"/>
          <w:sz w:val="18"/>
          <w:szCs w:val="18"/>
        </w:rPr>
        <w:t>（一）公司主要业务情况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公司主要从事涤纶化纤的研发、生产和销售，石化仓储物流服务。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1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Style w:val="a4"/>
          <w:rFonts w:cs="Calibri" w:hint="eastAsia"/>
          <w:sz w:val="18"/>
          <w:szCs w:val="18"/>
        </w:rPr>
        <w:t>1、涤纶化纤业务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lastRenderedPageBreak/>
        <w:t>公司化纤产品主要为涤纶短纤维，主要包括水刺专用涤纶短纤维、半消光涤纶短纤维、有光涤纶短纤维、荧光增白涤纶短纤维等。水刺专用涤纶短纤维主要应用于水刺、针刺等设备，最终产品被广泛应用到卫材、医疗和擦拭，汽车、过滤、皮革和工程基建等领域。半消光涤纶短纤维、有光涤纶短纤维、荧光增白涤纶短纤维等主要用于纺织行业，单独纺纱或与棉、粘胶纤维、麻、毛、维纶等混纺，所得纱线用于服饰纺织、家装面料等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</w:pPr>
      <w:r>
        <w:rPr>
          <w:rStyle w:val="a4"/>
          <w:rFonts w:hint="eastAsia"/>
          <w:sz w:val="18"/>
          <w:szCs w:val="18"/>
        </w:rPr>
        <w:t>2、石化仓储业务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</w:pPr>
      <w:r>
        <w:rPr>
          <w:rFonts w:hint="eastAsia"/>
          <w:sz w:val="18"/>
          <w:szCs w:val="18"/>
        </w:rPr>
        <w:t>公司的石化仓储业务主要由全资子公司江阴华西化工码头有限公司（以下简称“华西码头”）开展。华西码头位于苏、锡、常化工企业中心区，紧邻长江、连接京杭大运河，顺长江而上可直达长江中上游主要城市，地理位置优越，是长三角石化物流基地的重要国际港口口岸。华西码头仓储总容量达30万立方米，可接卸苯类、醇类、酸类等五十多种化工品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</w:pPr>
      <w:r>
        <w:rPr>
          <w:rFonts w:hint="eastAsia"/>
          <w:sz w:val="18"/>
          <w:szCs w:val="18"/>
        </w:rPr>
        <w:t>公司石化物流仓储业务主要为客户提供液态化工品的码头装卸、仓储、驳运中转、管道运输等服务。客户将其采购的化工品存储在公司的储罐中，公司为其提供仓储物流服务并收取服务费。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</w:pPr>
      <w:r>
        <w:rPr>
          <w:rStyle w:val="a4"/>
          <w:rFonts w:hint="eastAsia"/>
          <w:sz w:val="18"/>
          <w:szCs w:val="18"/>
        </w:rPr>
        <w:t> 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Style w:val="a4"/>
          <w:rFonts w:cs="Calibri" w:hint="eastAsia"/>
          <w:sz w:val="18"/>
          <w:szCs w:val="18"/>
        </w:rPr>
        <w:t>（二）行业发展状况及总体供求趋势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根据中国证监会发布的《上市公司行业分类指引》，公司的行业分类为化学纤维制造业。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截至2024年，涤纶短纤维全国年产能达到1,035.5万吨。但下游消费增速不及供应增速，短</w:t>
      </w:r>
      <w:proofErr w:type="gramStart"/>
      <w:r>
        <w:rPr>
          <w:rFonts w:cs="Calibri" w:hint="eastAsia"/>
          <w:sz w:val="18"/>
          <w:szCs w:val="18"/>
        </w:rPr>
        <w:t>纤</w:t>
      </w:r>
      <w:proofErr w:type="gramEnd"/>
      <w:r>
        <w:rPr>
          <w:rFonts w:cs="Calibri" w:hint="eastAsia"/>
          <w:sz w:val="18"/>
          <w:szCs w:val="18"/>
        </w:rPr>
        <w:t>行业供需失衡问题逐渐突出，行业加工费逐步下滑，尤其是2024年上半年，行业平均加工费815.76元/吨，亏损形势较为严峻；但下半年开始，受供应端的减产和下游端的补库影响，短</w:t>
      </w:r>
      <w:proofErr w:type="gramStart"/>
      <w:r>
        <w:rPr>
          <w:rFonts w:cs="Calibri" w:hint="eastAsia"/>
          <w:sz w:val="18"/>
          <w:szCs w:val="18"/>
        </w:rPr>
        <w:t>纤</w:t>
      </w:r>
      <w:proofErr w:type="gramEnd"/>
      <w:r>
        <w:rPr>
          <w:rFonts w:cs="Calibri" w:hint="eastAsia"/>
          <w:sz w:val="18"/>
          <w:szCs w:val="18"/>
        </w:rPr>
        <w:t>现货流动性逐步收紧，行业加工费和</w:t>
      </w:r>
      <w:proofErr w:type="gramStart"/>
      <w:r>
        <w:rPr>
          <w:rFonts w:cs="Calibri" w:hint="eastAsia"/>
          <w:sz w:val="18"/>
          <w:szCs w:val="18"/>
        </w:rPr>
        <w:t>基差</w:t>
      </w:r>
      <w:proofErr w:type="gramEnd"/>
      <w:r>
        <w:rPr>
          <w:rFonts w:cs="Calibri" w:hint="eastAsia"/>
          <w:sz w:val="18"/>
          <w:szCs w:val="18"/>
        </w:rPr>
        <w:t>快速向上修复，9月11日行业加工费达到1,614.83元/吨，创下了年内单日加工费最高值。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展望2025年，涤纶短纤维行业暂无新的大规模投产计划，且剔除部分长停装置后，预计2025年行业有效产能为983.5万吨/年，同比下滑5.02%。综合预计，2025年短</w:t>
      </w:r>
      <w:proofErr w:type="gramStart"/>
      <w:r>
        <w:rPr>
          <w:rFonts w:cs="Calibri" w:hint="eastAsia"/>
          <w:sz w:val="18"/>
          <w:szCs w:val="18"/>
        </w:rPr>
        <w:t>纤</w:t>
      </w:r>
      <w:proofErr w:type="gramEnd"/>
      <w:r>
        <w:rPr>
          <w:rFonts w:cs="Calibri" w:hint="eastAsia"/>
          <w:sz w:val="18"/>
          <w:szCs w:val="18"/>
        </w:rPr>
        <w:t>行业供需水平或维持相对平衡状态。此外，从政策考虑，国内外货币政策趋向宽松的预期或对价格起到一定利好提振；但若欧佩克停止减产甚至增产的预期下，明年油价或存一定下行预期，作为石油的衍生品，聚酯短</w:t>
      </w:r>
      <w:proofErr w:type="gramStart"/>
      <w:r>
        <w:rPr>
          <w:rFonts w:cs="Calibri" w:hint="eastAsia"/>
          <w:sz w:val="18"/>
          <w:szCs w:val="18"/>
        </w:rPr>
        <w:t>纤</w:t>
      </w:r>
      <w:proofErr w:type="gramEnd"/>
      <w:r>
        <w:rPr>
          <w:rFonts w:cs="Calibri" w:hint="eastAsia"/>
          <w:sz w:val="18"/>
          <w:szCs w:val="18"/>
        </w:rPr>
        <w:t>绝对价格将受到影响；同时上下游产品间投产时间和力度上的错配，也使得产业链间利润发生变化，预计2025年短</w:t>
      </w:r>
      <w:proofErr w:type="gramStart"/>
      <w:r>
        <w:rPr>
          <w:rFonts w:cs="Calibri" w:hint="eastAsia"/>
          <w:sz w:val="18"/>
          <w:szCs w:val="18"/>
        </w:rPr>
        <w:t>纤</w:t>
      </w:r>
      <w:proofErr w:type="gramEnd"/>
      <w:r>
        <w:rPr>
          <w:rFonts w:cs="Calibri" w:hint="eastAsia"/>
          <w:sz w:val="18"/>
          <w:szCs w:val="18"/>
        </w:rPr>
        <w:t>利润或相对2024年好转，绝对价格则受原油影响或低位运行。（</w:t>
      </w:r>
      <w:proofErr w:type="gramStart"/>
      <w:r>
        <w:rPr>
          <w:rFonts w:cs="Calibri" w:hint="eastAsia"/>
          <w:sz w:val="18"/>
          <w:szCs w:val="18"/>
        </w:rPr>
        <w:t>来源于隆众资讯</w:t>
      </w:r>
      <w:proofErr w:type="gramEnd"/>
      <w:r>
        <w:rPr>
          <w:rFonts w:cs="Calibri" w:hint="eastAsia"/>
          <w:sz w:val="18"/>
          <w:szCs w:val="18"/>
        </w:rPr>
        <w:t>）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 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Style w:val="a4"/>
          <w:rFonts w:cs="Calibri" w:hint="eastAsia"/>
          <w:sz w:val="18"/>
          <w:szCs w:val="18"/>
        </w:rPr>
        <w:t>（三）所属行业情况及公司地位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公司所处的化纤行业属于国计民生的基础性行业，行业受国际油价、行业产能变化、原材料价格、市场需求等因素影响较大。</w:t>
      </w:r>
    </w:p>
    <w:p w:rsidR="00751EEB" w:rsidRDefault="001114A2" w:rsidP="0006197B">
      <w:pPr>
        <w:pStyle w:val="a3"/>
        <w:spacing w:before="40" w:beforeAutospacing="0" w:after="40" w:afterAutospacing="0" w:line="276" w:lineRule="auto"/>
        <w:ind w:firstLine="360"/>
        <w:jc w:val="both"/>
        <w:divId w:val="1310094481"/>
        <w:rPr>
          <w:rFonts w:ascii="Calibri" w:hAnsi="Calibri" w:cs="Calibri"/>
          <w:sz w:val="21"/>
          <w:szCs w:val="21"/>
        </w:rPr>
      </w:pPr>
      <w:r>
        <w:rPr>
          <w:rFonts w:cs="Calibri" w:hint="eastAsia"/>
          <w:sz w:val="18"/>
          <w:szCs w:val="18"/>
        </w:rPr>
        <w:t>报告期内，公司参与了《化学纤维短纤维色度色差试验方法》等多项国家、行业标准的制定工作，被中国化学纤维工业协会推荐为2024年度标准化建设先进企业。通过深入推进标准化建设，进一步提升了公司在行业中的影响力和竞争力。</w:t>
      </w:r>
    </w:p>
    <w:p w:rsidR="004052A5" w:rsidRDefault="001114A2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6" w:name="_Toc988893"/>
      <w:r>
        <w:rPr>
          <w:rFonts w:ascii="宋体" w:hAnsi="宋体" w:cs="宋体"/>
          <w:b/>
          <w:bCs/>
        </w:rPr>
        <w:t>3、主要会计数据和财务指标</w:t>
      </w:r>
      <w:bookmarkEnd w:id="6"/>
    </w:p>
    <w:p w:rsidR="004052A5" w:rsidRDefault="001114A2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18"/>
          <w:szCs w:val="18"/>
        </w:rPr>
      </w:pPr>
      <w:bookmarkStart w:id="7" w:name="_Toc988894"/>
      <w:r>
        <w:rPr>
          <w:rFonts w:ascii="宋体" w:eastAsia="宋体" w:hAnsi="宋体" w:cs="宋体"/>
          <w:b/>
          <w:bCs/>
          <w:sz w:val="18"/>
          <w:szCs w:val="18"/>
        </w:rPr>
        <w:t>（1） 近三年主要会计数据和财务指标</w:t>
      </w:r>
      <w:bookmarkEnd w:id="7"/>
    </w:p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公司是否需追溯调整或重述以前年度会计数据</w:t>
      </w:r>
    </w:p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□是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否</w:t>
      </w:r>
    </w:p>
    <w:p w:rsidR="004052A5" w:rsidRDefault="001114A2">
      <w:pPr>
        <w:spacing w:before="120" w:after="120" w:line="240" w:lineRule="exact"/>
        <w:jc w:val="righ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单位：元</w:t>
      </w:r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2024年末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2023年末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本年末比上年末增减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2022年末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总资产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6,589,616,085.65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6,456,602,837.61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2.06%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6,394,067,380.22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归属于上市公司股东的净资产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5,183,820,465.10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5,115,698,061.06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1.33%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5,054,158,944.54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本年比上年增减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2022年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3,261,311,903.52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2,858,146,702.47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14.11%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2,927,437,899.70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归属于上市公司股东的净利润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117,338,201.41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72,393,133.41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62.08%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196,808,204.07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归属于上市公司股东的扣除非经常性损益的净利润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110,661,318.00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69,526,292.63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59.16%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189,121,962.92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经营活动产生的现金流量净额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67,031,932.89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-71,380,315.44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193.91%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13,618,249.94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0.13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62.50%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0.22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稀释每股收益（元/股）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0.13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62.50%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 w:rsidP="001E3B9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</w:t>
            </w:r>
            <w:r w:rsidR="001E3B9E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加权平均净资产收益率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2.28%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1.42%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781296" w:rsidP="00781296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增加了</w:t>
            </w:r>
            <w:r w:rsidR="001114A2">
              <w:rPr>
                <w:rFonts w:ascii="宋体" w:eastAsia="宋体" w:hAnsi="宋体" w:cs="宋体"/>
                <w:sz w:val="18"/>
                <w:szCs w:val="18"/>
              </w:rPr>
              <w:t>0.86</w:t>
            </w:r>
            <w:r>
              <w:rPr>
                <w:rFonts w:ascii="宋体" w:eastAsia="宋体" w:hAnsi="宋体" w:cs="宋体"/>
                <w:sz w:val="18"/>
                <w:szCs w:val="18"/>
              </w:rPr>
              <w:t>个百分点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3.86%</w:t>
            </w:r>
          </w:p>
        </w:tc>
      </w:tr>
    </w:tbl>
    <w:p w:rsidR="004052A5" w:rsidRDefault="001114A2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18"/>
          <w:szCs w:val="18"/>
        </w:rPr>
      </w:pPr>
      <w:bookmarkStart w:id="8" w:name="_Toc988895"/>
      <w:r>
        <w:rPr>
          <w:rFonts w:ascii="宋体" w:eastAsia="宋体" w:hAnsi="宋体" w:cs="宋体"/>
          <w:b/>
          <w:bCs/>
          <w:sz w:val="18"/>
          <w:szCs w:val="18"/>
        </w:rPr>
        <w:t>（2） 分季度主要会计数据</w:t>
      </w:r>
      <w:bookmarkEnd w:id="8"/>
    </w:p>
    <w:p w:rsidR="004052A5" w:rsidRDefault="001114A2">
      <w:pPr>
        <w:spacing w:before="120" w:after="120" w:line="240" w:lineRule="exact"/>
        <w:jc w:val="righ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单位：元</w:t>
      </w:r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第一季度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第二季度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第三季度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第四季度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647,621,703.01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907,119,603.98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917,226,864.73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789,343,731.80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归属于上市公司股东的净利润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40,145,777.19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39,228,942.45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49,578,394.89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-11,614,913.12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归属于上市公司股东的扣除非经常性损益的净利润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40,162,490.59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39,152,902.94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47,752,224.94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-16,406,300.47</w:t>
            </w:r>
          </w:p>
        </w:tc>
      </w:tr>
      <w:tr w:rsidR="004052A5">
        <w:trPr>
          <w:trHeight w:val="240"/>
        </w:trPr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经营活动产生的现金流量净额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-24,562,512.57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40,010,618.45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-4,886,843.87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56,470,670.88</w:t>
            </w:r>
          </w:p>
        </w:tc>
      </w:tr>
    </w:tbl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上述财务指标或其加总数是否与公司已披露季度报告、半年度报告相关财务指标存在重大差异</w:t>
      </w:r>
    </w:p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□是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否</w:t>
      </w:r>
    </w:p>
    <w:p w:rsidR="004052A5" w:rsidRDefault="001114A2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9" w:name="_Toc988896"/>
      <w:r>
        <w:rPr>
          <w:rFonts w:ascii="宋体" w:hAnsi="宋体" w:cs="宋体"/>
          <w:b/>
          <w:bCs/>
        </w:rPr>
        <w:t>4、股本及股东情况</w:t>
      </w:r>
      <w:bookmarkEnd w:id="9"/>
    </w:p>
    <w:p w:rsidR="004052A5" w:rsidRDefault="001114A2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18"/>
          <w:szCs w:val="18"/>
        </w:rPr>
      </w:pPr>
      <w:bookmarkStart w:id="10" w:name="_Toc988897"/>
      <w:r>
        <w:rPr>
          <w:rFonts w:ascii="宋体" w:eastAsia="宋体" w:hAnsi="宋体" w:cs="宋体"/>
          <w:b/>
          <w:bCs/>
          <w:sz w:val="18"/>
          <w:szCs w:val="18"/>
        </w:rPr>
        <w:t>（1） 普通股股东和表决权恢复的优先股股东数量及前10名股东持股情况表</w:t>
      </w:r>
      <w:bookmarkEnd w:id="10"/>
    </w:p>
    <w:p w:rsidR="004052A5" w:rsidRDefault="001114A2">
      <w:pPr>
        <w:spacing w:before="40" w:after="40" w:line="240" w:lineRule="exact"/>
        <w:jc w:val="righ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单位：股</w:t>
      </w:r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报告期末普通股股东总数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93,163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年度报告披露日前一个月末普通股股东总数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70,977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报告期末表决权恢复的优先股股东总数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年度报告披露日前一个月末表决权恢复的优先股股东总数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96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前10名股东持股情况（不含通过转融通出借股份）</w:t>
            </w:r>
          </w:p>
        </w:tc>
      </w:tr>
      <w:tr w:rsidR="004052A5">
        <w:trPr>
          <w:trHeight w:val="240"/>
        </w:trPr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股东名称</w:t>
            </w:r>
          </w:p>
        </w:tc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股东性质</w:t>
            </w:r>
          </w:p>
        </w:tc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持股比例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持股数量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持有有限</w:t>
            </w: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售条件</w:t>
            </w:r>
            <w:proofErr w:type="gramEnd"/>
            <w:r>
              <w:rPr>
                <w:rFonts w:ascii="宋体" w:eastAsia="宋体" w:hAnsi="宋体" w:cs="宋体"/>
                <w:sz w:val="18"/>
                <w:szCs w:val="18"/>
              </w:rPr>
              <w:t>的股份数量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质押、标记或冻结情况</w:t>
            </w:r>
          </w:p>
        </w:tc>
      </w:tr>
      <w:tr w:rsidR="004052A5">
        <w:trPr>
          <w:trHeight w:val="240"/>
        </w:trPr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21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21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4052A5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股份状态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数量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江苏华西集团有限公司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境内非国有法人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29.34%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260,000,000.00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260,000,000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江阴</w:t>
            </w: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市凝</w:t>
            </w: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秀建设</w:t>
            </w:r>
            <w:proofErr w:type="gramEnd"/>
            <w:r>
              <w:rPr>
                <w:rFonts w:ascii="宋体" w:eastAsia="宋体" w:hAnsi="宋体" w:cs="宋体"/>
                <w:sz w:val="18"/>
                <w:szCs w:val="18"/>
              </w:rPr>
              <w:t>投资发展有限公司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国有法人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9.27%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82,129,483.00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40,000,00</w:t>
            </w: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杨光勇</w:t>
            </w:r>
            <w:proofErr w:type="gramEnd"/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0.67%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5,912,311.00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香港中央结算有限公司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境外法人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0.48%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4,288,795.00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陈杏英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0.45%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4,000,000.00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张斌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0.35%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3,123,300.00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唐德香</w:t>
            </w:r>
            <w:proofErr w:type="gramEnd"/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0.33%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2,954,500.00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林凯铭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0.28%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2,482,700.00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钱国华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0.24%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2,123,500.00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李晓辉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0.23%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1,995,000.00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052A5">
        <w:trPr>
          <w:trHeight w:val="240"/>
        </w:trPr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 w:rsidP="0006197B">
            <w:pPr>
              <w:spacing w:before="40" w:after="40"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上述股东关联关系或一致行动的说明</w:t>
            </w:r>
          </w:p>
        </w:tc>
        <w:tc>
          <w:tcPr>
            <w:tcW w:w="74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江苏华西集团有限公司、江阴</w:t>
            </w: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市凝秀建设</w:t>
            </w:r>
            <w:proofErr w:type="gramEnd"/>
            <w:r>
              <w:rPr>
                <w:rFonts w:ascii="宋体" w:eastAsia="宋体" w:hAnsi="宋体" w:cs="宋体"/>
                <w:sz w:val="18"/>
                <w:szCs w:val="18"/>
              </w:rPr>
              <w:t>投资发展有限公司受同一实际控制人控制，属于一致行动人。除此之外，公司未知其他股东之间是否存在关联关系，也未知</w:t>
            </w: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其一致</w:t>
            </w:r>
            <w:proofErr w:type="gramEnd"/>
            <w:r>
              <w:rPr>
                <w:rFonts w:ascii="宋体" w:eastAsia="宋体" w:hAnsi="宋体" w:cs="宋体"/>
                <w:sz w:val="18"/>
                <w:szCs w:val="18"/>
              </w:rPr>
              <w:t>行动情况。</w:t>
            </w:r>
          </w:p>
        </w:tc>
      </w:tr>
      <w:tr w:rsidR="004052A5">
        <w:trPr>
          <w:trHeight w:val="240"/>
        </w:trPr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052A5" w:rsidRDefault="001114A2" w:rsidP="0006197B">
            <w:pPr>
              <w:spacing w:before="40" w:after="40"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参与融资融券业务股东情况说明（如有）</w:t>
            </w:r>
          </w:p>
        </w:tc>
        <w:tc>
          <w:tcPr>
            <w:tcW w:w="74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股东“杨光勇”通过信用交易担保证券账户持有公司股票5,912,311股。</w:t>
            </w:r>
          </w:p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股东“陈杏英”通过信用交易担保证券账户持有公司股票4,000,000股。</w:t>
            </w:r>
          </w:p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股东“张斌”通过普通账户持有公司股票220,800股，信用交易担保证券账户持有公司股票2,902,500股。</w:t>
            </w:r>
          </w:p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股东“唐德香”通过普通账户持有公司股票20,000股，通过信用担保证券账户持有公司股票2,934,500股。</w:t>
            </w:r>
          </w:p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股东“林凯铭”通过信用交易担保证券账户持有公司股票2,482,700股。</w:t>
            </w:r>
          </w:p>
          <w:p w:rsidR="004052A5" w:rsidRDefault="001114A2" w:rsidP="0006197B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股东“钱国华”通过普通账户持有公司股票23,500股，通过信用交易担保证券账户持有公司股票2,100,000股。</w:t>
            </w:r>
          </w:p>
        </w:tc>
      </w:tr>
    </w:tbl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持股5%以上股东、前10名股东及前10名无限</w:t>
      </w:r>
      <w:proofErr w:type="gramStart"/>
      <w:r>
        <w:rPr>
          <w:rFonts w:ascii="宋体" w:eastAsia="宋体" w:hAnsi="宋体" w:cs="宋体"/>
          <w:sz w:val="18"/>
          <w:szCs w:val="18"/>
        </w:rPr>
        <w:t>售流通</w:t>
      </w:r>
      <w:proofErr w:type="gramEnd"/>
      <w:r>
        <w:rPr>
          <w:rFonts w:ascii="宋体" w:eastAsia="宋体" w:hAnsi="宋体" w:cs="宋体"/>
          <w:sz w:val="18"/>
          <w:szCs w:val="18"/>
        </w:rPr>
        <w:t>股股东参与转融通业务出借股份情况</w:t>
      </w:r>
    </w:p>
    <w:p w:rsidR="004052A5" w:rsidRDefault="001114A2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前10名股东及前10名无限</w:t>
      </w:r>
      <w:proofErr w:type="gramStart"/>
      <w:r>
        <w:rPr>
          <w:rFonts w:ascii="宋体" w:eastAsia="宋体" w:hAnsi="宋体" w:cs="宋体"/>
          <w:sz w:val="18"/>
          <w:szCs w:val="18"/>
        </w:rPr>
        <w:t>售流通</w:t>
      </w:r>
      <w:proofErr w:type="gramEnd"/>
      <w:r>
        <w:rPr>
          <w:rFonts w:ascii="宋体" w:eastAsia="宋体" w:hAnsi="宋体" w:cs="宋体"/>
          <w:sz w:val="18"/>
          <w:szCs w:val="18"/>
        </w:rPr>
        <w:t>股股东因转融通出借/归还原因导致较上期发生变化</w:t>
      </w:r>
    </w:p>
    <w:p w:rsidR="004052A5" w:rsidRDefault="001114A2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052A5" w:rsidRDefault="001114A2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18"/>
          <w:szCs w:val="18"/>
        </w:rPr>
      </w:pPr>
      <w:bookmarkStart w:id="11" w:name="_Toc988898"/>
      <w:r>
        <w:rPr>
          <w:rFonts w:ascii="宋体" w:eastAsia="宋体" w:hAnsi="宋体" w:cs="宋体"/>
          <w:b/>
          <w:bCs/>
          <w:sz w:val="18"/>
          <w:szCs w:val="18"/>
        </w:rPr>
        <w:t>（2） 公司优先股股东总数及前10名优先股股东持股情况表</w:t>
      </w:r>
      <w:bookmarkEnd w:id="11"/>
    </w:p>
    <w:p w:rsidR="004052A5" w:rsidRDefault="001114A2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公司报告期无优先股股东持股情况。</w:t>
      </w:r>
    </w:p>
    <w:p w:rsidR="004052A5" w:rsidRDefault="001114A2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18"/>
          <w:szCs w:val="18"/>
        </w:rPr>
      </w:pPr>
      <w:bookmarkStart w:id="12" w:name="_Toc988899"/>
      <w:r>
        <w:rPr>
          <w:rFonts w:ascii="宋体" w:eastAsia="宋体" w:hAnsi="宋体" w:cs="宋体"/>
          <w:b/>
          <w:bCs/>
          <w:sz w:val="18"/>
          <w:szCs w:val="18"/>
        </w:rPr>
        <w:lastRenderedPageBreak/>
        <w:t>（3） 以方框图形式披露公司与实际控制人之间的产权及控制关系</w:t>
      </w:r>
      <w:bookmarkEnd w:id="12"/>
    </w:p>
    <w:p w:rsidR="004052A5" w:rsidRDefault="001114A2">
      <w:pPr>
        <w:spacing w:before="40" w:after="40" w:line="0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22CB3CA" wp14:editId="67FA308F">
            <wp:extent cx="5593080" cy="32156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739" cy="3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5" w:rsidRDefault="001114A2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13" w:name="_Toc988900"/>
      <w:r>
        <w:rPr>
          <w:rFonts w:ascii="宋体" w:hAnsi="宋体" w:cs="宋体"/>
          <w:b/>
          <w:bCs/>
        </w:rPr>
        <w:t>5、在年度报告批准报出日存续的债券情况</w:t>
      </w:r>
      <w:bookmarkEnd w:id="13"/>
    </w:p>
    <w:p w:rsidR="004052A5" w:rsidRDefault="001114A2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052A5" w:rsidRDefault="001114A2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14" w:name="_Toc988901"/>
      <w:r>
        <w:rPr>
          <w:rFonts w:ascii="宋体" w:eastAsia="宋体" w:hAnsi="宋体" w:cs="宋体"/>
          <w:b/>
          <w:bCs/>
          <w:sz w:val="24"/>
          <w:szCs w:val="24"/>
        </w:rPr>
        <w:t>三、重要事项</w:t>
      </w:r>
      <w:bookmarkEnd w:id="14"/>
    </w:p>
    <w:p w:rsidR="00751EEB" w:rsidRPr="00DF19CA" w:rsidRDefault="001114A2" w:rsidP="00DF19CA">
      <w:pPr>
        <w:pStyle w:val="a3"/>
        <w:spacing w:before="0" w:beforeAutospacing="0" w:after="0" w:afterAutospacing="0" w:line="276" w:lineRule="auto"/>
        <w:ind w:firstLine="360"/>
        <w:jc w:val="both"/>
        <w:divId w:val="2052028927"/>
        <w:rPr>
          <w:sz w:val="18"/>
          <w:szCs w:val="18"/>
        </w:rPr>
      </w:pPr>
      <w:r>
        <w:rPr>
          <w:rFonts w:hint="eastAsia"/>
          <w:sz w:val="18"/>
          <w:szCs w:val="18"/>
        </w:rPr>
        <w:t>1、转让索尔思光电部分股份事项</w:t>
      </w:r>
    </w:p>
    <w:p w:rsidR="00751EEB" w:rsidRPr="00DF19CA" w:rsidRDefault="001114A2" w:rsidP="00DF19CA">
      <w:pPr>
        <w:pStyle w:val="a3"/>
        <w:spacing w:before="0" w:beforeAutospacing="0" w:after="0" w:afterAutospacing="0" w:line="276" w:lineRule="auto"/>
        <w:ind w:firstLine="360"/>
        <w:jc w:val="both"/>
        <w:divId w:val="2052028927"/>
        <w:rPr>
          <w:sz w:val="18"/>
          <w:szCs w:val="18"/>
        </w:rPr>
      </w:pPr>
      <w:r>
        <w:rPr>
          <w:rFonts w:hint="eastAsia"/>
          <w:sz w:val="18"/>
          <w:szCs w:val="18"/>
        </w:rPr>
        <w:t>报告期内，公司第九届董事会第三次会议、2024年第一次临时股东大会审议通过了《关于转让参股公司部分股份的议案》，公司控制主体上海启</w:t>
      </w:r>
      <w:proofErr w:type="gramStart"/>
      <w:r>
        <w:rPr>
          <w:rFonts w:hint="eastAsia"/>
          <w:sz w:val="18"/>
          <w:szCs w:val="18"/>
        </w:rPr>
        <w:t>澜</w:t>
      </w:r>
      <w:proofErr w:type="gramEnd"/>
      <w:r>
        <w:rPr>
          <w:rFonts w:hint="eastAsia"/>
          <w:sz w:val="18"/>
          <w:szCs w:val="18"/>
        </w:rPr>
        <w:t>拟将其持有的索尔思光电556.03万股股份以及通过Diamond Hill, L.P.持有的2,959.25万股股份转让给北京万通新发展集团股份有限公司（以下简称“万通发展”），合计转让3,515.28万股索尔思光电股份，转让总价款为9,202.66万美元。本次转让完成后，上海启</w:t>
      </w:r>
      <w:proofErr w:type="gramStart"/>
      <w:r>
        <w:rPr>
          <w:rFonts w:hint="eastAsia"/>
          <w:sz w:val="18"/>
          <w:szCs w:val="18"/>
        </w:rPr>
        <w:t>澜</w:t>
      </w:r>
      <w:proofErr w:type="gramEnd"/>
      <w:r>
        <w:rPr>
          <w:rFonts w:hint="eastAsia"/>
          <w:sz w:val="18"/>
          <w:szCs w:val="18"/>
        </w:rPr>
        <w:t>通过Diamond Hill, L.P.剩余持有索尔思光电3,034.37万股股份。2024年6月，上海启</w:t>
      </w:r>
      <w:proofErr w:type="gramStart"/>
      <w:r>
        <w:rPr>
          <w:rFonts w:hint="eastAsia"/>
          <w:sz w:val="18"/>
          <w:szCs w:val="18"/>
        </w:rPr>
        <w:t>澜</w:t>
      </w:r>
      <w:proofErr w:type="gramEnd"/>
      <w:r>
        <w:rPr>
          <w:rFonts w:hint="eastAsia"/>
          <w:sz w:val="18"/>
          <w:szCs w:val="18"/>
        </w:rPr>
        <w:t>及相关方与万通发展签署了《关于Source Photonics Holdings (Cayman) Limited之股份转让协议》，并分别于2024年9月、10月与12月签署前述股份转让协议之补充协议、补充协议（二）、补充协议（三）。详见公司于2024年6月24日、9月13日、9月24日、9月25日、11月1日、2025年1月2日在《上海证券报》《证券时报》和巨潮资讯网披露的《关于转让参股公司部分股份的公告》（公告编号：2024-035）、《第九届董事会第三次会议决议公告》（公告编号：2024-037）、《2024年第一次临时股东大会</w:t>
      </w:r>
      <w:bookmarkStart w:id="15" w:name="_GoBack"/>
      <w:bookmarkEnd w:id="15"/>
      <w:r>
        <w:rPr>
          <w:rFonts w:hint="eastAsia"/>
          <w:sz w:val="18"/>
          <w:szCs w:val="18"/>
        </w:rPr>
        <w:t>决议公告》（公告编号：2024-052）、《关于转让参股公司部分股份的进展公告》（公告编号：2024-054、2024-055、2024-058、2025-001）。</w:t>
      </w:r>
    </w:p>
    <w:p w:rsidR="001114A2" w:rsidRDefault="001114A2" w:rsidP="00DF19CA">
      <w:pPr>
        <w:pStyle w:val="a3"/>
        <w:spacing w:before="0" w:beforeAutospacing="0" w:after="0" w:afterAutospacing="0" w:line="276" w:lineRule="auto"/>
        <w:ind w:firstLine="360"/>
        <w:jc w:val="both"/>
        <w:divId w:val="2052028927"/>
        <w:rPr>
          <w:sz w:val="18"/>
          <w:szCs w:val="18"/>
        </w:rPr>
      </w:pPr>
      <w:r>
        <w:rPr>
          <w:rFonts w:hint="eastAsia"/>
          <w:sz w:val="18"/>
          <w:szCs w:val="18"/>
        </w:rPr>
        <w:t>2025年1月24日，公司转让索尔思光电部分股份事项终止。详见公司于2025年1月27日在《上海证券报》《证券时报》和巨潮资讯网披露的《关于终止转让参股公司部分股份的公告》（公告编号：2025-003）。</w:t>
      </w:r>
      <w:r w:rsidRPr="00DF19CA">
        <w:rPr>
          <w:rFonts w:hint="eastAsia"/>
          <w:sz w:val="18"/>
          <w:szCs w:val="18"/>
        </w:rPr>
        <w:t> </w:t>
      </w:r>
    </w:p>
    <w:p w:rsidR="001E3B9E" w:rsidRDefault="001E3B9E" w:rsidP="00DF19CA">
      <w:pPr>
        <w:pStyle w:val="a3"/>
        <w:spacing w:before="0" w:beforeAutospacing="0" w:after="0" w:afterAutospacing="0" w:line="276" w:lineRule="auto"/>
        <w:ind w:firstLine="360"/>
        <w:jc w:val="both"/>
        <w:divId w:val="2052028927"/>
        <w:rPr>
          <w:sz w:val="18"/>
          <w:szCs w:val="18"/>
        </w:rPr>
      </w:pPr>
    </w:p>
    <w:p w:rsidR="00BD5F23" w:rsidRDefault="00BD5F23" w:rsidP="00DF19CA">
      <w:pPr>
        <w:pStyle w:val="a3"/>
        <w:spacing w:before="0" w:beforeAutospacing="0" w:after="0" w:afterAutospacing="0" w:line="276" w:lineRule="auto"/>
        <w:ind w:firstLine="360"/>
        <w:jc w:val="both"/>
        <w:divId w:val="2052028927"/>
        <w:rPr>
          <w:sz w:val="18"/>
          <w:szCs w:val="18"/>
        </w:rPr>
      </w:pPr>
    </w:p>
    <w:p w:rsidR="00BD5F23" w:rsidRDefault="00BD5F23" w:rsidP="00BD5F23">
      <w:pPr>
        <w:pStyle w:val="a3"/>
        <w:spacing w:before="0" w:beforeAutospacing="0" w:after="0" w:afterAutospacing="0" w:line="276" w:lineRule="auto"/>
        <w:ind w:firstLineChars="3600" w:firstLine="6480"/>
        <w:jc w:val="both"/>
        <w:divId w:val="2052028927"/>
        <w:rPr>
          <w:sz w:val="18"/>
          <w:szCs w:val="18"/>
        </w:rPr>
      </w:pPr>
      <w:r>
        <w:rPr>
          <w:rFonts w:hint="eastAsia"/>
          <w:sz w:val="18"/>
          <w:szCs w:val="18"/>
        </w:rPr>
        <w:t>江苏华西村股份有限公司董事会</w:t>
      </w:r>
    </w:p>
    <w:p w:rsidR="00BD5F23" w:rsidRDefault="00BD5F23" w:rsidP="00BD5F23">
      <w:pPr>
        <w:pStyle w:val="a3"/>
        <w:spacing w:before="0" w:beforeAutospacing="0" w:after="0" w:afterAutospacing="0" w:line="276" w:lineRule="auto"/>
        <w:ind w:firstLineChars="3900" w:firstLine="7020"/>
        <w:jc w:val="both"/>
        <w:divId w:val="2052028927"/>
        <w:rPr>
          <w:sz w:val="18"/>
          <w:szCs w:val="18"/>
        </w:rPr>
      </w:pPr>
      <w:r>
        <w:rPr>
          <w:rFonts w:hint="eastAsia"/>
          <w:sz w:val="18"/>
          <w:szCs w:val="18"/>
        </w:rPr>
        <w:t>董事长：吴协恩</w:t>
      </w:r>
    </w:p>
    <w:p w:rsidR="00BD5F23" w:rsidRPr="00DF19CA" w:rsidRDefault="00BD5F23" w:rsidP="00BD5F23">
      <w:pPr>
        <w:pStyle w:val="a3"/>
        <w:spacing w:before="0" w:beforeAutospacing="0" w:after="0" w:afterAutospacing="0" w:line="276" w:lineRule="auto"/>
        <w:ind w:firstLineChars="3900" w:firstLine="7020"/>
        <w:jc w:val="both"/>
        <w:divId w:val="2052028927"/>
        <w:rPr>
          <w:sz w:val="18"/>
          <w:szCs w:val="18"/>
        </w:rPr>
      </w:pPr>
      <w:r>
        <w:rPr>
          <w:rFonts w:hint="eastAsia"/>
          <w:sz w:val="18"/>
          <w:szCs w:val="18"/>
        </w:rPr>
        <w:t>2025年4月</w:t>
      </w:r>
      <w:r w:rsidR="00257E88">
        <w:rPr>
          <w:rFonts w:hint="eastAsia"/>
          <w:sz w:val="18"/>
          <w:szCs w:val="18"/>
        </w:rPr>
        <w:t>28</w:t>
      </w:r>
      <w:r>
        <w:rPr>
          <w:rFonts w:hint="eastAsia"/>
          <w:sz w:val="18"/>
          <w:szCs w:val="18"/>
        </w:rPr>
        <w:t>日</w:t>
      </w:r>
    </w:p>
    <w:sectPr w:rsidR="00BD5F23" w:rsidRPr="00DF19CA">
      <w:headerReference w:type="default" r:id="rId8"/>
      <w:footerReference w:type="default" r:id="rId9"/>
      <w:pgSz w:w="11905" w:h="16840"/>
      <w:pgMar w:top="850" w:right="1134" w:bottom="850" w:left="1134" w:header="850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18" w:rsidRDefault="00741C18">
      <w:r>
        <w:separator/>
      </w:r>
    </w:p>
  </w:endnote>
  <w:endnote w:type="continuationSeparator" w:id="0">
    <w:p w:rsidR="00741C18" w:rsidRDefault="0074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A5" w:rsidRDefault="001114A2">
    <w:pPr>
      <w:pStyle w:val="fotter1"/>
    </w:pPr>
    <w:r>
      <w:fldChar w:fldCharType="begin"/>
    </w:r>
    <w:r>
      <w:instrText>PAGE   \* MERGEFORMAT</w:instrText>
    </w:r>
    <w:r>
      <w:fldChar w:fldCharType="separate"/>
    </w:r>
    <w:r w:rsidR="00257E8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18" w:rsidRDefault="00741C18">
      <w:r>
        <w:separator/>
      </w:r>
    </w:p>
  </w:footnote>
  <w:footnote w:type="continuationSeparator" w:id="0">
    <w:p w:rsidR="00741C18" w:rsidRDefault="00741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A5" w:rsidRDefault="001114A2">
    <w:pPr>
      <w:pStyle w:val="Header1"/>
      <w:pBdr>
        <w:bottom w:val="single" w:sz="6" w:space="1" w:color="auto"/>
      </w:pBdr>
    </w:pPr>
    <w:r>
      <w:t>江苏华西村股份有限公司2024年年度报告摘要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52A5"/>
    <w:rsid w:val="0006197B"/>
    <w:rsid w:val="00104A45"/>
    <w:rsid w:val="001114A2"/>
    <w:rsid w:val="00114919"/>
    <w:rsid w:val="001E3B9E"/>
    <w:rsid w:val="00257E88"/>
    <w:rsid w:val="00294F8E"/>
    <w:rsid w:val="003D06E1"/>
    <w:rsid w:val="004052A5"/>
    <w:rsid w:val="004D5D84"/>
    <w:rsid w:val="00516A13"/>
    <w:rsid w:val="006A5DE9"/>
    <w:rsid w:val="00741C18"/>
    <w:rsid w:val="00751EEB"/>
    <w:rsid w:val="00781296"/>
    <w:rsid w:val="00AA62E2"/>
    <w:rsid w:val="00BD5F23"/>
    <w:rsid w:val="00DF19CA"/>
    <w:rsid w:val="00E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center"/>
    </w:pPr>
    <w:rPr>
      <w:rFonts w:ascii="仿宋" w:eastAsia="仿宋"/>
      <w:szCs w:val="21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19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1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center"/>
    </w:pPr>
    <w:rPr>
      <w:rFonts w:ascii="仿宋" w:eastAsia="仿宋"/>
      <w:szCs w:val="21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19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1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2025-04-24T07:30:00Z</dcterms:created>
  <dcterms:modified xsi:type="dcterms:W3CDTF">2025-04-27T00:24:00Z</dcterms:modified>
</cp:coreProperties>
</file>