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87" w:rsidRDefault="005D3CC1">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江苏华西村股份有限公司</w:t>
      </w:r>
    </w:p>
    <w:p w:rsidR="00A95787" w:rsidRDefault="005D3CC1">
      <w:pPr>
        <w:spacing w:before="1000" w:line="240" w:lineRule="exact"/>
        <w:jc w:val="center"/>
        <w:rPr>
          <w:rFonts w:ascii="宋体" w:eastAsia="宋体" w:hAnsi="宋体" w:cs="宋体"/>
          <w:b/>
          <w:bCs/>
          <w:sz w:val="32"/>
          <w:szCs w:val="32"/>
        </w:rPr>
      </w:pPr>
      <w:r>
        <w:rPr>
          <w:rFonts w:ascii="宋体" w:eastAsia="宋体" w:hAnsi="宋体" w:cs="宋体"/>
          <w:b/>
          <w:bCs/>
          <w:sz w:val="32"/>
          <w:szCs w:val="32"/>
        </w:rPr>
        <w:t>2024年年度报告</w:t>
      </w:r>
    </w:p>
    <w:p w:rsidR="00A95787" w:rsidRDefault="00A95787">
      <w:pPr>
        <w:spacing w:before="1000" w:line="240" w:lineRule="exact"/>
        <w:jc w:val="center"/>
        <w:rPr>
          <w:rFonts w:ascii="宋体" w:eastAsia="宋体" w:hAnsi="宋体" w:cs="宋体"/>
          <w:b/>
          <w:bCs/>
          <w:szCs w:val="21"/>
        </w:rPr>
      </w:pPr>
    </w:p>
    <w:p w:rsidR="00A95787" w:rsidRDefault="005D3CC1">
      <w:pPr>
        <w:spacing w:before="1000" w:after="1000" w:line="0" w:lineRule="atLeast"/>
        <w:jc w:val="center"/>
        <w:rPr>
          <w:rFonts w:ascii="Times New Roman" w:eastAsia="宋体" w:hAnsi="Times New Roman" w:cs="Times New Roman"/>
        </w:rPr>
      </w:pPr>
      <w:r>
        <w:rPr>
          <w:noProof/>
        </w:rPr>
        <w:drawing>
          <wp:inline distT="0" distB="0" distL="0" distR="0">
            <wp:extent cx="1752600" cy="105156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rcRect/>
                    <a:stretch>
                      <a:fillRect/>
                    </a:stretch>
                  </pic:blipFill>
                  <pic:spPr>
                    <a:xfrm>
                      <a:off x="0" y="0"/>
                      <a:ext cx="1752600" cy="1051560"/>
                    </a:xfrm>
                    <a:prstGeom prst="rect">
                      <a:avLst/>
                    </a:prstGeom>
                    <a:noFill/>
                    <a:ln>
                      <a:noFill/>
                    </a:ln>
                  </pic:spPr>
                </pic:pic>
              </a:graphicData>
            </a:graphic>
          </wp:inline>
        </w:drawing>
      </w:r>
    </w:p>
    <w:p w:rsidR="00A95787" w:rsidRDefault="00A95787">
      <w:pPr>
        <w:spacing w:before="400" w:line="320" w:lineRule="exact"/>
        <w:jc w:val="center"/>
        <w:rPr>
          <w:rFonts w:ascii="宋体" w:eastAsia="宋体" w:hAnsi="宋体" w:cs="宋体"/>
          <w:b/>
          <w:bCs/>
          <w:sz w:val="28"/>
          <w:szCs w:val="28"/>
        </w:rPr>
      </w:pPr>
    </w:p>
    <w:p w:rsidR="00A95787" w:rsidRDefault="00A95787">
      <w:pPr>
        <w:spacing w:before="400" w:line="320" w:lineRule="exact"/>
        <w:jc w:val="center"/>
        <w:rPr>
          <w:rFonts w:ascii="宋体" w:eastAsia="宋体" w:hAnsi="宋体" w:cs="宋体"/>
          <w:b/>
          <w:bCs/>
          <w:sz w:val="28"/>
          <w:szCs w:val="28"/>
        </w:rPr>
      </w:pPr>
    </w:p>
    <w:p w:rsidR="00A95787" w:rsidRDefault="00A95787">
      <w:pPr>
        <w:spacing w:before="400" w:line="320" w:lineRule="exact"/>
        <w:jc w:val="center"/>
        <w:rPr>
          <w:rFonts w:ascii="宋体" w:eastAsia="宋体" w:hAnsi="宋体" w:cs="宋体"/>
          <w:b/>
          <w:bCs/>
          <w:sz w:val="28"/>
          <w:szCs w:val="28"/>
        </w:rPr>
      </w:pPr>
    </w:p>
    <w:p w:rsidR="00A95787" w:rsidRDefault="00A95787">
      <w:pPr>
        <w:spacing w:before="400" w:line="320" w:lineRule="exact"/>
        <w:jc w:val="center"/>
        <w:rPr>
          <w:rFonts w:ascii="宋体" w:eastAsia="宋体" w:hAnsi="宋体" w:cs="宋体"/>
          <w:b/>
          <w:bCs/>
          <w:sz w:val="28"/>
          <w:szCs w:val="28"/>
        </w:rPr>
      </w:pPr>
    </w:p>
    <w:p w:rsidR="00A95787" w:rsidRDefault="00A95787">
      <w:pPr>
        <w:spacing w:before="400" w:line="320" w:lineRule="exact"/>
        <w:jc w:val="center"/>
        <w:rPr>
          <w:rFonts w:ascii="宋体" w:eastAsia="宋体" w:hAnsi="宋体" w:cs="宋体"/>
          <w:b/>
          <w:bCs/>
          <w:sz w:val="28"/>
          <w:szCs w:val="28"/>
        </w:rPr>
      </w:pPr>
    </w:p>
    <w:p w:rsidR="00A95787" w:rsidRDefault="005D3CC1">
      <w:pPr>
        <w:spacing w:before="400" w:line="320" w:lineRule="exact"/>
        <w:jc w:val="center"/>
        <w:rPr>
          <w:rFonts w:ascii="宋体" w:eastAsia="宋体" w:hAnsi="宋体" w:cs="宋体"/>
          <w:b/>
          <w:bCs/>
          <w:sz w:val="28"/>
          <w:szCs w:val="28"/>
        </w:rPr>
      </w:pPr>
      <w:r>
        <w:rPr>
          <w:rFonts w:ascii="宋体" w:eastAsia="宋体" w:hAnsi="宋体" w:cs="宋体" w:hint="eastAsia"/>
          <w:b/>
          <w:bCs/>
          <w:sz w:val="28"/>
          <w:szCs w:val="28"/>
        </w:rPr>
        <w:t>2025年4月</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A95787" w:rsidRDefault="005D3CC1" w:rsidP="005D2672">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rsidR="00A95787" w:rsidRDefault="005D3CC1" w:rsidP="005D2672">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公司负责人吴协恩、主管会计工作负责人李满良及会计机构负责人（会计主管人员）吴雅清声明：保证本年度报告中财务报告的真实、准确、完整。</w:t>
      </w:r>
    </w:p>
    <w:p w:rsidR="00A95787" w:rsidRDefault="005D3CC1">
      <w:pPr>
        <w:spacing w:line="560" w:lineRule="exact"/>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了审议本报告的董事会会议。</w:t>
      </w:r>
    </w:p>
    <w:p w:rsidR="00A95787" w:rsidRDefault="005D3CC1">
      <w:pPr>
        <w:pStyle w:val="a6"/>
        <w:spacing w:beforeAutospacing="0" w:afterAutospacing="0" w:line="560" w:lineRule="atLeast"/>
        <w:ind w:firstLine="648"/>
        <w:rPr>
          <w:b/>
          <w:bCs/>
          <w:sz w:val="28"/>
          <w:szCs w:val="28"/>
        </w:rPr>
      </w:pPr>
      <w:r>
        <w:rPr>
          <w:rFonts w:hint="eastAsia"/>
          <w:b/>
          <w:bCs/>
          <w:sz w:val="28"/>
          <w:szCs w:val="28"/>
        </w:rPr>
        <w:t>本报告中涉及的发展战略、经营计划等前瞻性陈述不构成公司对投资者的实质承诺，投资者及相关人士均应当对此保持足够的风险认识，并且应当理解计划、预测与承诺之间的差异。</w:t>
      </w:r>
    </w:p>
    <w:p w:rsidR="00A95787" w:rsidRDefault="005D3CC1">
      <w:pPr>
        <w:pStyle w:val="a6"/>
        <w:spacing w:beforeAutospacing="0" w:afterAutospacing="0" w:line="560" w:lineRule="atLeast"/>
        <w:ind w:firstLine="648"/>
        <w:rPr>
          <w:b/>
          <w:bCs/>
          <w:sz w:val="28"/>
          <w:szCs w:val="28"/>
        </w:rPr>
      </w:pPr>
      <w:r>
        <w:rPr>
          <w:rFonts w:hint="eastAsia"/>
          <w:b/>
          <w:bCs/>
          <w:sz w:val="28"/>
          <w:szCs w:val="28"/>
        </w:rPr>
        <w:t>本报告中描述了公司可能面临的风险，敬请投资者阅读本报告第三节“管理层讨论与分析”中相应的内容。</w:t>
      </w:r>
    </w:p>
    <w:p w:rsidR="00A95787" w:rsidRDefault="005D3CC1" w:rsidP="005D2672">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公司经本次董事会审议通过的利润分配预案为：以886,012,887为基数，向全体股东每10股派发现金红利0.2元（含税），送红股0股（含税），不以公积金转增股本。</w:t>
      </w:r>
    </w:p>
    <w:p w:rsidR="00A95787" w:rsidRDefault="005D3CC1">
      <w:r>
        <w:br w:type="page"/>
      </w:r>
    </w:p>
    <w:p w:rsidR="00A95787" w:rsidRDefault="005D3CC1">
      <w:pPr>
        <w:spacing w:line="720" w:lineRule="exact"/>
        <w:jc w:val="center"/>
        <w:rPr>
          <w:rFonts w:ascii="宋体" w:eastAsia="宋体" w:hAnsi="宋体" w:cs="宋体"/>
          <w:b/>
          <w:bCs/>
          <w:sz w:val="44"/>
          <w:szCs w:val="44"/>
        </w:rPr>
      </w:pPr>
      <w:r>
        <w:rPr>
          <w:rFonts w:ascii="宋体" w:eastAsia="宋体" w:hAnsi="宋体" w:cs="宋体"/>
          <w:b/>
          <w:bCs/>
          <w:sz w:val="44"/>
          <w:szCs w:val="44"/>
        </w:rPr>
        <w:lastRenderedPageBreak/>
        <w:t>目</w:t>
      </w:r>
      <w:r>
        <w:rPr>
          <w:rFonts w:ascii="宋体" w:eastAsia="宋体" w:hAnsi="宋体" w:cs="宋体" w:hint="eastAsia"/>
          <w:b/>
          <w:bCs/>
          <w:sz w:val="44"/>
          <w:szCs w:val="44"/>
        </w:rPr>
        <w:t xml:space="preserve">  </w:t>
      </w:r>
      <w:r>
        <w:rPr>
          <w:rFonts w:ascii="宋体" w:eastAsia="宋体" w:hAnsi="宋体" w:cs="宋体"/>
          <w:b/>
          <w:bCs/>
          <w:sz w:val="44"/>
          <w:szCs w:val="44"/>
        </w:rPr>
        <w:t>录</w:t>
      </w:r>
    </w:p>
    <w:p w:rsidR="00A95787" w:rsidRDefault="00A95787">
      <w:pPr>
        <w:spacing w:line="720" w:lineRule="exact"/>
        <w:jc w:val="center"/>
        <w:rPr>
          <w:rFonts w:ascii="宋体" w:eastAsia="宋体" w:hAnsi="宋体" w:cs="宋体"/>
          <w:b/>
          <w:bCs/>
          <w:sz w:val="36"/>
          <w:szCs w:val="36"/>
        </w:rPr>
      </w:pPr>
    </w:p>
    <w:p w:rsidR="00A95787" w:rsidRDefault="005D3CC1">
      <w:pPr>
        <w:pStyle w:val="1"/>
        <w:rPr>
          <w:noProof/>
        </w:rPr>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988889" w:history="1">
        <w:r>
          <w:rPr>
            <w:rFonts w:ascii="宋体" w:eastAsia="宋体" w:hAnsi="宋体" w:hint="eastAsia"/>
            <w:b/>
            <w:bCs/>
            <w:noProof/>
            <w:sz w:val="24"/>
          </w:rPr>
          <w:t>第一节 重要提示、目录和释义</w:t>
        </w:r>
        <w:r>
          <w:rPr>
            <w:noProof/>
          </w:rPr>
          <w:tab/>
        </w:r>
        <w:r>
          <w:rPr>
            <w:noProof/>
          </w:rPr>
          <w:fldChar w:fldCharType="begin"/>
        </w:r>
        <w:r>
          <w:rPr>
            <w:noProof/>
          </w:rPr>
          <w:instrText xml:space="preserve"> PAGEREF _Toc988889 \h </w:instrText>
        </w:r>
        <w:r>
          <w:rPr>
            <w:noProof/>
          </w:rPr>
        </w:r>
        <w:r>
          <w:rPr>
            <w:noProof/>
          </w:rPr>
          <w:fldChar w:fldCharType="separate"/>
        </w:r>
        <w:r w:rsidR="00667413">
          <w:rPr>
            <w:noProof/>
          </w:rPr>
          <w:t>1</w:t>
        </w:r>
        <w:r>
          <w:rPr>
            <w:noProof/>
          </w:rPr>
          <w:fldChar w:fldCharType="end"/>
        </w:r>
      </w:hyperlink>
    </w:p>
    <w:p w:rsidR="00A95787" w:rsidRDefault="0051270B">
      <w:pPr>
        <w:pStyle w:val="1"/>
        <w:rPr>
          <w:noProof/>
        </w:rPr>
      </w:pPr>
      <w:hyperlink w:anchor="_Toc988890" w:history="1">
        <w:r w:rsidR="005D3CC1">
          <w:rPr>
            <w:rFonts w:ascii="宋体" w:eastAsia="宋体" w:hAnsi="宋体" w:hint="eastAsia"/>
            <w:b/>
            <w:bCs/>
            <w:noProof/>
            <w:sz w:val="24"/>
          </w:rPr>
          <w:t>第二节 公司简介和主要财务指标</w:t>
        </w:r>
        <w:r w:rsidR="005D3CC1">
          <w:rPr>
            <w:noProof/>
          </w:rPr>
          <w:tab/>
        </w:r>
        <w:r w:rsidR="005D3CC1">
          <w:rPr>
            <w:noProof/>
          </w:rPr>
          <w:fldChar w:fldCharType="begin"/>
        </w:r>
        <w:r w:rsidR="005D3CC1">
          <w:rPr>
            <w:noProof/>
          </w:rPr>
          <w:instrText xml:space="preserve"> PAGEREF _Toc988890 \h </w:instrText>
        </w:r>
        <w:r w:rsidR="005D3CC1">
          <w:rPr>
            <w:noProof/>
          </w:rPr>
        </w:r>
        <w:r w:rsidR="005D3CC1">
          <w:rPr>
            <w:noProof/>
          </w:rPr>
          <w:fldChar w:fldCharType="separate"/>
        </w:r>
        <w:r w:rsidR="00667413">
          <w:rPr>
            <w:noProof/>
          </w:rPr>
          <w:t>5</w:t>
        </w:r>
        <w:r w:rsidR="005D3CC1">
          <w:rPr>
            <w:noProof/>
          </w:rPr>
          <w:fldChar w:fldCharType="end"/>
        </w:r>
      </w:hyperlink>
    </w:p>
    <w:p w:rsidR="00A95787" w:rsidRDefault="0051270B">
      <w:pPr>
        <w:pStyle w:val="1"/>
        <w:rPr>
          <w:noProof/>
        </w:rPr>
      </w:pPr>
      <w:hyperlink w:anchor="_Toc988902" w:history="1">
        <w:r w:rsidR="005D3CC1">
          <w:rPr>
            <w:rFonts w:ascii="宋体" w:eastAsia="宋体" w:hAnsi="宋体" w:hint="eastAsia"/>
            <w:b/>
            <w:bCs/>
            <w:noProof/>
            <w:sz w:val="24"/>
          </w:rPr>
          <w:t>第三节 管理层讨论与分析</w:t>
        </w:r>
        <w:r w:rsidR="005D3CC1">
          <w:rPr>
            <w:noProof/>
          </w:rPr>
          <w:tab/>
        </w:r>
        <w:r w:rsidR="005D3CC1">
          <w:rPr>
            <w:noProof/>
          </w:rPr>
          <w:fldChar w:fldCharType="begin"/>
        </w:r>
        <w:r w:rsidR="005D3CC1">
          <w:rPr>
            <w:noProof/>
          </w:rPr>
          <w:instrText xml:space="preserve"> PAGEREF _Toc988902 \h </w:instrText>
        </w:r>
        <w:r w:rsidR="005D3CC1">
          <w:rPr>
            <w:noProof/>
          </w:rPr>
        </w:r>
        <w:r w:rsidR="005D3CC1">
          <w:rPr>
            <w:noProof/>
          </w:rPr>
          <w:fldChar w:fldCharType="separate"/>
        </w:r>
        <w:r w:rsidR="00667413">
          <w:rPr>
            <w:noProof/>
          </w:rPr>
          <w:t>9</w:t>
        </w:r>
        <w:r w:rsidR="005D3CC1">
          <w:rPr>
            <w:noProof/>
          </w:rPr>
          <w:fldChar w:fldCharType="end"/>
        </w:r>
      </w:hyperlink>
    </w:p>
    <w:p w:rsidR="00A95787" w:rsidRDefault="0051270B">
      <w:pPr>
        <w:pStyle w:val="1"/>
        <w:rPr>
          <w:noProof/>
        </w:rPr>
      </w:pPr>
      <w:hyperlink w:anchor="_Toc988944" w:history="1">
        <w:r w:rsidR="005D3CC1">
          <w:rPr>
            <w:rFonts w:ascii="宋体" w:eastAsia="宋体" w:hAnsi="宋体" w:hint="eastAsia"/>
            <w:b/>
            <w:bCs/>
            <w:noProof/>
            <w:sz w:val="24"/>
          </w:rPr>
          <w:t>第四节 公司治理</w:t>
        </w:r>
        <w:r w:rsidR="005D3CC1">
          <w:rPr>
            <w:noProof/>
          </w:rPr>
          <w:tab/>
        </w:r>
        <w:r w:rsidR="005D3CC1">
          <w:rPr>
            <w:noProof/>
          </w:rPr>
          <w:fldChar w:fldCharType="begin"/>
        </w:r>
        <w:r w:rsidR="005D3CC1">
          <w:rPr>
            <w:noProof/>
          </w:rPr>
          <w:instrText xml:space="preserve"> PAGEREF _Toc988944 \h </w:instrText>
        </w:r>
        <w:r w:rsidR="005D3CC1">
          <w:rPr>
            <w:noProof/>
          </w:rPr>
        </w:r>
        <w:r w:rsidR="005D3CC1">
          <w:rPr>
            <w:noProof/>
          </w:rPr>
          <w:fldChar w:fldCharType="separate"/>
        </w:r>
        <w:r w:rsidR="00667413">
          <w:rPr>
            <w:noProof/>
          </w:rPr>
          <w:t>30</w:t>
        </w:r>
        <w:r w:rsidR="005D3CC1">
          <w:rPr>
            <w:noProof/>
          </w:rPr>
          <w:fldChar w:fldCharType="end"/>
        </w:r>
      </w:hyperlink>
    </w:p>
    <w:p w:rsidR="00A95787" w:rsidRDefault="0051270B">
      <w:pPr>
        <w:pStyle w:val="1"/>
        <w:rPr>
          <w:noProof/>
        </w:rPr>
      </w:pPr>
      <w:hyperlink w:anchor="_Toc988977" w:history="1">
        <w:r w:rsidR="005D3CC1">
          <w:rPr>
            <w:rFonts w:ascii="宋体" w:eastAsia="宋体" w:hAnsi="宋体" w:hint="eastAsia"/>
            <w:b/>
            <w:bCs/>
            <w:noProof/>
            <w:sz w:val="24"/>
          </w:rPr>
          <w:t>第五节 环境和社会责任</w:t>
        </w:r>
        <w:r w:rsidR="005D3CC1">
          <w:rPr>
            <w:noProof/>
          </w:rPr>
          <w:tab/>
        </w:r>
        <w:r w:rsidR="005D3CC1">
          <w:rPr>
            <w:noProof/>
          </w:rPr>
          <w:fldChar w:fldCharType="begin"/>
        </w:r>
        <w:r w:rsidR="005D3CC1">
          <w:rPr>
            <w:noProof/>
          </w:rPr>
          <w:instrText xml:space="preserve"> PAGEREF _Toc988977 \h </w:instrText>
        </w:r>
        <w:r w:rsidR="005D3CC1">
          <w:rPr>
            <w:noProof/>
          </w:rPr>
        </w:r>
        <w:r w:rsidR="005D3CC1">
          <w:rPr>
            <w:noProof/>
          </w:rPr>
          <w:fldChar w:fldCharType="separate"/>
        </w:r>
        <w:r w:rsidR="00667413">
          <w:rPr>
            <w:noProof/>
          </w:rPr>
          <w:t>47</w:t>
        </w:r>
        <w:r w:rsidR="005D3CC1">
          <w:rPr>
            <w:noProof/>
          </w:rPr>
          <w:fldChar w:fldCharType="end"/>
        </w:r>
      </w:hyperlink>
    </w:p>
    <w:p w:rsidR="00A95787" w:rsidRDefault="0051270B">
      <w:pPr>
        <w:pStyle w:val="1"/>
        <w:rPr>
          <w:noProof/>
        </w:rPr>
      </w:pPr>
      <w:hyperlink w:anchor="_Toc988981" w:history="1">
        <w:r w:rsidR="005D3CC1">
          <w:rPr>
            <w:rFonts w:ascii="宋体" w:eastAsia="宋体" w:hAnsi="宋体" w:hint="eastAsia"/>
            <w:b/>
            <w:bCs/>
            <w:noProof/>
            <w:sz w:val="24"/>
          </w:rPr>
          <w:t>第六节 重要事项</w:t>
        </w:r>
        <w:r w:rsidR="005D3CC1">
          <w:rPr>
            <w:noProof/>
          </w:rPr>
          <w:tab/>
        </w:r>
        <w:r w:rsidR="005D3CC1">
          <w:rPr>
            <w:noProof/>
          </w:rPr>
          <w:fldChar w:fldCharType="begin"/>
        </w:r>
        <w:r w:rsidR="005D3CC1">
          <w:rPr>
            <w:noProof/>
          </w:rPr>
          <w:instrText xml:space="preserve"> PAGEREF _Toc988981 \h </w:instrText>
        </w:r>
        <w:r w:rsidR="005D3CC1">
          <w:rPr>
            <w:noProof/>
          </w:rPr>
        </w:r>
        <w:r w:rsidR="005D3CC1">
          <w:rPr>
            <w:noProof/>
          </w:rPr>
          <w:fldChar w:fldCharType="separate"/>
        </w:r>
        <w:r w:rsidR="00667413">
          <w:rPr>
            <w:noProof/>
          </w:rPr>
          <w:t>52</w:t>
        </w:r>
        <w:r w:rsidR="005D3CC1">
          <w:rPr>
            <w:noProof/>
          </w:rPr>
          <w:fldChar w:fldCharType="end"/>
        </w:r>
      </w:hyperlink>
    </w:p>
    <w:p w:rsidR="00A95787" w:rsidRDefault="0051270B">
      <w:pPr>
        <w:pStyle w:val="1"/>
        <w:rPr>
          <w:noProof/>
        </w:rPr>
      </w:pPr>
      <w:hyperlink w:anchor="_Toc989017" w:history="1">
        <w:r w:rsidR="005D3CC1">
          <w:rPr>
            <w:rFonts w:ascii="宋体" w:eastAsia="宋体" w:hAnsi="宋体" w:hint="eastAsia"/>
            <w:b/>
            <w:bCs/>
            <w:noProof/>
            <w:sz w:val="24"/>
          </w:rPr>
          <w:t>第七节 股份变动及股东情况</w:t>
        </w:r>
        <w:r w:rsidR="005D3CC1">
          <w:rPr>
            <w:noProof/>
          </w:rPr>
          <w:tab/>
        </w:r>
        <w:r w:rsidR="005D3CC1">
          <w:rPr>
            <w:noProof/>
          </w:rPr>
          <w:fldChar w:fldCharType="begin"/>
        </w:r>
        <w:r w:rsidR="005D3CC1">
          <w:rPr>
            <w:noProof/>
          </w:rPr>
          <w:instrText xml:space="preserve"> PAGEREF _Toc989017 \h </w:instrText>
        </w:r>
        <w:r w:rsidR="005D3CC1">
          <w:rPr>
            <w:noProof/>
          </w:rPr>
        </w:r>
        <w:r w:rsidR="005D3CC1">
          <w:rPr>
            <w:noProof/>
          </w:rPr>
          <w:fldChar w:fldCharType="separate"/>
        </w:r>
        <w:r w:rsidR="00667413">
          <w:rPr>
            <w:noProof/>
          </w:rPr>
          <w:t>65</w:t>
        </w:r>
        <w:r w:rsidR="005D3CC1">
          <w:rPr>
            <w:noProof/>
          </w:rPr>
          <w:fldChar w:fldCharType="end"/>
        </w:r>
      </w:hyperlink>
    </w:p>
    <w:p w:rsidR="00A95787" w:rsidRDefault="0051270B">
      <w:pPr>
        <w:pStyle w:val="1"/>
        <w:rPr>
          <w:noProof/>
        </w:rPr>
      </w:pPr>
      <w:hyperlink w:anchor="_Toc989033" w:history="1">
        <w:r w:rsidR="005D3CC1">
          <w:rPr>
            <w:rFonts w:ascii="宋体" w:eastAsia="宋体" w:hAnsi="宋体" w:hint="eastAsia"/>
            <w:b/>
            <w:bCs/>
            <w:noProof/>
            <w:sz w:val="24"/>
          </w:rPr>
          <w:t>第八节 优先股相关情况</w:t>
        </w:r>
        <w:r w:rsidR="005D3CC1">
          <w:rPr>
            <w:noProof/>
          </w:rPr>
          <w:tab/>
        </w:r>
        <w:r w:rsidR="005D3CC1">
          <w:rPr>
            <w:noProof/>
          </w:rPr>
          <w:fldChar w:fldCharType="begin"/>
        </w:r>
        <w:r w:rsidR="005D3CC1">
          <w:rPr>
            <w:noProof/>
          </w:rPr>
          <w:instrText xml:space="preserve"> PAGEREF _Toc989033 \h </w:instrText>
        </w:r>
        <w:r w:rsidR="005D3CC1">
          <w:rPr>
            <w:noProof/>
          </w:rPr>
        </w:r>
        <w:r w:rsidR="005D3CC1">
          <w:rPr>
            <w:noProof/>
          </w:rPr>
          <w:fldChar w:fldCharType="separate"/>
        </w:r>
        <w:r w:rsidR="00667413">
          <w:rPr>
            <w:noProof/>
          </w:rPr>
          <w:t>71</w:t>
        </w:r>
        <w:r w:rsidR="005D3CC1">
          <w:rPr>
            <w:noProof/>
          </w:rPr>
          <w:fldChar w:fldCharType="end"/>
        </w:r>
      </w:hyperlink>
    </w:p>
    <w:p w:rsidR="00A95787" w:rsidRDefault="0051270B">
      <w:pPr>
        <w:pStyle w:val="1"/>
        <w:rPr>
          <w:noProof/>
        </w:rPr>
      </w:pPr>
      <w:hyperlink w:anchor="_Toc989034" w:history="1">
        <w:r w:rsidR="005D3CC1">
          <w:rPr>
            <w:rFonts w:ascii="宋体" w:eastAsia="宋体" w:hAnsi="宋体" w:hint="eastAsia"/>
            <w:b/>
            <w:bCs/>
            <w:noProof/>
            <w:sz w:val="24"/>
          </w:rPr>
          <w:t>第九节 债券相关情况</w:t>
        </w:r>
        <w:r w:rsidR="005D3CC1">
          <w:rPr>
            <w:noProof/>
          </w:rPr>
          <w:tab/>
        </w:r>
        <w:r w:rsidR="005D3CC1">
          <w:rPr>
            <w:noProof/>
          </w:rPr>
          <w:fldChar w:fldCharType="begin"/>
        </w:r>
        <w:r w:rsidR="005D3CC1">
          <w:rPr>
            <w:noProof/>
          </w:rPr>
          <w:instrText xml:space="preserve"> PAGEREF _Toc989034 \h </w:instrText>
        </w:r>
        <w:r w:rsidR="005D3CC1">
          <w:rPr>
            <w:noProof/>
          </w:rPr>
        </w:r>
        <w:r w:rsidR="005D3CC1">
          <w:rPr>
            <w:noProof/>
          </w:rPr>
          <w:fldChar w:fldCharType="separate"/>
        </w:r>
        <w:r w:rsidR="00667413">
          <w:rPr>
            <w:noProof/>
          </w:rPr>
          <w:t>71</w:t>
        </w:r>
        <w:r w:rsidR="005D3CC1">
          <w:rPr>
            <w:noProof/>
          </w:rPr>
          <w:fldChar w:fldCharType="end"/>
        </w:r>
      </w:hyperlink>
    </w:p>
    <w:p w:rsidR="00A95787" w:rsidRDefault="0051270B">
      <w:pPr>
        <w:pStyle w:val="1"/>
      </w:pPr>
      <w:hyperlink w:anchor="_Toc989035" w:history="1">
        <w:r w:rsidR="005D3CC1">
          <w:rPr>
            <w:rFonts w:ascii="宋体" w:eastAsia="宋体" w:hAnsi="宋体" w:hint="eastAsia"/>
            <w:b/>
            <w:bCs/>
            <w:noProof/>
            <w:sz w:val="24"/>
          </w:rPr>
          <w:t>第十节 财务报告</w:t>
        </w:r>
        <w:r w:rsidR="005D3CC1">
          <w:rPr>
            <w:noProof/>
          </w:rPr>
          <w:tab/>
        </w:r>
        <w:r w:rsidR="005D3CC1">
          <w:rPr>
            <w:noProof/>
          </w:rPr>
          <w:fldChar w:fldCharType="begin"/>
        </w:r>
        <w:r w:rsidR="005D3CC1">
          <w:rPr>
            <w:noProof/>
          </w:rPr>
          <w:instrText xml:space="preserve"> PAGEREF _Toc989035 \h </w:instrText>
        </w:r>
        <w:r w:rsidR="005D3CC1">
          <w:rPr>
            <w:noProof/>
          </w:rPr>
        </w:r>
        <w:r w:rsidR="005D3CC1">
          <w:rPr>
            <w:noProof/>
          </w:rPr>
          <w:fldChar w:fldCharType="separate"/>
        </w:r>
        <w:r w:rsidR="00667413">
          <w:rPr>
            <w:noProof/>
          </w:rPr>
          <w:t>72</w:t>
        </w:r>
        <w:r w:rsidR="005D3CC1">
          <w:rPr>
            <w:noProof/>
          </w:rPr>
          <w:fldChar w:fldCharType="end"/>
        </w:r>
      </w:hyperlink>
      <w:r w:rsidR="005D3CC1">
        <w:fldChar w:fldCharType="end"/>
      </w:r>
    </w:p>
    <w:p w:rsidR="00A95787" w:rsidRDefault="005D3CC1">
      <w:r>
        <w:br w:type="page"/>
      </w:r>
    </w:p>
    <w:p w:rsidR="00A95787" w:rsidRDefault="005D3CC1">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0C3681" w:rsidRDefault="000C3681">
      <w:pPr>
        <w:spacing w:line="640" w:lineRule="exact"/>
        <w:jc w:val="center"/>
        <w:rPr>
          <w:rFonts w:ascii="宋体" w:eastAsia="宋体" w:hAnsi="宋体" w:cs="宋体"/>
          <w:b/>
          <w:bCs/>
          <w:sz w:val="32"/>
          <w:szCs w:val="32"/>
        </w:rPr>
      </w:pPr>
    </w:p>
    <w:p w:rsidR="00A95787" w:rsidRDefault="005D3CC1" w:rsidP="00B94E70">
      <w:pPr>
        <w:pStyle w:val="a6"/>
        <w:spacing w:before="0" w:beforeAutospacing="0" w:after="0" w:afterAutospacing="0" w:line="360" w:lineRule="auto"/>
        <w:ind w:firstLine="408"/>
        <w:rPr>
          <w:sz w:val="18"/>
          <w:szCs w:val="18"/>
        </w:rPr>
      </w:pPr>
      <w:r>
        <w:rPr>
          <w:rFonts w:hint="eastAsia"/>
          <w:sz w:val="18"/>
          <w:szCs w:val="18"/>
        </w:rPr>
        <w:t>（一）载有公司负责人、主管会计工作负责人、会计主管人员签名并盖章的财务报表；</w:t>
      </w:r>
    </w:p>
    <w:p w:rsidR="00A95787" w:rsidRDefault="005D3CC1" w:rsidP="00B94E70">
      <w:pPr>
        <w:pStyle w:val="a6"/>
        <w:spacing w:before="0" w:beforeAutospacing="0" w:after="0" w:afterAutospacing="0" w:line="360" w:lineRule="auto"/>
        <w:ind w:firstLine="408"/>
        <w:rPr>
          <w:sz w:val="18"/>
          <w:szCs w:val="18"/>
        </w:rPr>
      </w:pPr>
      <w:r>
        <w:rPr>
          <w:rFonts w:hint="eastAsia"/>
          <w:sz w:val="18"/>
          <w:szCs w:val="18"/>
        </w:rPr>
        <w:t>（二）载有会计师事务所盖章、注册会计师签名并盖章的审计报告原件；</w:t>
      </w:r>
    </w:p>
    <w:p w:rsidR="00A95787" w:rsidRDefault="005D3CC1" w:rsidP="00B94E70">
      <w:pPr>
        <w:pStyle w:val="a6"/>
        <w:spacing w:before="0" w:beforeAutospacing="0" w:after="0" w:afterAutospacing="0" w:line="360" w:lineRule="auto"/>
        <w:ind w:firstLine="408"/>
        <w:rPr>
          <w:sz w:val="18"/>
          <w:szCs w:val="18"/>
        </w:rPr>
      </w:pPr>
      <w:r>
        <w:rPr>
          <w:rFonts w:hint="eastAsia"/>
          <w:sz w:val="18"/>
          <w:szCs w:val="18"/>
        </w:rPr>
        <w:t>（三）报告期内公开披露过的所有公司文件的正本及公告的原稿；</w:t>
      </w:r>
    </w:p>
    <w:p w:rsidR="00A95787" w:rsidRDefault="005D3CC1" w:rsidP="00B94E70">
      <w:pPr>
        <w:pStyle w:val="a6"/>
        <w:spacing w:before="0" w:beforeAutospacing="0" w:after="0" w:afterAutospacing="0" w:line="360" w:lineRule="auto"/>
        <w:ind w:firstLine="408"/>
        <w:rPr>
          <w:sz w:val="18"/>
          <w:szCs w:val="18"/>
        </w:rPr>
      </w:pPr>
      <w:r>
        <w:rPr>
          <w:rFonts w:hint="eastAsia"/>
          <w:sz w:val="18"/>
          <w:szCs w:val="18"/>
        </w:rPr>
        <w:t>（四）载有公司法定代表人签名并盖章的年度报告。</w:t>
      </w:r>
    </w:p>
    <w:p w:rsidR="00A95787" w:rsidRDefault="005D3CC1">
      <w:r>
        <w:br w:type="page"/>
      </w:r>
    </w:p>
    <w:p w:rsidR="00A95787" w:rsidRDefault="005D3CC1">
      <w:pPr>
        <w:spacing w:before="40" w:after="40" w:line="56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50" w:type="dxa"/>
        <w:tblInd w:w="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8"/>
        <w:gridCol w:w="2849"/>
        <w:gridCol w:w="3683"/>
      </w:tblGrid>
      <w:tr w:rsidR="00A95787">
        <w:trPr>
          <w:trHeight w:val="510"/>
        </w:trPr>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中国证监会</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深交所</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公司、本公司、华西股份</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控股股东、华西集团</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江阴市国资办、收购人</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江阴市人民政府国有资产监督管理办公室，为公司实际控制人</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proofErr w:type="gramStart"/>
            <w:r>
              <w:rPr>
                <w:rFonts w:ascii="宋体" w:eastAsia="宋体" w:hAnsi="宋体" w:cs="宋体"/>
                <w:sz w:val="18"/>
                <w:szCs w:val="18"/>
              </w:rPr>
              <w:t>凝秀建设</w:t>
            </w:r>
            <w:proofErr w:type="gramEnd"/>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江阴市凝秀建设投资发展有限公司，为公司第二大股东</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化纤厂</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华西码头</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一村资本</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一村资本有限公司，为本公司参股公司，截至报告期末，公司持有其40.92%的股权</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上海启澜</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上海启澜企业管理咨询合伙企业（有限合伙），为公司控制的合伙企业，公司向上海启澜实缴出资人民币96,250万元</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索尔思光电</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Source Photonics Holdings (Cayman) Limited，为本公司参股公司，截至报告期末，公司通过上海启澜持有其6,549.65万股股份</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联储证券</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联储证券股份有限公司，为本公司参股公司，截至报告期末，公司持有其11.73%的股权</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华泰证券</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华泰证券股份有限公司，为本公司参股公司，截至报告期末，公司持有其1,280万股股份</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江苏银行</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江苏银行股份有限公司</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华西财务</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江苏华西集团财务有限公司，为本公司参股公司，截至报告期末，公司持有其10%的股权</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PTA</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精对苯二甲酸</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MEG</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乙二醇</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PF</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涤纶短纤维</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中兴华所</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报告期</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2024年1月1日至2024年12月31日</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上年同期，上期</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2023年1月1日至2023年12月31日</w:t>
            </w:r>
          </w:p>
        </w:tc>
      </w:tr>
      <w:tr w:rsidR="00A95787">
        <w:trPr>
          <w:trHeight w:val="510"/>
        </w:trPr>
        <w:tc>
          <w:tcPr>
            <w:tcW w:w="3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元、万元</w:t>
            </w:r>
          </w:p>
        </w:tc>
        <w:tc>
          <w:tcPr>
            <w:tcW w:w="2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68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人民币元、万元</w:t>
            </w:r>
          </w:p>
        </w:tc>
      </w:tr>
    </w:tbl>
    <w:p w:rsidR="00A95787" w:rsidRDefault="005D3CC1">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A95787" w:rsidRDefault="005D3CC1">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一、公司信息</w:t>
      </w:r>
      <w:bookmarkEnd w:id="2"/>
    </w:p>
    <w:tbl>
      <w:tblPr>
        <w:tblW w:w="9600"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87"/>
        <w:gridCol w:w="2075"/>
        <w:gridCol w:w="2288"/>
        <w:gridCol w:w="2150"/>
      </w:tblGrid>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股票简称</w:t>
            </w:r>
          </w:p>
        </w:tc>
        <w:tc>
          <w:tcPr>
            <w:tcW w:w="20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华西股份</w:t>
            </w:r>
          </w:p>
        </w:tc>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股票代码</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000936</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股票上市证券交易所</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深圳证券交易所</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公司的中文名称</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江苏华西村股份有限公司</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公司的中文简称</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华西股份</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公司的外文名称（如有）</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JIANGSU HUAXICUN CO.,LTD.</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公司的法定代表人</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吴协恩</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注册地址</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江苏省江阴市华士镇华西村</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注册地址的邮政编码</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214420</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公司注册地址历史变更情况</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无变更情况</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办公地址</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江苏省江阴市华士镇华西工业园泾浜路88号</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办公地址的邮政编码</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214420</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公司网址</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http://www.jshuaxicun.com</w:t>
            </w:r>
          </w:p>
        </w:tc>
      </w:tr>
      <w:tr w:rsidR="00A95787">
        <w:trPr>
          <w:trHeight w:val="240"/>
        </w:trPr>
        <w:tc>
          <w:tcPr>
            <w:tcW w:w="3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电子信箱</w:t>
            </w:r>
          </w:p>
        </w:tc>
        <w:tc>
          <w:tcPr>
            <w:tcW w:w="6513"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hxgf@cnhuaxicun.com</w:t>
            </w:r>
          </w:p>
        </w:tc>
      </w:tr>
    </w:tbl>
    <w:p w:rsidR="00A95787" w:rsidRDefault="005D3CC1">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65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65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董事会秘书</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姓名</w:t>
            </w:r>
          </w:p>
        </w:tc>
        <w:tc>
          <w:tcPr>
            <w:tcW w:w="65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王学良</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联系地址</w:t>
            </w:r>
          </w:p>
        </w:tc>
        <w:tc>
          <w:tcPr>
            <w:tcW w:w="65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江苏省江阴市华士镇华西工业园泾浜路88号</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电话</w:t>
            </w:r>
          </w:p>
        </w:tc>
        <w:tc>
          <w:tcPr>
            <w:tcW w:w="65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0510-86217188</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传真</w:t>
            </w:r>
          </w:p>
        </w:tc>
        <w:tc>
          <w:tcPr>
            <w:tcW w:w="65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0510-86217177</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电子信箱</w:t>
            </w:r>
          </w:p>
        </w:tc>
        <w:tc>
          <w:tcPr>
            <w:tcW w:w="65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wangxl@cnhuaxicun.com</w:t>
            </w:r>
          </w:p>
        </w:tc>
      </w:tr>
    </w:tbl>
    <w:p w:rsidR="00A95787" w:rsidRDefault="005D3CC1">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三、信息披露及备置地点</w:t>
      </w:r>
      <w:bookmarkEnd w:id="4"/>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381"/>
        <w:gridCol w:w="5244"/>
      </w:tblGrid>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公司披露年度报告的证券交易所网站</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深圳证券交易所（http://www.szse.cn）</w:t>
            </w:r>
          </w:p>
        </w:tc>
      </w:tr>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公司披露年度报告的媒体名称及网址</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300" w:lineRule="exact"/>
              <w:rPr>
                <w:rFonts w:ascii="宋体" w:eastAsia="宋体" w:hAnsi="宋体" w:cs="宋体"/>
                <w:sz w:val="18"/>
                <w:szCs w:val="18"/>
              </w:rPr>
            </w:pPr>
            <w:r>
              <w:rPr>
                <w:rFonts w:ascii="宋体" w:eastAsia="宋体" w:hAnsi="宋体" w:cs="宋体"/>
                <w:sz w:val="18"/>
                <w:szCs w:val="18"/>
              </w:rPr>
              <w:t>《上海证券报》《证券时报》及巨潮资讯网（http://www.cninfo.com.cn)</w:t>
            </w:r>
          </w:p>
        </w:tc>
      </w:tr>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公司年度报告备置地点</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公司董事会办公室</w:t>
            </w:r>
          </w:p>
        </w:tc>
      </w:tr>
    </w:tbl>
    <w:p w:rsidR="00A95787" w:rsidRDefault="005D3CC1">
      <w:pPr>
        <w:pStyle w:val="2"/>
        <w:spacing w:before="300" w:after="300" w:line="320" w:lineRule="exact"/>
        <w:rPr>
          <w:rFonts w:ascii="宋体" w:eastAsia="宋体" w:hAnsi="宋体" w:cs="宋体"/>
          <w:b/>
          <w:bCs/>
          <w:sz w:val="24"/>
          <w:szCs w:val="24"/>
        </w:rPr>
      </w:pPr>
      <w:bookmarkStart w:id="5" w:name="_Toc988894"/>
      <w:r>
        <w:rPr>
          <w:rFonts w:ascii="宋体" w:eastAsia="宋体" w:hAnsi="宋体" w:cs="宋体"/>
          <w:b/>
          <w:bCs/>
          <w:sz w:val="24"/>
          <w:szCs w:val="24"/>
        </w:rPr>
        <w:t>四、注册变更情况</w:t>
      </w:r>
      <w:bookmarkEnd w:id="5"/>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381"/>
        <w:gridCol w:w="5244"/>
      </w:tblGrid>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统一社会信用代码</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91320200142273776W</w:t>
            </w:r>
          </w:p>
        </w:tc>
      </w:tr>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lastRenderedPageBreak/>
              <w:t>公司上市以来主营业务的变化情况（如有）</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both"/>
              <w:rPr>
                <w:rFonts w:ascii="宋体" w:eastAsia="宋体" w:hAnsi="宋体" w:cs="宋体"/>
                <w:sz w:val="18"/>
                <w:szCs w:val="18"/>
              </w:rPr>
            </w:pPr>
            <w:r>
              <w:rPr>
                <w:rFonts w:ascii="宋体" w:eastAsia="宋体" w:hAnsi="宋体" w:cs="宋体"/>
                <w:sz w:val="18"/>
                <w:szCs w:val="18"/>
              </w:rPr>
              <w:t>公司上市时主营业务(1999.7)：纺织品、化工原料、服装制造、国内贸易、热电站。第一次主营业务变化(2001.12)：纺织品、化工原料、化学纤维品、服装制造，国内贸易，热电站。第二次主营业务变化(2007.4)：纺织品、化工原料、化学纤维品的制造；国内贸易；热电站；电气设备的安装、维护、调试服务。第三次主营业务变化(2011.4)：化工原料、化学纤维品的制造；国内贸易。第四次主营业务变化(2015.9)：创业投资及相关咨询业务；从事非证券股权投资活动及相关咨询业务；受托管理私募股权投资基金，从事投资管理及相关咨询服务业务；受托资产管理；金融信息咨询服务；危险化学品的销售；化工原料、化学纤维品的制造；国内贸易；自营和代理各类商品及技术的进出口业务。第五次主营业务变化(2019.5)：创业投资；利用自有资产对外投资；化学纤维的制造、加工；国内贸易；自营和代理各类商品及技术的进出口业务；企业管理服务；化学纤维材料的研发、技术咨询、技术服务与技术转让。第六次经营范围变化（2020.11):创业投资；利用自有资产对外投资；化学纤维的制造、加工；国内贸易；自营和代理各类商品及技术的进出口业务；企业管理服务；化学纤维材料的研发、技术咨询、技术服务与技术转让。许可项目：港口经营。第七次经营范围变化（2024.6）创业投资；利用自有资产对外投资；化学纤维的制造、加工；国内贸易；自营和代理各类商品及技术的进出口业务；企业管理服务；化学纤维材料的研发、技术咨询、技术服务与技术转让。许可项目：港口经营。一般项目：普通货物仓储服务。</w:t>
            </w:r>
          </w:p>
        </w:tc>
      </w:tr>
      <w:tr w:rsidR="00A95787" w:rsidTr="007C3A92">
        <w:trPr>
          <w:trHeight w:val="240"/>
        </w:trPr>
        <w:tc>
          <w:tcPr>
            <w:tcW w:w="438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历次控股股东的变更情况（如有）</w:t>
            </w:r>
          </w:p>
        </w:tc>
        <w:tc>
          <w:tcPr>
            <w:tcW w:w="524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公司控股股东为江苏华西集团有限公司，上市以来没有变化。</w:t>
            </w:r>
          </w:p>
        </w:tc>
      </w:tr>
    </w:tbl>
    <w:p w:rsidR="00A95787" w:rsidRDefault="005D3CC1">
      <w:pPr>
        <w:pStyle w:val="2"/>
        <w:spacing w:before="300" w:after="300" w:line="320" w:lineRule="exact"/>
        <w:rPr>
          <w:rFonts w:ascii="宋体" w:eastAsia="宋体" w:hAnsi="宋体" w:cs="宋体"/>
          <w:b/>
          <w:bCs/>
          <w:sz w:val="24"/>
          <w:szCs w:val="24"/>
        </w:rPr>
      </w:pPr>
      <w:bookmarkStart w:id="6" w:name="_Toc988895"/>
      <w:r>
        <w:rPr>
          <w:rFonts w:ascii="宋体" w:eastAsia="宋体" w:hAnsi="宋体" w:cs="宋体"/>
          <w:b/>
          <w:bCs/>
          <w:sz w:val="24"/>
          <w:szCs w:val="24"/>
        </w:rPr>
        <w:t>五、其他有关资料</w:t>
      </w:r>
      <w:bookmarkEnd w:id="6"/>
    </w:p>
    <w:p w:rsidR="00A95787" w:rsidRDefault="005D3CC1">
      <w:pPr>
        <w:spacing w:before="100" w:after="100" w:line="240" w:lineRule="atLeast"/>
        <w:rPr>
          <w:rFonts w:ascii="宋体" w:eastAsia="宋体" w:hAnsi="宋体" w:cs="宋体"/>
          <w:sz w:val="18"/>
          <w:szCs w:val="18"/>
        </w:rPr>
      </w:pPr>
      <w:r>
        <w:rPr>
          <w:rFonts w:ascii="宋体" w:eastAsia="宋体" w:hAnsi="宋体" w:cs="宋体"/>
          <w:sz w:val="18"/>
          <w:szCs w:val="18"/>
        </w:rPr>
        <w:t>公司聘请的会计师事务所</w:t>
      </w:r>
    </w:p>
    <w:tbl>
      <w:tblPr>
        <w:tblpPr w:leftFromText="180" w:rightFromText="180" w:vertAnchor="text" w:horzAnchor="page" w:tblpX="1284" w:tblpY="181"/>
        <w:tblOverlap w:val="never"/>
        <w:tblW w:w="96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673"/>
        <w:gridCol w:w="4927"/>
      </w:tblGrid>
      <w:tr w:rsidR="00A95787">
        <w:trPr>
          <w:trHeight w:val="240"/>
        </w:trPr>
        <w:tc>
          <w:tcPr>
            <w:tcW w:w="467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340" w:lineRule="atLeast"/>
              <w:rPr>
                <w:rFonts w:ascii="宋体" w:eastAsia="宋体" w:hAnsi="宋体" w:cs="宋体"/>
                <w:sz w:val="18"/>
                <w:szCs w:val="18"/>
              </w:rPr>
            </w:pPr>
            <w:r>
              <w:rPr>
                <w:rFonts w:ascii="宋体" w:eastAsia="宋体" w:hAnsi="宋体" w:cs="宋体"/>
                <w:sz w:val="18"/>
                <w:szCs w:val="18"/>
              </w:rPr>
              <w:t>会计师事务所名称</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340" w:lineRule="atLeast"/>
              <w:rPr>
                <w:rFonts w:ascii="宋体" w:eastAsia="宋体" w:hAnsi="宋体" w:cs="宋体"/>
                <w:sz w:val="18"/>
                <w:szCs w:val="18"/>
              </w:rPr>
            </w:pPr>
            <w:r>
              <w:rPr>
                <w:rFonts w:ascii="宋体" w:eastAsia="宋体" w:hAnsi="宋体" w:cs="宋体"/>
                <w:sz w:val="18"/>
                <w:szCs w:val="18"/>
              </w:rPr>
              <w:t>中兴华会计师事务所（特殊普通合伙）</w:t>
            </w:r>
          </w:p>
        </w:tc>
      </w:tr>
      <w:tr w:rsidR="00A95787">
        <w:trPr>
          <w:trHeight w:val="240"/>
        </w:trPr>
        <w:tc>
          <w:tcPr>
            <w:tcW w:w="467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340" w:lineRule="atLeast"/>
              <w:rPr>
                <w:rFonts w:ascii="宋体" w:eastAsia="宋体" w:hAnsi="宋体" w:cs="宋体"/>
                <w:sz w:val="18"/>
                <w:szCs w:val="18"/>
              </w:rPr>
            </w:pPr>
            <w:r>
              <w:rPr>
                <w:rFonts w:ascii="宋体" w:eastAsia="宋体" w:hAnsi="宋体" w:cs="宋体"/>
                <w:sz w:val="18"/>
                <w:szCs w:val="18"/>
              </w:rPr>
              <w:t>会计师事务所办公地址</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340" w:lineRule="atLeast"/>
              <w:rPr>
                <w:rFonts w:ascii="宋体" w:eastAsia="宋体" w:hAnsi="宋体" w:cs="宋体"/>
                <w:sz w:val="18"/>
                <w:szCs w:val="18"/>
              </w:rPr>
            </w:pPr>
            <w:r>
              <w:rPr>
                <w:rFonts w:ascii="宋体" w:eastAsia="宋体" w:hAnsi="宋体" w:cs="宋体"/>
                <w:sz w:val="18"/>
                <w:szCs w:val="18"/>
              </w:rPr>
              <w:t>江苏省南京市建邺区嘉陵江东街50号康缘智汇港19楼</w:t>
            </w:r>
          </w:p>
        </w:tc>
      </w:tr>
      <w:tr w:rsidR="00A95787">
        <w:trPr>
          <w:trHeight w:val="240"/>
        </w:trPr>
        <w:tc>
          <w:tcPr>
            <w:tcW w:w="467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340" w:lineRule="atLeast"/>
              <w:rPr>
                <w:rFonts w:ascii="宋体" w:eastAsia="宋体" w:hAnsi="宋体" w:cs="宋体"/>
                <w:sz w:val="18"/>
                <w:szCs w:val="18"/>
              </w:rPr>
            </w:pPr>
            <w:r>
              <w:rPr>
                <w:rFonts w:ascii="宋体" w:eastAsia="宋体" w:hAnsi="宋体" w:cs="宋体"/>
                <w:sz w:val="18"/>
                <w:szCs w:val="18"/>
              </w:rPr>
              <w:t>签字会计师姓名</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340" w:lineRule="atLeast"/>
              <w:rPr>
                <w:rFonts w:ascii="宋体" w:eastAsia="宋体" w:hAnsi="宋体" w:cs="宋体"/>
                <w:sz w:val="18"/>
                <w:szCs w:val="18"/>
              </w:rPr>
            </w:pPr>
            <w:r>
              <w:rPr>
                <w:rFonts w:ascii="宋体" w:eastAsia="宋体" w:hAnsi="宋体" w:cs="宋体"/>
                <w:sz w:val="18"/>
                <w:szCs w:val="18"/>
              </w:rPr>
              <w:t>卓丹  苏寒天</w:t>
            </w:r>
          </w:p>
        </w:tc>
      </w:tr>
    </w:tbl>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公司聘请的报告期内履行持续督导职责的保荐机构</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公司聘请的报告期内履行持续督导职责的财务顾问</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六、主要会计数据和财务指标</w:t>
      </w:r>
      <w:bookmarkEnd w:id="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37"/>
        <w:gridCol w:w="1775"/>
        <w:gridCol w:w="1849"/>
        <w:gridCol w:w="1928"/>
        <w:gridCol w:w="2036"/>
      </w:tblGrid>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7C3A92">
            <w:pPr>
              <w:spacing w:line="220" w:lineRule="exact"/>
            </w:pPr>
          </w:p>
        </w:tc>
        <w:tc>
          <w:tcPr>
            <w:tcW w:w="1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2024年</w:t>
            </w:r>
          </w:p>
        </w:tc>
        <w:tc>
          <w:tcPr>
            <w:tcW w:w="1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2023年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2022年</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营业收入（元）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2,858,146,702.47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14.11%</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2,927,437,899.70</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117,338,201.41</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72,393,133.41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62.08%</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196,808,204.07</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110,661,318.00</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69,526,292.63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59.16%</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189,121,962.92</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67,031,932.89</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-71,380,315.44</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193.91%</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13,618,249.94</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基本每股收益（元/股）</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0.13</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0.08</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62.50%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0.22</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稀释每股收益（元/股）</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0.13</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0.08</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62.50%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0.22</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加权平均净资产收益率</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2.28%</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1.42%</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增加了0.86个百分点</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3.86%</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7C3A92">
            <w:pPr>
              <w:spacing w:line="220" w:lineRule="exact"/>
            </w:pPr>
          </w:p>
        </w:tc>
        <w:tc>
          <w:tcPr>
            <w:tcW w:w="1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2024年末</w:t>
            </w:r>
          </w:p>
        </w:tc>
        <w:tc>
          <w:tcPr>
            <w:tcW w:w="18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2023年末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2022年末</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总资产（元）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6,589,616,085.65</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6,456,602,837.61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2.06%</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6,394,067,380.22</w:t>
            </w:r>
          </w:p>
        </w:tc>
      </w:tr>
      <w:tr w:rsidR="00A95787">
        <w:trPr>
          <w:trHeight w:val="240"/>
        </w:trPr>
        <w:tc>
          <w:tcPr>
            <w:tcW w:w="2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5,183,820,465.10</w:t>
            </w:r>
          </w:p>
        </w:tc>
        <w:tc>
          <w:tcPr>
            <w:tcW w:w="1849"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5,115,698,061.06</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1.33%</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5,054,158,944.54</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公司最近三个会计年度扣除非经常性损益前后净利润孰低者均为负值，且最近一年审计报告显示公司持续经营能力存在不确定性</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公司最近一个会计年度经审计利润总额、净利润、扣除非经常性损益后的净利润三者孰低为负值</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七、境内外会计准则下会计数据差异</w:t>
      </w:r>
      <w:bookmarkEnd w:id="8"/>
    </w:p>
    <w:p w:rsidR="00A95787" w:rsidRDefault="005D3CC1">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1、同时按照国际会计准则与按照中国会计准则披露的财务报告中净利润和净资产差异情况</w:t>
      </w:r>
      <w:bookmarkEnd w:id="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A95787" w:rsidRDefault="005D3CC1">
      <w:pPr>
        <w:pStyle w:val="3"/>
        <w:spacing w:line="280" w:lineRule="exact"/>
        <w:jc w:val="left"/>
        <w:rPr>
          <w:rFonts w:ascii="宋体" w:hAnsi="宋体" w:cs="宋体"/>
          <w:b/>
          <w:bCs/>
        </w:rPr>
      </w:pPr>
      <w:bookmarkStart w:id="10" w:name="_Toc988899"/>
      <w:r>
        <w:rPr>
          <w:rFonts w:ascii="宋体" w:hAnsi="宋体" w:cs="宋体"/>
          <w:b/>
          <w:bCs/>
        </w:rPr>
        <w:t>2、同时按照境外会计准则与按照中国会计准则披露的财务报告中净利润和净资产差异情况</w:t>
      </w:r>
      <w:bookmarkEnd w:id="1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A95787" w:rsidRDefault="005D3CC1">
      <w:pPr>
        <w:pStyle w:val="2"/>
        <w:spacing w:before="300" w:after="300" w:line="320" w:lineRule="exact"/>
        <w:rPr>
          <w:rFonts w:ascii="宋体" w:eastAsia="宋体" w:hAnsi="宋体" w:cs="宋体"/>
          <w:b/>
          <w:bCs/>
          <w:sz w:val="24"/>
          <w:szCs w:val="24"/>
        </w:rPr>
      </w:pPr>
      <w:bookmarkStart w:id="11" w:name="_Toc988900"/>
      <w:r>
        <w:rPr>
          <w:rFonts w:ascii="宋体" w:eastAsia="宋体" w:hAnsi="宋体" w:cs="宋体"/>
          <w:b/>
          <w:bCs/>
          <w:sz w:val="24"/>
          <w:szCs w:val="24"/>
        </w:rPr>
        <w:t>八、分季度主要财务指标</w:t>
      </w:r>
      <w:bookmarkEnd w:id="11"/>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995"/>
        <w:gridCol w:w="1950"/>
        <w:gridCol w:w="2012"/>
        <w:gridCol w:w="1875"/>
      </w:tblGrid>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7C3A92">
            <w:pPr>
              <w:spacing w:line="220" w:lineRule="exact"/>
            </w:pPr>
          </w:p>
        </w:tc>
        <w:tc>
          <w:tcPr>
            <w:tcW w:w="199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第一季度</w:t>
            </w:r>
          </w:p>
        </w:tc>
        <w:tc>
          <w:tcPr>
            <w:tcW w:w="1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第二季度</w:t>
            </w:r>
          </w:p>
        </w:tc>
        <w:tc>
          <w:tcPr>
            <w:tcW w:w="20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第三季度</w:t>
            </w:r>
          </w:p>
        </w:tc>
        <w:tc>
          <w:tcPr>
            <w:tcW w:w="1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jc w:val="center"/>
              <w:rPr>
                <w:rFonts w:ascii="宋体" w:eastAsia="宋体" w:hAnsi="宋体" w:cs="宋体"/>
                <w:sz w:val="18"/>
                <w:szCs w:val="18"/>
              </w:rPr>
            </w:pPr>
            <w:r>
              <w:rPr>
                <w:rFonts w:ascii="宋体" w:eastAsia="宋体" w:hAnsi="宋体" w:cs="宋体"/>
                <w:sz w:val="18"/>
                <w:szCs w:val="18"/>
              </w:rPr>
              <w:t>第四季度</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营业收入</w:t>
            </w:r>
          </w:p>
        </w:tc>
        <w:tc>
          <w:tcPr>
            <w:tcW w:w="199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647,621,703.01</w:t>
            </w:r>
          </w:p>
        </w:tc>
        <w:tc>
          <w:tcPr>
            <w:tcW w:w="1950"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907,119,603.98</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917,226,864.73</w:t>
            </w:r>
          </w:p>
        </w:tc>
        <w:tc>
          <w:tcPr>
            <w:tcW w:w="18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789,343,731.80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9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40,145,777.19</w:t>
            </w:r>
          </w:p>
        </w:tc>
        <w:tc>
          <w:tcPr>
            <w:tcW w:w="1950"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39,228,942.45</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49,578,394.89</w:t>
            </w:r>
          </w:p>
        </w:tc>
        <w:tc>
          <w:tcPr>
            <w:tcW w:w="18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-11,614,913.12</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9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40,162,490.59</w:t>
            </w:r>
          </w:p>
        </w:tc>
        <w:tc>
          <w:tcPr>
            <w:tcW w:w="1950"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39,152,902.94</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47,752,224.94</w:t>
            </w:r>
          </w:p>
        </w:tc>
        <w:tc>
          <w:tcPr>
            <w:tcW w:w="18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-16,406,300.47</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7C3A92">
            <w:pPr>
              <w:spacing w:before="40" w:after="40" w:line="2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9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-24,562,512.57</w:t>
            </w:r>
          </w:p>
        </w:tc>
        <w:tc>
          <w:tcPr>
            <w:tcW w:w="1950"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40,010,618.45</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-4,886,843.87</w:t>
            </w:r>
          </w:p>
        </w:tc>
        <w:tc>
          <w:tcPr>
            <w:tcW w:w="1875" w:type="dxa"/>
            <w:tcBorders>
              <w:top w:val="single" w:sz="2" w:space="0" w:color="auto"/>
              <w:left w:val="single" w:sz="2" w:space="0" w:color="auto"/>
              <w:bottom w:val="single" w:sz="2" w:space="0" w:color="auto"/>
              <w:right w:val="single" w:sz="2" w:space="0" w:color="auto"/>
            </w:tcBorders>
            <w:vAlign w:val="center"/>
          </w:tcPr>
          <w:p w:rsidR="00A95787" w:rsidRDefault="005D3CC1" w:rsidP="007C3A92">
            <w:pPr>
              <w:spacing w:line="220" w:lineRule="exact"/>
              <w:jc w:val="right"/>
              <w:rPr>
                <w:rFonts w:ascii="宋体" w:eastAsia="宋体" w:hAnsi="宋体" w:cs="宋体"/>
                <w:sz w:val="18"/>
                <w:szCs w:val="18"/>
              </w:rPr>
            </w:pPr>
            <w:r>
              <w:rPr>
                <w:rFonts w:ascii="宋体" w:eastAsia="宋体" w:hAnsi="宋体" w:cs="宋体"/>
                <w:sz w:val="18"/>
                <w:szCs w:val="18"/>
              </w:rPr>
              <w:t>56,470,670.88</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上述财务指标或其加总数是否与公司已披露季度报告、半年度报告相关财务指标存在重大差异</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九、非经常性损益项目及金额</w:t>
      </w:r>
      <w:bookmarkEnd w:id="12"/>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928"/>
        <w:gridCol w:w="1928"/>
        <w:gridCol w:w="1928"/>
        <w:gridCol w:w="2048"/>
      </w:tblGrid>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rPr>
            </w:pPr>
            <w:r>
              <w:rPr>
                <w:rFonts w:ascii="宋体" w:eastAsia="宋体" w:hAnsi="宋体" w:cs="宋体"/>
                <w:sz w:val="18"/>
                <w:szCs w:val="18"/>
              </w:rPr>
              <w:t>2024年金额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rPr>
            </w:pPr>
            <w:r>
              <w:rPr>
                <w:rFonts w:ascii="宋体" w:eastAsia="宋体" w:hAnsi="宋体" w:cs="宋体"/>
                <w:sz w:val="18"/>
                <w:szCs w:val="18"/>
              </w:rPr>
              <w:t>2023年金额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rPr>
            </w:pPr>
            <w:r>
              <w:rPr>
                <w:rFonts w:ascii="宋体" w:eastAsia="宋体" w:hAnsi="宋体" w:cs="宋体"/>
                <w:sz w:val="18"/>
                <w:szCs w:val="18"/>
              </w:rPr>
              <w:t>2022年金额</w:t>
            </w:r>
          </w:p>
        </w:tc>
        <w:tc>
          <w:tcPr>
            <w:tcW w:w="2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rPr>
            </w:pPr>
            <w:r>
              <w:rPr>
                <w:rFonts w:ascii="宋体" w:eastAsia="宋体" w:hAnsi="宋体" w:cs="宋体"/>
                <w:sz w:val="18"/>
                <w:szCs w:val="18"/>
              </w:rPr>
              <w:t>说明</w:t>
            </w: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-59,605.75</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-4,582.53</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rPr>
                <w:rFonts w:ascii="宋体" w:eastAsia="宋体" w:hAnsi="宋体" w:cs="宋体"/>
                <w:sz w:val="18"/>
                <w:szCs w:val="18"/>
              </w:rPr>
            </w:pP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773,529.30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2,395,289.00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8,433,948.07</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rPr>
                <w:rFonts w:ascii="宋体" w:eastAsia="宋体" w:hAnsi="宋体" w:cs="宋体"/>
                <w:sz w:val="18"/>
                <w:szCs w:val="18"/>
              </w:rPr>
            </w:pP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8,144,993.93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1,261,283.97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2,020,930.95</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rPr>
                <w:rFonts w:ascii="宋体" w:eastAsia="宋体" w:hAnsi="宋体" w:cs="宋体"/>
                <w:sz w:val="18"/>
                <w:szCs w:val="18"/>
              </w:rPr>
            </w:pP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rPr>
                <w:rFonts w:ascii="宋体" w:eastAsia="宋体" w:hAnsi="宋体" w:cs="宋体"/>
                <w:sz w:val="18"/>
                <w:szCs w:val="18"/>
              </w:rPr>
            </w:pPr>
            <w:r>
              <w:rPr>
                <w:rFonts w:ascii="宋体" w:eastAsia="宋体" w:hAnsi="宋体" w:cs="宋体"/>
                <w:sz w:val="18"/>
                <w:szCs w:val="18"/>
              </w:rPr>
              <w:t>减：所得税影响额</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2,182,034.07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789,732.19</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2,611,565.14</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rPr>
                <w:rFonts w:ascii="宋体" w:eastAsia="宋体" w:hAnsi="宋体" w:cs="宋体"/>
                <w:sz w:val="18"/>
                <w:szCs w:val="18"/>
              </w:rPr>
            </w:pP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152,490.20</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A95787" w:rsidP="00C0468F">
            <w:pPr>
              <w:spacing w:line="300" w:lineRule="exact"/>
              <w:rPr>
                <w:rFonts w:ascii="宋体" w:eastAsia="宋体" w:hAnsi="宋体" w:cs="宋体"/>
                <w:sz w:val="18"/>
                <w:szCs w:val="18"/>
              </w:rPr>
            </w:pP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6,676,883.41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2,866,840.78</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C0468F">
            <w:pPr>
              <w:spacing w:line="300" w:lineRule="exact"/>
              <w:jc w:val="right"/>
              <w:rPr>
                <w:rFonts w:ascii="宋体" w:eastAsia="宋体" w:hAnsi="宋体" w:cs="宋体"/>
                <w:sz w:val="18"/>
                <w:szCs w:val="18"/>
              </w:rPr>
            </w:pPr>
            <w:r>
              <w:rPr>
                <w:rFonts w:ascii="宋体" w:eastAsia="宋体" w:hAnsi="宋体" w:cs="宋体"/>
                <w:sz w:val="18"/>
                <w:szCs w:val="18"/>
              </w:rPr>
              <w:t>7,686,241.15</w:t>
            </w:r>
          </w:p>
        </w:tc>
        <w:tc>
          <w:tcPr>
            <w:tcW w:w="2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C0468F">
            <w:pPr>
              <w:spacing w:before="40" w:after="40" w:line="300" w:lineRule="exact"/>
              <w:jc w:val="center"/>
              <w:rPr>
                <w:rFonts w:ascii="宋体" w:eastAsia="宋体" w:hAnsi="宋体" w:cs="宋体"/>
                <w:sz w:val="18"/>
                <w:szCs w:val="18"/>
                <w:shd w:val="clear" w:color="auto" w:fill="D3D3D3"/>
              </w:rPr>
            </w:pPr>
            <w:r>
              <w:rPr>
                <w:rFonts w:ascii="宋体" w:eastAsia="宋体" w:hAnsi="宋体" w:cs="宋体"/>
                <w:sz w:val="18"/>
                <w:szCs w:val="18"/>
                <w:shd w:val="clear" w:color="auto" w:fill="D3D3D3"/>
              </w:rPr>
              <w:t>--</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713" w:type="dxa"/>
        <w:tblInd w:w="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54"/>
        <w:gridCol w:w="3213"/>
        <w:gridCol w:w="3346"/>
      </w:tblGrid>
      <w:tr w:rsidR="00A95787">
        <w:trPr>
          <w:trHeight w:val="240"/>
        </w:trPr>
        <w:tc>
          <w:tcPr>
            <w:tcW w:w="315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涉及金额（元）</w:t>
            </w:r>
          </w:p>
        </w:tc>
        <w:tc>
          <w:tcPr>
            <w:tcW w:w="334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原因</w:t>
            </w:r>
          </w:p>
        </w:tc>
      </w:tr>
      <w:tr w:rsidR="00A95787" w:rsidTr="004958A4">
        <w:trPr>
          <w:trHeight w:val="2248"/>
        </w:trPr>
        <w:tc>
          <w:tcPr>
            <w:tcW w:w="3154" w:type="dxa"/>
            <w:tcBorders>
              <w:top w:val="single" w:sz="2" w:space="0" w:color="auto"/>
              <w:left w:val="single" w:sz="2" w:space="0" w:color="auto"/>
              <w:bottom w:val="single" w:sz="2" w:space="0" w:color="auto"/>
              <w:right w:val="single" w:sz="2" w:space="0" w:color="auto"/>
            </w:tcBorders>
            <w:vAlign w:val="center"/>
          </w:tcPr>
          <w:p w:rsidR="00A95787" w:rsidRDefault="0016561F">
            <w:pPr>
              <w:spacing w:line="300" w:lineRule="exact"/>
              <w:rPr>
                <w:rFonts w:ascii="宋体" w:eastAsia="宋体" w:hAnsi="宋体" w:cs="宋体"/>
                <w:sz w:val="18"/>
                <w:szCs w:val="18"/>
              </w:rPr>
            </w:pPr>
            <w:r w:rsidRPr="0016561F">
              <w:rPr>
                <w:rFonts w:ascii="宋体" w:eastAsia="宋体" w:hAnsi="宋体" w:cs="宋体" w:hint="eastAsia"/>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28,651,962.15</w:t>
            </w:r>
          </w:p>
        </w:tc>
        <w:tc>
          <w:tcPr>
            <w:tcW w:w="334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A95787" w:rsidRDefault="005D3CC1">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一、报告期内公司所处行业情况</w:t>
      </w:r>
      <w:bookmarkEnd w:id="1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a6"/>
        <w:spacing w:before="40" w:beforeAutospacing="0" w:after="40" w:afterAutospacing="0" w:line="276" w:lineRule="auto"/>
        <w:ind w:firstLine="361"/>
        <w:jc w:val="both"/>
        <w:rPr>
          <w:rFonts w:ascii="Calibri" w:hAnsi="Calibri" w:cs="Calibri"/>
          <w:sz w:val="21"/>
          <w:szCs w:val="21"/>
        </w:rPr>
      </w:pPr>
      <w:r>
        <w:rPr>
          <w:rStyle w:val="a7"/>
          <w:rFonts w:cs="Calibri" w:hint="eastAsia"/>
          <w:sz w:val="18"/>
          <w:szCs w:val="18"/>
        </w:rPr>
        <w:t>（一）公司主要业务情况</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公司主要从事涤纶化纤的研发、生产和销售，石化仓储物流服务。</w:t>
      </w:r>
    </w:p>
    <w:p w:rsidR="00A95787" w:rsidRDefault="005D3CC1">
      <w:pPr>
        <w:pStyle w:val="a6"/>
        <w:spacing w:before="40" w:beforeAutospacing="0" w:after="40" w:afterAutospacing="0" w:line="276" w:lineRule="auto"/>
        <w:ind w:firstLine="361"/>
        <w:jc w:val="both"/>
        <w:rPr>
          <w:rFonts w:ascii="Calibri" w:hAnsi="Calibri" w:cs="Calibri"/>
          <w:sz w:val="21"/>
          <w:szCs w:val="21"/>
        </w:rPr>
      </w:pPr>
      <w:r>
        <w:rPr>
          <w:rStyle w:val="a7"/>
          <w:rFonts w:cs="Calibri" w:hint="eastAsia"/>
          <w:sz w:val="18"/>
          <w:szCs w:val="18"/>
        </w:rPr>
        <w:t>1、涤纶化纤业务</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公司化纤产品主要为涤纶短纤维，主要包括水刺专用涤纶短纤维、半消光涤纶短纤维、有光涤纶短纤维、荧光增白涤纶短纤维等。水刺专用涤纶短纤维主要应用于水刺、针刺等设备，最终产品被广泛应用到卫材、医疗和擦拭，汽车、过滤、皮革和工程基建等领域。半消光涤纶短纤维、有光涤纶短纤维、荧光增白涤纶短纤维等主要用于纺织行业，单独纺纱或与棉、</w:t>
      </w:r>
      <w:r w:rsidR="00B3516D">
        <w:rPr>
          <w:rFonts w:cs="Calibri" w:hint="eastAsia"/>
          <w:sz w:val="18"/>
          <w:szCs w:val="18"/>
        </w:rPr>
        <w:t>粘胶纤维、麻、毛、维纶等混纺，所得纱线用于服饰纺织、家装面料等。</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（1）采购模式</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公司涤纶化纤业务所需大宗原材料主要为精对苯二甲酸（PTA）和乙二醇（MEG）。PTA供应商的选择范围相对较小，供应商相对稳定。公司对原材料的采购通常是和生产厂家直接协商，选择有竞争力的供应商建立长期稳定的合作关系。 PTA主要以合同货和现货相结合的方式采购，MEG主要以现货方式采购。</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（2）生产模式</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化纤厂生产车间主要有8个，其中聚酯车间3个，纺丝车间5个。目前已形成年产各类涤纶短纤维50万吨的生产能力，生产设备工艺全套引进德国吉玛公司、德国纽玛格公司、日本东洋纺的生产装置及工艺流程。聚酯生产中心采用DCS集散型控制系统，实现了自动化生产。短丝生产中心采用了PCS集散型电脑控制，可生产各种规格纺织类、非织造类涤纶短纤维。</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涤纶短纤维的生产流程如下：备料（PTA+MEG）→打浆→酯化→缩聚→熔体输送→熔体过滤器→纺丝→卷绕→横动→集束→牵伸→叠丝→蒸汽预热箱→卷曲→定型→切断机→检验（自检）→打包→成品检验→成品入库。</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（3）销售模式</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化纤厂的销售市场主要分为两大类，一类是针对传统纺织行业的客户市场，一类是针对非织造行业的客户市场。化纤厂的销售政策主要以市场为导向，同时兼顾出口政策的调整及汇率变化，适时调整销售策略，追求可持续效益。在两大类市场的基础上，结合现有市场客户群及潜在客户群进行市场细分，针对不同类别的客户采取不同的营销策略。化纤厂现有13条涤纶短纤维生产线，可以根据客户需求生产各类差异化产品。</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化纤厂的销售模式主要分为现货销售和长期合作销售。现货销售是一单一结，长期合作销售是和稳定的客户以月初报价、按月均价结算销售。化纤厂以直销为主，直销客户占比80%-90%。</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化纤厂销售部主要分为内销、外贸和后台三个业务团队。内销负责国内市场的销售，外贸负责国外市场的开拓和销售，后台负责产品订单接收和内勤管理。化纤厂注重销售人员的培养，销售队伍稳定。销售部每年会统计客户满意度并综合分析，提出相应的改进措施，以持续提高客户满意度。</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涤纶短纤为郑州商品交易所挂牌上市品种，公司通过合理利用期货金融工具，对企业库存进行保值操作，灵活调节产品库存、盘活资金，对预防市场突发情况，稳定企业经营发挥了积极作用。</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lastRenderedPageBreak/>
        <w:t>公司同时兼顾国内、国外市场，根据市场变化和消费导向适时调整销售策略，注重打造企业品牌，已连续多年获得“江苏省重点培育和发展的国际知名品牌”。</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Style w:val="a7"/>
          <w:rFonts w:cs="Calibri" w:hint="eastAsia"/>
          <w:sz w:val="18"/>
          <w:szCs w:val="18"/>
        </w:rPr>
        <w:t> </w:t>
      </w:r>
    </w:p>
    <w:p w:rsidR="00A95787" w:rsidRDefault="005D3CC1">
      <w:pPr>
        <w:pStyle w:val="a6"/>
        <w:spacing w:before="40" w:beforeAutospacing="0" w:after="40" w:afterAutospacing="0" w:line="276" w:lineRule="auto"/>
        <w:ind w:firstLine="360"/>
        <w:jc w:val="both"/>
      </w:pPr>
      <w:r>
        <w:rPr>
          <w:rStyle w:val="a7"/>
          <w:rFonts w:hint="eastAsia"/>
          <w:sz w:val="18"/>
          <w:szCs w:val="18"/>
        </w:rPr>
        <w:t>2、石化仓储业务</w:t>
      </w:r>
    </w:p>
    <w:p w:rsidR="00A95787" w:rsidRDefault="005D3CC1">
      <w:pPr>
        <w:pStyle w:val="a6"/>
        <w:spacing w:before="40" w:beforeAutospacing="0" w:after="40" w:afterAutospacing="0" w:line="276" w:lineRule="auto"/>
        <w:ind w:firstLine="360"/>
        <w:jc w:val="both"/>
      </w:pPr>
      <w:r>
        <w:rPr>
          <w:rFonts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西码头仓储总容量达30万立方米，可接卸苯类、醇类、酸类等五十多种化工品。</w:t>
      </w:r>
    </w:p>
    <w:p w:rsidR="00A95787" w:rsidRDefault="005D3CC1">
      <w:pPr>
        <w:pStyle w:val="a6"/>
        <w:spacing w:before="40" w:beforeAutospacing="0" w:after="40" w:afterAutospacing="0" w:line="276" w:lineRule="auto"/>
        <w:ind w:firstLine="360"/>
        <w:jc w:val="both"/>
      </w:pPr>
      <w:r>
        <w:rPr>
          <w:rFonts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A95787" w:rsidRDefault="005D3CC1">
      <w:pPr>
        <w:pStyle w:val="a6"/>
        <w:spacing w:before="40" w:beforeAutospacing="0" w:after="40" w:afterAutospacing="0" w:line="276" w:lineRule="auto"/>
        <w:ind w:firstLine="360"/>
        <w:jc w:val="both"/>
      </w:pPr>
      <w:r>
        <w:rPr>
          <w:rFonts w:hint="eastAsia"/>
          <w:sz w:val="18"/>
          <w:szCs w:val="18"/>
        </w:rPr>
        <w:t>（1）码头情况及罐区情况</w:t>
      </w:r>
    </w:p>
    <w:p w:rsidR="00A95787" w:rsidRDefault="005D3CC1">
      <w:pPr>
        <w:pStyle w:val="a6"/>
        <w:spacing w:before="40" w:beforeAutospacing="0" w:after="40" w:afterAutospacing="0" w:line="276" w:lineRule="auto"/>
        <w:ind w:firstLine="360"/>
        <w:jc w:val="both"/>
      </w:pPr>
      <w:r>
        <w:rPr>
          <w:rFonts w:hint="eastAsia"/>
          <w:sz w:val="18"/>
          <w:szCs w:val="18"/>
        </w:rPr>
        <w:t>①码头情况</w:t>
      </w:r>
    </w:p>
    <w:p w:rsidR="00A95787" w:rsidRDefault="005D3CC1">
      <w:pPr>
        <w:pStyle w:val="a6"/>
        <w:spacing w:before="40" w:beforeAutospacing="0" w:after="40" w:afterAutospacing="0" w:line="276" w:lineRule="auto"/>
        <w:ind w:firstLine="360"/>
        <w:jc w:val="both"/>
      </w:pPr>
      <w:r>
        <w:rPr>
          <w:rFonts w:hint="eastAsia"/>
          <w:sz w:val="18"/>
          <w:szCs w:val="18"/>
        </w:rPr>
        <w:t>华西码头自有一座5万吨级液体化工品专用码头。码头配有2个2万吨级外轮泊位（兼靠5万吨级），外档可停靠1条5万吨级外轮，或者同时停靠2个2万吨级外轮作业，另外拥有2个3,000吨级内轮泊位和2个500吨级内轮泊位。</w:t>
      </w:r>
    </w:p>
    <w:p w:rsidR="00A95787" w:rsidRDefault="005D3CC1">
      <w:pPr>
        <w:pStyle w:val="a6"/>
        <w:spacing w:before="40" w:beforeAutospacing="0" w:after="40" w:afterAutospacing="0" w:line="276" w:lineRule="auto"/>
        <w:ind w:firstLine="360"/>
        <w:jc w:val="both"/>
      </w:pPr>
      <w:r>
        <w:rPr>
          <w:rFonts w:hint="eastAsia"/>
          <w:sz w:val="18"/>
          <w:szCs w:val="18"/>
        </w:rPr>
        <w:t>②罐区情况</w:t>
      </w:r>
    </w:p>
    <w:p w:rsidR="00A95787" w:rsidRDefault="005D3CC1">
      <w:pPr>
        <w:pStyle w:val="a6"/>
        <w:spacing w:before="40" w:beforeAutospacing="0" w:after="40" w:afterAutospacing="0" w:line="276" w:lineRule="auto"/>
        <w:ind w:firstLine="360"/>
        <w:jc w:val="both"/>
      </w:pPr>
      <w:r>
        <w:rPr>
          <w:rFonts w:hint="eastAsia"/>
          <w:sz w:val="18"/>
          <w:szCs w:val="18"/>
        </w:rPr>
        <w:t>华西码头现有8个储罐区，共有储罐89个，其中保税区储罐有7个。报告期内，公司储罐数量和罐容未发生改变。目前储罐存储品种约30个，主要包括对二甲苯、苯乙烯、正丁醇、丙酮、苯酚等。</w:t>
      </w:r>
    </w:p>
    <w:p w:rsidR="00A95787" w:rsidRDefault="005D3CC1">
      <w:pPr>
        <w:pStyle w:val="a6"/>
        <w:spacing w:before="40" w:beforeAutospacing="0" w:after="40" w:afterAutospacing="0" w:line="276" w:lineRule="auto"/>
        <w:ind w:firstLine="360"/>
        <w:jc w:val="both"/>
      </w:pPr>
      <w:r>
        <w:rPr>
          <w:rFonts w:hint="eastAsia"/>
          <w:sz w:val="18"/>
          <w:szCs w:val="18"/>
        </w:rPr>
        <w:t>（2）业务流程</w:t>
      </w:r>
    </w:p>
    <w:p w:rsidR="00A95787" w:rsidRDefault="005D3CC1">
      <w:pPr>
        <w:pStyle w:val="a6"/>
        <w:spacing w:before="40" w:beforeAutospacing="0" w:after="40" w:afterAutospacing="0" w:line="276" w:lineRule="auto"/>
        <w:ind w:firstLine="360"/>
        <w:jc w:val="both"/>
      </w:pPr>
      <w:r>
        <w:rPr>
          <w:rFonts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A95787" w:rsidRDefault="005D3CC1">
      <w:pPr>
        <w:pStyle w:val="a6"/>
        <w:spacing w:before="40" w:beforeAutospacing="0" w:after="40" w:afterAutospacing="0" w:line="276" w:lineRule="auto"/>
        <w:ind w:firstLine="360"/>
        <w:jc w:val="both"/>
      </w:pPr>
      <w:r>
        <w:rPr>
          <w:rFonts w:hint="eastAsia"/>
          <w:sz w:val="18"/>
          <w:szCs w:val="18"/>
        </w:rPr>
        <w:t>（3）定价模式和结算方式</w:t>
      </w:r>
    </w:p>
    <w:p w:rsidR="00A95787" w:rsidRDefault="005D3CC1">
      <w:pPr>
        <w:pStyle w:val="a6"/>
        <w:spacing w:before="40" w:beforeAutospacing="0" w:after="40" w:afterAutospacing="0" w:line="276" w:lineRule="auto"/>
        <w:ind w:firstLine="360"/>
        <w:jc w:val="both"/>
      </w:pPr>
      <w:r>
        <w:rPr>
          <w:rFonts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A95787" w:rsidRDefault="005D3CC1">
      <w:pPr>
        <w:pStyle w:val="a6"/>
        <w:spacing w:before="40" w:beforeAutospacing="0" w:after="40" w:afterAutospacing="0" w:line="276" w:lineRule="auto"/>
        <w:ind w:firstLine="360"/>
        <w:jc w:val="both"/>
      </w:pPr>
      <w:r>
        <w:rPr>
          <w:rFonts w:hint="eastAsia"/>
          <w:sz w:val="18"/>
          <w:szCs w:val="18"/>
        </w:rPr>
        <w:t>华西码头按月计算应收客户仓储服务费，客户最迟必须在提货前支付完毕所有的费用。华西码头回款情况良好，账期较短，盈利质量较高，确保了公司的稳健经营。</w:t>
      </w:r>
    </w:p>
    <w:p w:rsidR="00A95787" w:rsidRDefault="005D3CC1">
      <w:pPr>
        <w:pStyle w:val="a6"/>
        <w:spacing w:before="40" w:beforeAutospacing="0" w:after="40" w:afterAutospacing="0" w:line="276" w:lineRule="auto"/>
        <w:ind w:firstLine="360"/>
        <w:jc w:val="both"/>
      </w:pPr>
      <w:r>
        <w:rPr>
          <w:rFonts w:hint="eastAsia"/>
          <w:sz w:val="18"/>
          <w:szCs w:val="18"/>
        </w:rPr>
        <w:t>（4）营销模式</w:t>
      </w:r>
    </w:p>
    <w:p w:rsidR="00A95787" w:rsidRDefault="005D3CC1">
      <w:pPr>
        <w:pStyle w:val="a6"/>
        <w:spacing w:before="40" w:beforeAutospacing="0" w:after="40" w:afterAutospacing="0" w:line="276" w:lineRule="auto"/>
        <w:ind w:firstLine="360"/>
        <w:jc w:val="both"/>
      </w:pPr>
      <w:r>
        <w:rPr>
          <w:rFonts w:hint="eastAsia"/>
          <w:sz w:val="18"/>
          <w:szCs w:val="18"/>
        </w:rPr>
        <w:t>建立多渠道的市场信息网络，全面了解重点区域市场和客户情况、竞争对手的信息，采取多种手段推介公司信息，提高公司知名度和影响力。</w:t>
      </w:r>
    </w:p>
    <w:p w:rsidR="00A95787" w:rsidRDefault="005D3CC1">
      <w:pPr>
        <w:pStyle w:val="a6"/>
        <w:spacing w:before="40" w:beforeAutospacing="0" w:after="40" w:afterAutospacing="0" w:line="276" w:lineRule="auto"/>
        <w:ind w:firstLine="360"/>
        <w:jc w:val="both"/>
      </w:pPr>
      <w:r>
        <w:rPr>
          <w:rFonts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A95787" w:rsidRDefault="005D3CC1">
      <w:pPr>
        <w:pStyle w:val="a6"/>
        <w:spacing w:before="40" w:beforeAutospacing="0" w:after="40" w:afterAutospacing="0" w:line="276" w:lineRule="auto"/>
        <w:ind w:firstLine="360"/>
        <w:jc w:val="both"/>
      </w:pPr>
      <w:r>
        <w:rPr>
          <w:rFonts w:hint="eastAsia"/>
          <w:sz w:val="18"/>
          <w:szCs w:val="18"/>
        </w:rPr>
        <w:t>建立和实施灵活的定价模式，本着长期合作，利益共享，共同承担风险的原则，进一步稳定老客户，不断开发新客户。</w:t>
      </w:r>
    </w:p>
    <w:p w:rsidR="00A95787" w:rsidRDefault="00A95787">
      <w:pPr>
        <w:pStyle w:val="a6"/>
        <w:spacing w:before="40" w:beforeAutospacing="0" w:after="40" w:afterAutospacing="0" w:line="276" w:lineRule="auto"/>
        <w:ind w:firstLine="360"/>
        <w:jc w:val="both"/>
        <w:rPr>
          <w:rStyle w:val="a7"/>
          <w:rFonts w:cs="Calibri"/>
          <w:sz w:val="18"/>
          <w:szCs w:val="18"/>
        </w:rPr>
      </w:pP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Style w:val="a7"/>
          <w:rFonts w:cs="Calibri" w:hint="eastAsia"/>
          <w:sz w:val="18"/>
          <w:szCs w:val="18"/>
        </w:rPr>
        <w:t>（二）行业发展状况及总体供求趋势</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lastRenderedPageBreak/>
        <w:t>根据中国证监会发布的《上市公司行业分类指引》，公司的行业分类为化学纤维制造业。</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截至2024年，涤纶短纤维全国年产能达到1,035.5万吨。但下游消费增速不及供应增速，短纤行业供需失衡问题逐渐突出，行业加工费逐步下滑，尤其是2024年上半年，行业平均加工费815.76元/吨，亏损形势较为严峻；但下半年开始，受供应端的减产和下游端的补库影响，短纤现货流动性逐步收紧，行业加工费和基差快速向上修复，9月11日行业加工费达到1,614.83元/吨，创下了年内单日加工费最高值。</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展望2025年，涤纶短纤维行业暂无新的大规模投产计划，且剔除部分长停装置后，预计2025年行业有效产能为983.5万吨/年，同比下滑5.02%。综合预计，2025年短纤行业供需水平或维持相对平衡状态。此外，从政策考虑，国内外货币政策趋向宽松的预期或对价格起到一定利好提振；但若欧佩克停止减产甚至增产的预期下，明年油价或存一定下行预期，作为石油的衍生品，聚酯短纤绝对价格将受到影响；同时上下游产品间投产时间和力度上的错配，也使得产业链间利润发生变化，预计2025年短纤利润或相对2024年好转，绝对价格则受原油影响或低位运行。（来源于隆众资讯）</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 </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Style w:val="a7"/>
          <w:rFonts w:cs="Calibri" w:hint="eastAsia"/>
          <w:sz w:val="18"/>
          <w:szCs w:val="18"/>
        </w:rPr>
        <w:t>（三）所属行业情况及公司地位</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公司所处的化纤行业属于国计民生的基础性行业，行业受国际油价、行业产能变化、原材料价格、市场需求等因素影响较大。</w:t>
      </w:r>
    </w:p>
    <w:p w:rsidR="00A95787" w:rsidRDefault="005D3CC1">
      <w:pPr>
        <w:pStyle w:val="a6"/>
        <w:spacing w:before="40" w:beforeAutospacing="0" w:after="40" w:afterAutospacing="0" w:line="276" w:lineRule="auto"/>
        <w:ind w:firstLine="360"/>
        <w:jc w:val="both"/>
        <w:rPr>
          <w:rFonts w:ascii="Calibri" w:hAnsi="Calibri" w:cs="Calibri"/>
          <w:sz w:val="21"/>
          <w:szCs w:val="21"/>
        </w:rPr>
      </w:pPr>
      <w:r>
        <w:rPr>
          <w:rFonts w:cs="Calibri" w:hint="eastAsia"/>
          <w:sz w:val="18"/>
          <w:szCs w:val="18"/>
        </w:rPr>
        <w:t>报告期内，公司参与了《化学纤维短纤维色度色差试验方法》等多项国家、行业标准的制定工作，被中国化学纤维工业协会推荐为2024年度标准化建设先进企业。通过深入推进标准化建设，进一步提升了公司在行业中的影响力和竞争力。</w:t>
      </w:r>
    </w:p>
    <w:p w:rsidR="00A95787" w:rsidRDefault="005D3CC1">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二、报告期内公司从事的主要业务</w:t>
      </w:r>
      <w:bookmarkEnd w:id="1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主要原材料的采购模式</w:t>
      </w:r>
    </w:p>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单位：元</w:t>
      </w:r>
    </w:p>
    <w:tbl>
      <w:tblPr>
        <w:tblpPr w:leftFromText="180" w:rightFromText="180" w:vertAnchor="text" w:horzAnchor="page" w:tblpX="1234" w:tblpY="127"/>
        <w:tblOverlap w:val="neve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9578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主要原材料</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采购模式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采购额占采购总额的比例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结算方式是否发生重大变化</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上半年平均价格</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下半年平均价格</w:t>
            </w:r>
          </w:p>
        </w:tc>
      </w:tr>
      <w:tr w:rsidR="00A9578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PTA</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61.15%</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5,185.89</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4,606.35</w:t>
            </w:r>
          </w:p>
        </w:tc>
      </w:tr>
      <w:tr w:rsidR="00A9578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MEG</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21.96%</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3,930.52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atLeast"/>
              <w:jc w:val="right"/>
              <w:rPr>
                <w:rFonts w:ascii="宋体" w:eastAsia="宋体" w:hAnsi="宋体" w:cs="宋体"/>
                <w:sz w:val="18"/>
                <w:szCs w:val="18"/>
              </w:rPr>
            </w:pPr>
            <w:r>
              <w:rPr>
                <w:rFonts w:ascii="宋体" w:eastAsia="宋体" w:hAnsi="宋体" w:cs="宋体"/>
                <w:sz w:val="18"/>
                <w:szCs w:val="18"/>
              </w:rPr>
              <w:t>4,072.66</w:t>
            </w:r>
          </w:p>
        </w:tc>
      </w:tr>
    </w:tbl>
    <w:p w:rsidR="00A95787" w:rsidRDefault="005D3CC1">
      <w:pPr>
        <w:adjustRightInd w:val="0"/>
        <w:snapToGrid w:val="0"/>
        <w:spacing w:line="240" w:lineRule="atLeast"/>
        <w:rPr>
          <w:rFonts w:ascii="宋体" w:eastAsia="宋体" w:hAnsi="宋体" w:cs="宋体"/>
          <w:sz w:val="18"/>
          <w:szCs w:val="18"/>
        </w:rPr>
      </w:pPr>
      <w:r>
        <w:rPr>
          <w:rFonts w:ascii="宋体" w:eastAsia="宋体" w:hAnsi="宋体" w:cs="宋体"/>
          <w:sz w:val="18"/>
          <w:szCs w:val="18"/>
        </w:rPr>
        <w:t>原材料价格较上一报告期发生重大变化的原因</w:t>
      </w:r>
    </w:p>
    <w:p w:rsidR="00A95787" w:rsidRDefault="005D3CC1">
      <w:pPr>
        <w:pStyle w:val="a6"/>
        <w:adjustRightInd w:val="0"/>
        <w:snapToGrid w:val="0"/>
        <w:spacing w:before="0" w:beforeAutospacing="0" w:after="0" w:afterAutospacing="0" w:line="276" w:lineRule="auto"/>
        <w:rPr>
          <w:sz w:val="18"/>
          <w:szCs w:val="18"/>
        </w:rPr>
      </w:pPr>
      <w:r>
        <w:rPr>
          <w:rFonts w:hint="eastAsia"/>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能源采购价格占生产总成本30%以上</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主要能源类型发生重大变化的原因</w:t>
      </w:r>
    </w:p>
    <w:p w:rsidR="00A95787" w:rsidRDefault="005D3CC1">
      <w:pPr>
        <w:rPr>
          <w:sz w:val="18"/>
          <w:szCs w:val="18"/>
        </w:rPr>
      </w:pPr>
      <w:r>
        <w:rPr>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主要产品生产技术情况</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30"/>
        <w:gridCol w:w="1845"/>
        <w:gridCol w:w="2011"/>
        <w:gridCol w:w="1928"/>
        <w:gridCol w:w="2048"/>
      </w:tblGrid>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生产技术所处的阶段</w:t>
            </w:r>
          </w:p>
        </w:tc>
        <w:tc>
          <w:tcPr>
            <w:tcW w:w="20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核心技术人员情况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专利技术</w:t>
            </w:r>
          </w:p>
        </w:tc>
        <w:tc>
          <w:tcPr>
            <w:tcW w:w="2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产品研发优势</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8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成熟期</w:t>
            </w:r>
          </w:p>
        </w:tc>
        <w:tc>
          <w:tcPr>
            <w:tcW w:w="20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拥有省级技术中心，技术人员50多人，外部专家10人，合作博士后1人</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截至报告期末，化纤厂拥有专利数量33项，其中发明专利10 项，实用新型专利23项。受理专利数量5项，其中发明专利2 项。</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1、充分发挥公司博士后站、省级技术中心以及院校合作优势，掌握新的产品和技术，从功能性、差异化等方面探索新的应用领域；2、利用参加展会、行业标</w:t>
            </w:r>
            <w:r>
              <w:rPr>
                <w:rFonts w:ascii="宋体" w:eastAsia="宋体" w:hAnsi="宋体" w:cs="宋体"/>
                <w:sz w:val="18"/>
                <w:szCs w:val="18"/>
              </w:rPr>
              <w:lastRenderedPageBreak/>
              <w:t>准制定等机会，积极探索用户需求和市场发展变化，寻找新的产品应用及市场。</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主要产品的产能情况</w:t>
      </w:r>
    </w:p>
    <w:tbl>
      <w:tblPr>
        <w:tblW w:w="9675"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928"/>
        <w:gridCol w:w="1928"/>
        <w:gridCol w:w="1928"/>
        <w:gridCol w:w="2048"/>
      </w:tblGrid>
      <w:tr w:rsidR="00A9578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主要产品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设计产能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产能利用率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在建产能</w:t>
            </w:r>
          </w:p>
        </w:tc>
        <w:tc>
          <w:tcPr>
            <w:tcW w:w="2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投资建设情况</w:t>
            </w:r>
          </w:p>
        </w:tc>
      </w:tr>
      <w:tr w:rsidR="00A95787">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涤纶短纤维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50万吨/年（注）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center"/>
              <w:rPr>
                <w:rFonts w:ascii="宋体" w:eastAsia="宋体" w:hAnsi="宋体" w:cs="宋体"/>
                <w:sz w:val="18"/>
                <w:szCs w:val="18"/>
              </w:rPr>
            </w:pPr>
            <w:r>
              <w:rPr>
                <w:rFonts w:ascii="宋体" w:eastAsia="宋体" w:hAnsi="宋体" w:cs="宋体" w:hint="eastAsia"/>
                <w:sz w:val="18"/>
                <w:szCs w:val="18"/>
              </w:rPr>
              <w:t>90</w:t>
            </w:r>
            <w:r w:rsidR="005D3CC1">
              <w:rPr>
                <w:rFonts w:ascii="宋体" w:eastAsia="宋体" w:hAnsi="宋体" w:cs="宋体" w:hint="eastAsia"/>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不适用</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不适用</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注：其中新建</w:t>
      </w:r>
      <w:r>
        <w:rPr>
          <w:rFonts w:ascii="宋体" w:eastAsia="宋体" w:hAnsi="宋体" w:cs="宋体" w:hint="eastAsia"/>
          <w:sz w:val="18"/>
          <w:szCs w:val="18"/>
        </w:rPr>
        <w:t>10万吨涤纶短纤维生产线于2024年10月开始陆续投产。</w:t>
      </w:r>
    </w:p>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报告期内正在申请或者新增取得的环评批复情况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报告期内上市公司出现非正常停产情形</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相关批复、许可、资质及有效期的情况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0" w:beforeAutospacing="0" w:after="0" w:afterAutospacing="0"/>
        <w:ind w:firstLine="360"/>
      </w:pPr>
      <w:r>
        <w:rPr>
          <w:rFonts w:hint="eastAsia"/>
          <w:sz w:val="18"/>
          <w:szCs w:val="18"/>
        </w:rPr>
        <w:t>化纤厂现有相关证书情况如下：</w:t>
      </w:r>
    </w:p>
    <w:p w:rsidR="00A95787" w:rsidRDefault="005D3CC1">
      <w:pPr>
        <w:pStyle w:val="a6"/>
        <w:spacing w:before="0" w:beforeAutospacing="0" w:after="0" w:afterAutospacing="0"/>
        <w:ind w:firstLine="360"/>
        <w:jc w:val="both"/>
      </w:pPr>
      <w:r>
        <w:rPr>
          <w:rFonts w:hint="eastAsia"/>
          <w:sz w:val="18"/>
          <w:szCs w:val="18"/>
        </w:rPr>
        <w:t>排污许可证，证书编号：913202817241961689001Q，发证主体：无锡市生态环境局，发证日期：2023年11月，有效期至2028年11月。</w:t>
      </w:r>
    </w:p>
    <w:p w:rsidR="00A95787" w:rsidRDefault="005D3CC1">
      <w:pPr>
        <w:pStyle w:val="a6"/>
        <w:spacing w:before="0" w:beforeAutospacing="0" w:after="0" w:afterAutospacing="0"/>
        <w:ind w:firstLine="360"/>
        <w:jc w:val="both"/>
      </w:pPr>
      <w:r>
        <w:rPr>
          <w:rFonts w:hint="eastAsia"/>
          <w:sz w:val="18"/>
          <w:szCs w:val="18"/>
        </w:rPr>
        <w:t>辐射安全许可证，证书编号：苏环辐证[B0127]，发证主体：无锡市生态环境局，发证日期：2022年2月，有效期至2027年3月。</w:t>
      </w:r>
    </w:p>
    <w:p w:rsidR="00A95787" w:rsidRDefault="005D3CC1">
      <w:pPr>
        <w:pStyle w:val="a6"/>
        <w:spacing w:before="0" w:beforeAutospacing="0" w:after="0" w:afterAutospacing="0"/>
      </w:pPr>
      <w:r>
        <w:rPr>
          <w:rFonts w:ascii="Times New Roman" w:hAnsi="Times New Roman" w:cs="Times New Roman"/>
          <w:sz w:val="18"/>
          <w:szCs w:val="18"/>
        </w:rPr>
        <w:t> </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华西码头现有相关证书情况如下：</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1、高新技术企业证书，证书编号：GR202332020180，发证主体：江苏省科学技术厅、江苏省财政厅、国家税务总局江苏省税务局，发证日期：2023年12月13日，有效期三年。</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2、港口经营许可证，证书编号：（苏锡江阴）港经证（0006）号（长江），发证主体：江阴市数据局，发证日期：2025年2月，有效期至2025年8月。</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3、港口危险货物作业附证，证书编号：（苏锡江阴）港经证（0006）号（长江）—M001、（苏锡江阴）港经证（0006）（长江）-M002、（苏锡江阴）港经证（0006）号（长江）-C001-C021、（苏锡江阴）港经证（0006）号（长江）-C022-C044、（苏锡江阴）港经证（0006）号（长江）-C045-C067、（苏锡江阴）港经证（0006）号（长江）-C068-C089、（苏锡江阴）港经证（0006）号（长江）-T001-T022、（苏锡江阴）港经证（0006）号（长江）-T023-T045、（苏锡江阴）港经证（0006）号（长江）-T046-T068、（苏锡江阴）港经证（0006）号（长江）-T069-T094、（苏锡江阴）港经证（0006）号（长江）-XT1-XT17，发证主体：江阴市数据局，发证日期：2025年2月，有效期至2025年8月。</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4、港口设施保安符合证书，证书编号：Z05080207-2024-0116，发证主体：江苏省交通运输厅，发证日期：2024年5月，有效期至2029年5月。</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5、国境口岸卫生许可证，证书编号：证字第231224000105005号，发证主体：江阴海关，发证日期：2024年9月，有效期至2028年9月。</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6、取水许可证，证书编号：D320281S2021-0313，发证机构：江阴市水利局，发证日期：2020年8月，有效期至2025年8月。</w:t>
      </w:r>
    </w:p>
    <w:p w:rsidR="00A95787" w:rsidRDefault="005D3CC1">
      <w:pPr>
        <w:pStyle w:val="a6"/>
        <w:spacing w:before="0" w:beforeAutospacing="0" w:after="0" w:afterAutospacing="0"/>
        <w:ind w:firstLine="360"/>
        <w:jc w:val="both"/>
        <w:rPr>
          <w:rFonts w:ascii="Calibri" w:hAnsi="Calibri" w:cs="Calibri"/>
        </w:rPr>
      </w:pPr>
      <w:r>
        <w:rPr>
          <w:rFonts w:cs="Calibri" w:hint="eastAsia"/>
          <w:sz w:val="18"/>
          <w:szCs w:val="18"/>
        </w:rPr>
        <w:t>7、固定污染源排放登记，编号：913202817357138107001Z，发证机构：中华人民共和国生态环境部，发证日期：2020年4月，有效期至2025年4月。</w:t>
      </w:r>
    </w:p>
    <w:p w:rsidR="00A95787" w:rsidRDefault="005D3CC1">
      <w:pPr>
        <w:pStyle w:val="a6"/>
        <w:spacing w:before="0" w:beforeAutospacing="0" w:after="0" w:afterAutospacing="0"/>
        <w:jc w:val="both"/>
      </w:pPr>
      <w:r>
        <w:rPr>
          <w:rFonts w:hint="eastAsia"/>
        </w:rPr>
        <w:t> </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从事石油加工、石油贸易行业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从事化肥行业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从事农药行业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从事氯碱、纯碱行业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三、核心竞争力分析</w:t>
      </w:r>
      <w:bookmarkEnd w:id="16"/>
    </w:p>
    <w:p w:rsidR="00A95787" w:rsidRDefault="005D3CC1">
      <w:pPr>
        <w:pStyle w:val="a6"/>
        <w:spacing w:before="0" w:beforeAutospacing="0" w:after="0" w:afterAutospacing="0" w:line="276" w:lineRule="auto"/>
        <w:ind w:firstLine="360"/>
        <w:jc w:val="both"/>
      </w:pPr>
      <w:r>
        <w:rPr>
          <w:rFonts w:hint="eastAsia"/>
          <w:sz w:val="18"/>
          <w:szCs w:val="18"/>
        </w:rPr>
        <w:t>公司的核心竞争力主要体现在：</w:t>
      </w:r>
    </w:p>
    <w:p w:rsidR="00A95787" w:rsidRDefault="005D3CC1">
      <w:pPr>
        <w:pStyle w:val="a6"/>
        <w:spacing w:before="0" w:beforeAutospacing="0" w:after="0" w:afterAutospacing="0" w:line="276" w:lineRule="auto"/>
        <w:ind w:firstLine="360"/>
        <w:jc w:val="both"/>
      </w:pPr>
      <w:r>
        <w:rPr>
          <w:rFonts w:hint="eastAsia"/>
          <w:sz w:val="18"/>
          <w:szCs w:val="18"/>
        </w:rPr>
        <w:t>1、品牌优势</w:t>
      </w:r>
    </w:p>
    <w:p w:rsidR="00A95787" w:rsidRDefault="005D3CC1">
      <w:pPr>
        <w:pStyle w:val="a6"/>
        <w:spacing w:before="0" w:beforeAutospacing="0" w:after="0" w:afterAutospacing="0" w:line="276" w:lineRule="auto"/>
        <w:ind w:firstLine="360"/>
        <w:jc w:val="both"/>
      </w:pPr>
      <w:r>
        <w:rPr>
          <w:rFonts w:hint="eastAsia"/>
          <w:sz w:val="18"/>
          <w:szCs w:val="18"/>
        </w:rPr>
        <w:t>经过多年的经营发展，“华西村”品牌已树立了诚信品牌形象，是值得信赖的品牌。这种品牌优势使得公司在涤纶短纤维市场拥有了一大批长期客户，保证了市场的稳定性，同时在产品价格上也形成了一定的优势。</w:t>
      </w:r>
    </w:p>
    <w:p w:rsidR="00A95787" w:rsidRDefault="005D3CC1">
      <w:pPr>
        <w:pStyle w:val="a6"/>
        <w:spacing w:before="0" w:beforeAutospacing="0" w:after="0" w:afterAutospacing="0" w:line="276" w:lineRule="auto"/>
        <w:ind w:firstLine="360"/>
        <w:jc w:val="both"/>
      </w:pPr>
      <w:r>
        <w:rPr>
          <w:rFonts w:hint="eastAsia"/>
          <w:sz w:val="18"/>
          <w:szCs w:val="18"/>
        </w:rPr>
        <w:t>2、技术优势</w:t>
      </w:r>
    </w:p>
    <w:p w:rsidR="00A95787" w:rsidRDefault="005D3CC1">
      <w:pPr>
        <w:pStyle w:val="a6"/>
        <w:spacing w:before="0" w:beforeAutospacing="0" w:after="0" w:afterAutospacing="0" w:line="276" w:lineRule="auto"/>
        <w:ind w:firstLine="360"/>
        <w:jc w:val="both"/>
      </w:pPr>
      <w:r>
        <w:rPr>
          <w:rFonts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截至报告期末，公司已拥有专利82项，其中发明专利14项，实用新型专利68项。</w:t>
      </w:r>
    </w:p>
    <w:p w:rsidR="00A95787" w:rsidRDefault="005D3CC1">
      <w:pPr>
        <w:pStyle w:val="a6"/>
        <w:spacing w:before="0" w:beforeAutospacing="0" w:after="0" w:afterAutospacing="0" w:line="276" w:lineRule="auto"/>
        <w:ind w:firstLine="360"/>
        <w:jc w:val="both"/>
      </w:pPr>
      <w:r>
        <w:rPr>
          <w:rFonts w:hint="eastAsia"/>
          <w:sz w:val="18"/>
          <w:szCs w:val="18"/>
        </w:rPr>
        <w:t>3、产品优势</w:t>
      </w:r>
    </w:p>
    <w:p w:rsidR="00A95787" w:rsidRDefault="005D3CC1">
      <w:pPr>
        <w:pStyle w:val="a6"/>
        <w:spacing w:before="0" w:beforeAutospacing="0" w:after="0" w:afterAutospacing="0" w:line="276" w:lineRule="auto"/>
        <w:ind w:firstLine="360"/>
        <w:jc w:val="both"/>
      </w:pPr>
      <w:r>
        <w:rPr>
          <w:rFonts w:hint="eastAsia"/>
          <w:sz w:val="18"/>
          <w:szCs w:val="18"/>
        </w:rPr>
        <w:t>公司利用自身的设备优势和人才优势，成功地开发了市场高端的差别化产品，提高了产品的附加值。这些差别化产品在市场上具有较高的竞争力，使得公司在差别化纤维领域处于领先地位，并在一些差别化产品上拥有了定价权，提高了企业的效益。</w:t>
      </w:r>
    </w:p>
    <w:p w:rsidR="00A95787" w:rsidRDefault="005D3CC1">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四、主营业务分析</w:t>
      </w:r>
      <w:bookmarkEnd w:id="17"/>
    </w:p>
    <w:p w:rsidR="00A95787" w:rsidRDefault="005D3CC1">
      <w:pPr>
        <w:pStyle w:val="3"/>
        <w:spacing w:line="280" w:lineRule="exact"/>
        <w:jc w:val="left"/>
        <w:rPr>
          <w:rFonts w:ascii="宋体" w:hAnsi="宋体" w:cs="宋体"/>
          <w:b/>
          <w:bCs/>
        </w:rPr>
      </w:pPr>
      <w:bookmarkStart w:id="18" w:name="_Toc988907"/>
      <w:r>
        <w:rPr>
          <w:rFonts w:ascii="宋体" w:hAnsi="宋体" w:cs="宋体"/>
          <w:b/>
          <w:bCs/>
        </w:rPr>
        <w:t>1、概述</w:t>
      </w:r>
      <w:bookmarkEnd w:id="18"/>
    </w:p>
    <w:p w:rsidR="00A95787" w:rsidRDefault="005D3CC1" w:rsidP="000C3681">
      <w:pPr>
        <w:pStyle w:val="a6"/>
        <w:spacing w:before="0" w:beforeAutospacing="0" w:after="0" w:afterAutospacing="0" w:line="276" w:lineRule="auto"/>
        <w:ind w:firstLine="480"/>
        <w:jc w:val="both"/>
        <w:rPr>
          <w:rFonts w:ascii="Calibri" w:hAnsi="Calibri" w:cs="Calibri"/>
          <w:sz w:val="21"/>
          <w:szCs w:val="21"/>
        </w:rPr>
      </w:pPr>
      <w:r>
        <w:rPr>
          <w:rFonts w:cs="Calibri" w:hint="eastAsia"/>
          <w:sz w:val="18"/>
          <w:szCs w:val="18"/>
        </w:rPr>
        <w:t>报告期内，面对复杂多变的国内外经济环境，公司管理层积极应对各种挑战，努力推动各项业务稳步发展。</w:t>
      </w:r>
      <w:r>
        <w:rPr>
          <w:rFonts w:cs="Calibri" w:hint="eastAsia"/>
          <w:sz w:val="18"/>
          <w:szCs w:val="18"/>
          <w:shd w:val="clear" w:color="auto" w:fill="FDFDFE"/>
        </w:rPr>
        <w:t>2024年度，公司实现营业收入326,131.19万元，较上年度增加了14.11%；实现营业利润11,921.11万元，较上年度增加了50.16%；实现归属于母公司所有者净利润11,733.82万元，较上年度增加了62.08%；经营活动产生的现金流量净额为6,703.19万元，较上年度增加了193.91%；每股收益0.13元，较上年度增加了62.5%；每股净资产5.85元，较年初增加了1.39%；实现加权平均净资产收益率2.28%，较上年度增加了0.86个百分点。</w:t>
      </w:r>
      <w:r>
        <w:rPr>
          <w:rFonts w:cs="Calibri" w:hint="eastAsia"/>
          <w:sz w:val="18"/>
          <w:szCs w:val="18"/>
        </w:rPr>
        <w:t>报告期公司主要开展工作如下：</w:t>
      </w:r>
    </w:p>
    <w:p w:rsidR="00A95787" w:rsidRDefault="005D3CC1">
      <w:pPr>
        <w:pStyle w:val="a6"/>
        <w:spacing w:before="0" w:beforeAutospacing="0" w:after="0" w:afterAutospacing="0" w:line="276" w:lineRule="auto"/>
        <w:ind w:firstLine="480"/>
        <w:jc w:val="both"/>
        <w:rPr>
          <w:rFonts w:ascii="Calibri" w:hAnsi="Calibri" w:cs="Calibri"/>
          <w:sz w:val="21"/>
          <w:szCs w:val="21"/>
        </w:rPr>
      </w:pPr>
      <w:r>
        <w:rPr>
          <w:rStyle w:val="a7"/>
          <w:rFonts w:cs="Calibri" w:hint="eastAsia"/>
          <w:sz w:val="18"/>
          <w:szCs w:val="18"/>
        </w:rPr>
        <w:t>（一）涤纶化纤业务</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截至2024年，涤纶短纤维全国年产能达到1,035.5万吨。受下游消费增速不及供应增速影响，短纤行业供需失衡问题逐渐突出，行业加工费持续下滑，尤其是2024年上半年，行业亏损态势严峻；但下半年以来，受供应端减产和下游端的补库影响，行业加工费陆续攀升，盈利规模快速扩大。</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报告期内，公司在生产、销售、成本管理等方面取得了一定成效。主要开展工作如下：</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（1）采购销售方面</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为应对复杂的外部市场环境，公司发挥在行业深耕多年的丰富经验，通过合理有效地把握采购与销售的节奏，保证了产销平衡。执行同行业内部分经营主体定期沟通机制，抱团取暖，根据市场情况不断调整经营策略。同时，公司灵活</w:t>
      </w:r>
      <w:r>
        <w:rPr>
          <w:rFonts w:cs="Calibri" w:hint="eastAsia"/>
          <w:sz w:val="18"/>
          <w:szCs w:val="18"/>
        </w:rPr>
        <w:lastRenderedPageBreak/>
        <w:t>调整原材料采购定价模式，现场运营与资本市场相结合，利用套期保值工具，有效降低了原材料采购成本，扩大了加工费水平，增强了盈利能力。2024年，公司涤纶短纤维产量38.23万吨，销量38.12万吨，产销率为99.71%。</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（2）技改扩能方面</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虽然当前涤纶短纤维市场总体呈现供大于求的局面，但相较于其他聚酯产品，涤纶短纤维的供需关系尚未达到严峻的程度。同时，下游市场开工率正在逐步恢复，存在一定的增长潜力。特别是在原材料价格处于低位的情况下，未来加工利润空间有望提升，下游市场也具备一定的回暖基础。基于以上因素，公司在报告期内完成了10万吨纺丝车间的扩建项目，以提升差别化产品的生产能力，增强市场竞争力，并有效分散市场风险，公司涤纶短纤维产品产能达到50万吨/年。公司各车间通过不断地优化工艺、验证国产化替代进口耗材，实现了物料消耗、能源消耗的降低，在降本增效方面取得一定的成果。随着该项工作的持续推进，成果必将进一步扩大。</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（3）产品创新方面</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公司继续结合市场，开发新品，对生产线进行改造、完善，进行设备、工艺等的更新工作，通过技术创新提升企业核心竞争力，以创新驱动企业高质量发展。公司依托博士后工作站，针对环保低碳、绿色健康、节能减排方向，对产品进行改进完善，成功推出了12mm超短仿麻纤维，并拓展了无锑环保纤维的应用领域。报告期内，公司参与了《化学纤维短纤维色度色差试验方法》等多项国家、行业标准的制定工作，被中国化学纤维工业协会推荐为2024年度标准化建设先进企业。通过深入推进标准化建设，进一步提升了公司在行业中的影响力和竞争力。</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2024年度，涤纶短纤维产品共实现营业收入255,502.61万元，较上年同期增长1.24%；全年实现毛利8,787.96万元，较上年同期增长92.89%；产品毛利率为3.44%，较上年度增加了1.63个百分点。</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 </w:t>
      </w:r>
    </w:p>
    <w:p w:rsidR="00A95787" w:rsidRDefault="005D3CC1">
      <w:pPr>
        <w:pStyle w:val="a6"/>
        <w:spacing w:before="0" w:beforeAutospacing="0" w:after="0" w:afterAutospacing="0" w:line="276" w:lineRule="auto"/>
        <w:ind w:firstLine="480"/>
        <w:jc w:val="both"/>
        <w:rPr>
          <w:rFonts w:ascii="Calibri" w:hAnsi="Calibri" w:cs="Calibri"/>
          <w:sz w:val="21"/>
          <w:szCs w:val="21"/>
        </w:rPr>
      </w:pPr>
      <w:r>
        <w:rPr>
          <w:rStyle w:val="a7"/>
          <w:rFonts w:cs="Calibri" w:hint="eastAsia"/>
          <w:sz w:val="18"/>
          <w:szCs w:val="18"/>
        </w:rPr>
        <w:t>（二）石化仓储业务</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报告期内，仓储行业面临着货源不足、库存量低、整体业务有所收缩的形势，公司全资子公司江阴华西化工码头有限公司（以下简称“华西码头”）坚持以安全融合为核心，秉持“以进促稳”的发展策略，积极顺应市场需求，将安全、环保、智慧绿色港口建设作为保障基础，实现了业务开展平稳有序、安全环保风险可控、员工队伍和谐稳定的良好局面。报告期主要开展了以下几方面工作：</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（1）积极高效拓展业务工作</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报告期内，华西码头持续坚守“大客户”策略，稳定核心客户，对于大客户群体，制订个性化服务系统，及时进行市场化调整，进一步强化与客户的长期合作关系，稳定了公司经营结构。</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面临仓储产品效益的明显下降，华西码头主动调整经营品种，根据年初确定的目标，加大出口类产品的仓储服务；充分利用周边工厂资源，以及对二甲苯指定交割库的优势，成功进入对二甲苯期货交割市场，并逐步成为对二甲苯主流交割场所。</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（2）全面提升智能化管理工作</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2024 年，华西码头大力推进智慧港口建设，持续升级智慧化港口系统：储罐泡沫系统改造提升了消防安全水平，密闭式卸车系统有效减少了物料损耗与环境污染，卸车防混系统保障了产品质量，储罐氧含量检测系统实时监控储存环境安全。这些智能化改造为华西码头生产经营筑牢了根基，提升了品牌价值。报告期内，华西码头被江阴口岸评为开放码头 A 级单位。</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2024年，华西码头继续坚持自主+校企合作研发模式，与江苏师范大学、常州工学院等众多机构开展产学研合作，更好地支撑了技术研发和创新工作，通过技术引进、合作开发、人才培养等多种手段，不断积累知识产权成果。</w:t>
      </w:r>
    </w:p>
    <w:p w:rsidR="00A95787" w:rsidRDefault="005D3CC1" w:rsidP="000C368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2024年度，华西码头实现营业收入22,597.69万元，同比减少了24.11%；实现净利润6,997.70万元，同比减少了19.25%。</w:t>
      </w:r>
    </w:p>
    <w:p w:rsidR="00A95787" w:rsidRDefault="005D3CC1">
      <w:pPr>
        <w:pStyle w:val="3"/>
        <w:spacing w:line="280" w:lineRule="exact"/>
        <w:jc w:val="left"/>
        <w:rPr>
          <w:rFonts w:ascii="宋体" w:hAnsi="宋体" w:cs="宋体"/>
          <w:b/>
          <w:bCs/>
        </w:rPr>
      </w:pPr>
      <w:bookmarkStart w:id="19" w:name="_Toc988908"/>
      <w:r>
        <w:rPr>
          <w:rFonts w:ascii="宋体" w:hAnsi="宋体" w:cs="宋体"/>
          <w:b/>
          <w:bCs/>
        </w:rPr>
        <w:lastRenderedPageBreak/>
        <w:t>2、收入与成本</w:t>
      </w:r>
      <w:bookmarkEnd w:id="19"/>
    </w:p>
    <w:p w:rsidR="00A95787" w:rsidRDefault="005D3CC1">
      <w:pPr>
        <w:keepNext/>
        <w:keepLines/>
        <w:spacing w:before="300" w:after="300" w:line="280" w:lineRule="exact"/>
        <w:outlineLvl w:val="3"/>
        <w:rPr>
          <w:rFonts w:ascii="宋体" w:eastAsia="宋体" w:hAnsi="宋体" w:cs="宋体"/>
          <w:b/>
          <w:bCs/>
          <w:szCs w:val="21"/>
        </w:rPr>
      </w:pPr>
      <w:bookmarkStart w:id="20" w:name="_Toc988909"/>
      <w:r>
        <w:rPr>
          <w:rFonts w:ascii="宋体" w:eastAsia="宋体" w:hAnsi="宋体" w:cs="宋体"/>
          <w:b/>
          <w:bCs/>
          <w:szCs w:val="21"/>
        </w:rPr>
        <w:t>（1） 营业收入构成</w:t>
      </w:r>
      <w:bookmarkEnd w:id="2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09"/>
        <w:gridCol w:w="1741"/>
        <w:gridCol w:w="1550"/>
        <w:gridCol w:w="1700"/>
        <w:gridCol w:w="1537"/>
        <w:gridCol w:w="1600"/>
      </w:tblGrid>
      <w:tr w:rsidR="00A95787">
        <w:trPr>
          <w:trHeight w:val="240"/>
        </w:trPr>
        <w:tc>
          <w:tcPr>
            <w:tcW w:w="15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c>
          <w:tcPr>
            <w:tcW w:w="329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323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95787">
        <w:trPr>
          <w:trHeight w:val="240"/>
        </w:trPr>
        <w:tc>
          <w:tcPr>
            <w:tcW w:w="15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c>
          <w:tcPr>
            <w:tcW w:w="1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7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3,261,311,903.52</w:t>
            </w:r>
          </w:p>
        </w:tc>
        <w:tc>
          <w:tcPr>
            <w:tcW w:w="15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5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14.11%</w:t>
            </w:r>
          </w:p>
        </w:tc>
      </w:tr>
      <w:tr w:rsidR="00A95787">
        <w:trPr>
          <w:trHeight w:val="240"/>
        </w:trPr>
        <w:tc>
          <w:tcPr>
            <w:tcW w:w="963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3,049,790,480.17</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93.51%</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2,657,615,000.92</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92.98%</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14.76%</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仓储</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166,017,854.30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5.09%</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6.06%</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-4.15%</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其他业务收入</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45,503,569.05</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1.40%</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0.96%</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66.55%</w:t>
            </w:r>
          </w:p>
        </w:tc>
      </w:tr>
      <w:tr w:rsidR="00A95787">
        <w:trPr>
          <w:trHeight w:val="240"/>
        </w:trPr>
        <w:tc>
          <w:tcPr>
            <w:tcW w:w="963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2,555,026,076.94</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78.34%</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2,523,803,516.03</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88.30%</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仓储</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166,017,854.30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5.09%</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6.06%</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-4.15%</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540,267,972.28</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16.57%</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161,133,149.99</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5.64%</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235.29%</w:t>
            </w:r>
          </w:p>
        </w:tc>
      </w:tr>
      <w:tr w:rsidR="00A95787">
        <w:trPr>
          <w:trHeight w:val="240"/>
        </w:trPr>
        <w:tc>
          <w:tcPr>
            <w:tcW w:w="963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华东</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1,554,739,341.61</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47.67%</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1,543,985,336.38</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54.02%</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0.70%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华北</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603,522,607.05</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18.51%</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604,413,318.71</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21.15%</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-0.15%</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华中</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469,946,407.86</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14.41%</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82,036,537.40</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2.87%</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103.28%</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华南</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193,408,125.74</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5.93%</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190,454,183.89</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6.66%</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160.74%</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439,695,421.26</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13.48%</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15.30%</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0.56%</w:t>
            </w:r>
          </w:p>
        </w:tc>
      </w:tr>
      <w:tr w:rsidR="00A95787">
        <w:trPr>
          <w:trHeight w:val="240"/>
        </w:trPr>
        <w:tc>
          <w:tcPr>
            <w:tcW w:w="963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分销售模式</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直销</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2,872,172,806.27</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88.07%</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2,352,291,641.43</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82.30%</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代销</w:t>
            </w:r>
          </w:p>
        </w:tc>
        <w:tc>
          <w:tcPr>
            <w:tcW w:w="1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389,139,097.25</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11.93%</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505,855,061.04</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17.70%</w:t>
            </w:r>
          </w:p>
        </w:tc>
        <w:tc>
          <w:tcPr>
            <w:tcW w:w="1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-23.07%</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21" w:name="_Toc988910"/>
      <w:r>
        <w:rPr>
          <w:rFonts w:ascii="宋体" w:eastAsia="宋体" w:hAnsi="宋体" w:cs="宋体"/>
          <w:b/>
          <w:bCs/>
          <w:sz w:val="18"/>
          <w:szCs w:val="18"/>
        </w:rPr>
        <w:t>（2） 占公司营业收入或营业利润10%以上的行业、产品、地区、销售模式的情况</w:t>
      </w:r>
      <w:bookmarkEnd w:id="2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62"/>
        <w:gridCol w:w="1713"/>
        <w:gridCol w:w="1712"/>
        <w:gridCol w:w="1013"/>
        <w:gridCol w:w="1325"/>
        <w:gridCol w:w="1400"/>
        <w:gridCol w:w="1325"/>
      </w:tblGrid>
      <w:tr w:rsidR="00A95787">
        <w:trPr>
          <w:trHeight w:val="240"/>
        </w:trPr>
        <w:tc>
          <w:tcPr>
            <w:tcW w:w="11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7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营业收入</w:t>
            </w:r>
          </w:p>
        </w:tc>
        <w:tc>
          <w:tcPr>
            <w:tcW w:w="1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营业成本</w:t>
            </w:r>
          </w:p>
        </w:tc>
        <w:tc>
          <w:tcPr>
            <w:tcW w:w="10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毛利率</w:t>
            </w: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营业收入比</w:t>
            </w:r>
            <w:r>
              <w:rPr>
                <w:rFonts w:ascii="宋体" w:eastAsia="宋体" w:hAnsi="宋体" w:cs="宋体" w:hint="eastAsia"/>
                <w:sz w:val="18"/>
                <w:szCs w:val="18"/>
              </w:rPr>
              <w:t xml:space="preserve"> </w:t>
            </w:r>
            <w:r>
              <w:rPr>
                <w:rFonts w:ascii="宋体" w:eastAsia="宋体" w:hAnsi="宋体" w:cs="宋体"/>
                <w:sz w:val="18"/>
                <w:szCs w:val="18"/>
              </w:rPr>
              <w:t>上年同期增减</w:t>
            </w:r>
          </w:p>
        </w:tc>
        <w:tc>
          <w:tcPr>
            <w:tcW w:w="14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营业成本比</w:t>
            </w:r>
            <w:r>
              <w:rPr>
                <w:rFonts w:ascii="宋体" w:eastAsia="宋体" w:hAnsi="宋体" w:cs="宋体" w:hint="eastAsia"/>
                <w:sz w:val="18"/>
                <w:szCs w:val="18"/>
              </w:rPr>
              <w:t xml:space="preserve">  </w:t>
            </w:r>
            <w:r>
              <w:rPr>
                <w:rFonts w:ascii="宋体" w:eastAsia="宋体" w:hAnsi="宋体" w:cs="宋体"/>
                <w:sz w:val="18"/>
                <w:szCs w:val="18"/>
              </w:rPr>
              <w:t>上年同期增减</w:t>
            </w: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毛利率比</w:t>
            </w:r>
            <w:r>
              <w:rPr>
                <w:rFonts w:ascii="宋体" w:eastAsia="宋体" w:hAnsi="宋体" w:cs="宋体" w:hint="eastAsia"/>
                <w:sz w:val="18"/>
                <w:szCs w:val="18"/>
              </w:rPr>
              <w:t xml:space="preserve">     </w:t>
            </w:r>
            <w:r>
              <w:rPr>
                <w:rFonts w:ascii="宋体" w:eastAsia="宋体" w:hAnsi="宋体" w:cs="宋体"/>
                <w:sz w:val="18"/>
                <w:szCs w:val="18"/>
              </w:rPr>
              <w:t>上年同期增减</w:t>
            </w:r>
          </w:p>
        </w:tc>
      </w:tr>
      <w:tr w:rsidR="00A95787">
        <w:trPr>
          <w:trHeight w:val="240"/>
        </w:trPr>
        <w:tc>
          <w:tcPr>
            <w:tcW w:w="9650"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分行业</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纺织化纤</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3,049,790,480.17</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2,967,396,572.97</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2.70%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14.76%</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13.25%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1.29%</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仓储</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166,017,854.30</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53,615,907.72</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67.70%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-4.15%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-1.77%</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-0.79%</w:t>
            </w:r>
          </w:p>
        </w:tc>
      </w:tr>
      <w:tr w:rsidR="00A95787">
        <w:trPr>
          <w:trHeight w:val="240"/>
        </w:trPr>
        <w:tc>
          <w:tcPr>
            <w:tcW w:w="9650"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分产品</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涤纶短纤维</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2,555,026,076.94</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2,467,146,437.65</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3.44%</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1.24%</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-0.45%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1.63%</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仓储</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166,017,854.30</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53,615,907.72</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67.70%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-4.15%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-1.77%</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-0.79%</w:t>
            </w:r>
          </w:p>
        </w:tc>
      </w:tr>
      <w:tr w:rsidR="00A95787">
        <w:trPr>
          <w:trHeight w:val="240"/>
        </w:trPr>
        <w:tc>
          <w:tcPr>
            <w:tcW w:w="9650"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分地区</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华东</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1,509,235,772.56</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1,377,255,426.59</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8.74%</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-0.49%</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-1.22%</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0.67%</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华北</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603,522,607.05</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586,845,926.77</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2.76%</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-0.15%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-1.86%</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1.69%</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华中</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469,946,407.86</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454,972,443.89</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3.19%</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274.51%</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267.40%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1.88%</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华南</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193,408,125.74</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188,289,530.72</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2.65%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31.56%</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29.20%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1.79%</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其他</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439,695,421.26</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413,649,152.72</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5.92%</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0.56%</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0.15%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0.38%</w:t>
            </w:r>
          </w:p>
        </w:tc>
      </w:tr>
      <w:tr w:rsidR="00A95787">
        <w:trPr>
          <w:trHeight w:val="240"/>
        </w:trPr>
        <w:tc>
          <w:tcPr>
            <w:tcW w:w="9650"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分销售模式</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直销</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2,826,669,237.22</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2,642,661,875.77</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6.51%</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21.58%</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21.55%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0.02%</w:t>
            </w:r>
          </w:p>
        </w:tc>
      </w:tr>
      <w:tr w:rsidR="00A95787">
        <w:trPr>
          <w:trHeight w:val="240"/>
        </w:trPr>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代销</w:t>
            </w:r>
          </w:p>
        </w:tc>
        <w:tc>
          <w:tcPr>
            <w:tcW w:w="17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389,139,097.25</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378,350,604.92</w:t>
            </w:r>
          </w:p>
        </w:tc>
        <w:tc>
          <w:tcPr>
            <w:tcW w:w="10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2.77%</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-23.07%</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-24.43%</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1.74%</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公司主营业务数据统计口径在报告期发生调整的情况下，公司最近1年按报告期末口径调整后的主营业务数据</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3"/>
        <w:gridCol w:w="1337"/>
        <w:gridCol w:w="1388"/>
        <w:gridCol w:w="1812"/>
        <w:gridCol w:w="2300"/>
        <w:gridCol w:w="1400"/>
      </w:tblGrid>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产品名称</w:t>
            </w:r>
          </w:p>
        </w:tc>
        <w:tc>
          <w:tcPr>
            <w:tcW w:w="13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产量</w:t>
            </w:r>
          </w:p>
        </w:tc>
        <w:tc>
          <w:tcPr>
            <w:tcW w:w="13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销量</w:t>
            </w:r>
          </w:p>
        </w:tc>
        <w:tc>
          <w:tcPr>
            <w:tcW w:w="18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收入实现情况</w:t>
            </w:r>
          </w:p>
        </w:tc>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报告期内的售价走势</w:t>
            </w:r>
          </w:p>
        </w:tc>
        <w:tc>
          <w:tcPr>
            <w:tcW w:w="14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涤纶短纤维</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382,346吨</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381,172吨</w:t>
            </w:r>
          </w:p>
        </w:tc>
        <w:tc>
          <w:tcPr>
            <w:tcW w:w="18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 xml:space="preserve"> 2,555,026,076.94</w:t>
            </w:r>
          </w:p>
        </w:tc>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产品上半年平均不含税售价6,756.62元/吨，同比增加了1.33%，下半年平均不含税售价6,656.82元/吨，同比减少了1.44%。</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受原材料及市场需求影响。</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境外业务产生的营业收入或净利润占公司最近一个会计年度经审计营业收入或净利润10%以上</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00"/>
        <w:gridCol w:w="2563"/>
        <w:gridCol w:w="2637"/>
        <w:gridCol w:w="2150"/>
      </w:tblGrid>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境外业务名称</w:t>
            </w:r>
          </w:p>
        </w:tc>
        <w:tc>
          <w:tcPr>
            <w:tcW w:w="25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开展的具体情况</w:t>
            </w:r>
          </w:p>
        </w:tc>
        <w:tc>
          <w:tcPr>
            <w:tcW w:w="26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报告期内税收政策对境外业务的影响</w:t>
            </w:r>
          </w:p>
        </w:tc>
        <w:tc>
          <w:tcPr>
            <w:tcW w:w="2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公司的应对措施</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涤纶短纤维的销售</w:t>
            </w:r>
          </w:p>
        </w:tc>
        <w:tc>
          <w:tcPr>
            <w:tcW w:w="25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公司涤纶短纤维主要销往以色列、波兰、德国等国家，报告期出口总额43,969.54万元。</w:t>
            </w:r>
          </w:p>
        </w:tc>
        <w:tc>
          <w:tcPr>
            <w:tcW w:w="2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报告期税收政策未发生变化。</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不适用</w:t>
            </w:r>
            <w:r>
              <w:rPr>
                <w:rFonts w:ascii="宋体" w:eastAsia="宋体" w:hAnsi="宋体" w:cs="宋体" w:hint="eastAsia"/>
                <w:sz w:val="18"/>
                <w:szCs w:val="18"/>
              </w:rPr>
              <w:t>。</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22" w:name="_Toc988911"/>
      <w:r>
        <w:rPr>
          <w:rFonts w:ascii="宋体" w:eastAsia="宋体" w:hAnsi="宋体" w:cs="宋体"/>
          <w:b/>
          <w:bCs/>
          <w:sz w:val="18"/>
          <w:szCs w:val="18"/>
        </w:rPr>
        <w:t>（3） 公司实物销售收入是否大于劳务收入</w:t>
      </w:r>
      <w:bookmarkEnd w:id="2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97"/>
        <w:gridCol w:w="1606"/>
        <w:gridCol w:w="1606"/>
        <w:gridCol w:w="1607"/>
        <w:gridCol w:w="1607"/>
        <w:gridCol w:w="1715"/>
      </w:tblGrid>
      <w:tr w:rsidR="00A95787">
        <w:trPr>
          <w:trHeight w:val="240"/>
        </w:trPr>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单位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71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95787">
        <w:trPr>
          <w:trHeight w:val="240"/>
        </w:trPr>
        <w:tc>
          <w:tcPr>
            <w:tcW w:w="1497" w:type="dxa"/>
            <w:vMerge w:val="restart"/>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化学纤维业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381,172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375,992</w:t>
            </w:r>
          </w:p>
        </w:tc>
        <w:tc>
          <w:tcPr>
            <w:tcW w:w="17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w:t>
            </w:r>
          </w:p>
        </w:tc>
      </w:tr>
      <w:tr w:rsidR="00A95787">
        <w:trPr>
          <w:trHeight w:val="240"/>
        </w:trPr>
        <w:tc>
          <w:tcPr>
            <w:tcW w:w="1497"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382,346</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385,312</w:t>
            </w:r>
          </w:p>
        </w:tc>
        <w:tc>
          <w:tcPr>
            <w:tcW w:w="17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-0.77%</w:t>
            </w:r>
          </w:p>
        </w:tc>
      </w:tr>
      <w:tr w:rsidR="00A95787">
        <w:trPr>
          <w:trHeight w:val="240"/>
        </w:trPr>
        <w:tc>
          <w:tcPr>
            <w:tcW w:w="1497"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22,482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21,308</w:t>
            </w:r>
          </w:p>
        </w:tc>
        <w:tc>
          <w:tcPr>
            <w:tcW w:w="17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 w:val="18"/>
          <w:szCs w:val="18"/>
        </w:rPr>
      </w:pPr>
      <w:bookmarkStart w:id="23" w:name="_Toc988912"/>
      <w:r>
        <w:rPr>
          <w:rFonts w:ascii="宋体" w:eastAsia="宋体" w:hAnsi="宋体" w:cs="宋体"/>
          <w:b/>
          <w:bCs/>
          <w:sz w:val="18"/>
          <w:szCs w:val="18"/>
        </w:rPr>
        <w:t>（4） 公司已签订的重大销售合同、重大采购合同截至本报告期的履行情况</w:t>
      </w:r>
      <w:bookmarkEnd w:id="2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 w:val="18"/>
          <w:szCs w:val="18"/>
        </w:rPr>
      </w:pPr>
      <w:bookmarkStart w:id="24" w:name="_Toc988913"/>
      <w:r>
        <w:rPr>
          <w:rFonts w:ascii="宋体" w:eastAsia="宋体" w:hAnsi="宋体" w:cs="宋体"/>
          <w:b/>
          <w:bCs/>
          <w:sz w:val="18"/>
          <w:szCs w:val="18"/>
        </w:rPr>
        <w:t>（5） 营业成本构成</w:t>
      </w:r>
      <w:bookmarkEnd w:id="24"/>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产品分类</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53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8"/>
        <w:gridCol w:w="1270"/>
        <w:gridCol w:w="1775"/>
        <w:gridCol w:w="1200"/>
        <w:gridCol w:w="1725"/>
        <w:gridCol w:w="1162"/>
        <w:gridCol w:w="1130"/>
      </w:tblGrid>
      <w:tr w:rsidR="00A95787">
        <w:trPr>
          <w:trHeight w:val="240"/>
        </w:trPr>
        <w:tc>
          <w:tcPr>
            <w:tcW w:w="12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产品分类</w:t>
            </w:r>
          </w:p>
        </w:tc>
        <w:tc>
          <w:tcPr>
            <w:tcW w:w="12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9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2024年</w:t>
            </w:r>
          </w:p>
        </w:tc>
        <w:tc>
          <w:tcPr>
            <w:tcW w:w="288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2023年</w:t>
            </w:r>
          </w:p>
        </w:tc>
        <w:tc>
          <w:tcPr>
            <w:tcW w:w="11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同比增减</w:t>
            </w:r>
          </w:p>
        </w:tc>
      </w:tr>
      <w:tr w:rsidR="00A95787">
        <w:trPr>
          <w:trHeight w:val="240"/>
        </w:trPr>
        <w:tc>
          <w:tcPr>
            <w:tcW w:w="12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27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7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11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13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涤纶短纤维</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原材料</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2,129,503,703.26</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86.31%</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2,136,498,582.99</w:t>
            </w:r>
          </w:p>
        </w:tc>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86.21%</w:t>
            </w:r>
          </w:p>
        </w:tc>
        <w:tc>
          <w:tcPr>
            <w:tcW w:w="11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-0.33%</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涤纶短纤维</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人工工资</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52,724,606.90</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2.14%</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52,107,505.06</w:t>
            </w:r>
          </w:p>
        </w:tc>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2.10%</w:t>
            </w:r>
          </w:p>
        </w:tc>
        <w:tc>
          <w:tcPr>
            <w:tcW w:w="11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1.18%</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涤纶短纤维</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制造费用</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284,918,127.49</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11.55%</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289,636,866.64</w:t>
            </w:r>
          </w:p>
        </w:tc>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11.69%</w:t>
            </w:r>
          </w:p>
        </w:tc>
        <w:tc>
          <w:tcPr>
            <w:tcW w:w="11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-1.63%</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仓储</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人工工资</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20,892,175.84</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38.97%</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19,302,715.02</w:t>
            </w:r>
          </w:p>
        </w:tc>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35.36%</w:t>
            </w:r>
          </w:p>
        </w:tc>
        <w:tc>
          <w:tcPr>
            <w:tcW w:w="11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8.23%</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仓储</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制造费用</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32,723,731.88</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61.03%</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35,279,486.71</w:t>
            </w:r>
          </w:p>
        </w:tc>
        <w:tc>
          <w:tcPr>
            <w:tcW w:w="11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64.64%</w:t>
            </w:r>
          </w:p>
        </w:tc>
        <w:tc>
          <w:tcPr>
            <w:tcW w:w="11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-7.24%</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25" w:name="_Toc988914"/>
      <w:r>
        <w:rPr>
          <w:rFonts w:ascii="宋体" w:eastAsia="宋体" w:hAnsi="宋体" w:cs="宋体"/>
          <w:b/>
          <w:bCs/>
          <w:sz w:val="18"/>
          <w:szCs w:val="18"/>
        </w:rPr>
        <w:lastRenderedPageBreak/>
        <w:t>（6） 报告期内合并范围是否发生变动</w:t>
      </w:r>
      <w:bookmarkEnd w:id="2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keepNext/>
        <w:keepLines/>
        <w:spacing w:before="300" w:after="300" w:line="280" w:lineRule="exact"/>
        <w:outlineLvl w:val="3"/>
        <w:rPr>
          <w:rFonts w:ascii="宋体" w:eastAsia="宋体" w:hAnsi="宋体" w:cs="宋体"/>
          <w:b/>
          <w:bCs/>
          <w:sz w:val="18"/>
          <w:szCs w:val="18"/>
        </w:rPr>
      </w:pPr>
      <w:bookmarkStart w:id="26" w:name="_Toc988915"/>
      <w:r>
        <w:rPr>
          <w:rFonts w:ascii="宋体" w:eastAsia="宋体" w:hAnsi="宋体" w:cs="宋体"/>
          <w:b/>
          <w:bCs/>
          <w:sz w:val="18"/>
          <w:szCs w:val="18"/>
        </w:rPr>
        <w:t>（7） 公司报告期内业务、产品或服务发生重大变化或调整有关情况</w:t>
      </w:r>
      <w:bookmarkEnd w:id="2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 w:val="18"/>
          <w:szCs w:val="18"/>
        </w:rPr>
      </w:pPr>
      <w:bookmarkStart w:id="27" w:name="_Toc988916"/>
      <w:r>
        <w:rPr>
          <w:rFonts w:ascii="宋体" w:eastAsia="宋体" w:hAnsi="宋体" w:cs="宋体"/>
          <w:b/>
          <w:bCs/>
          <w:sz w:val="18"/>
          <w:szCs w:val="18"/>
        </w:rPr>
        <w:t>（8） 主要销售客户和主要供应商情况</w:t>
      </w:r>
      <w:bookmarkEnd w:id="2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公司主要销售客户情况</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23"/>
        <w:gridCol w:w="4927"/>
      </w:tblGrid>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前五名客户合计销售金额（元）</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998,544,016.85</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前五名客户合计销售金额占年度销售总额比例</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30.62%</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前五名客户销售额中关联方销售额占年度销售总额比例</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公司前5大客户资料</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12"/>
        <w:gridCol w:w="2410"/>
        <w:gridCol w:w="2410"/>
        <w:gridCol w:w="2530"/>
      </w:tblGrid>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销售额（元）</w:t>
            </w:r>
          </w:p>
        </w:tc>
        <w:tc>
          <w:tcPr>
            <w:tcW w:w="25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占年度销售总额比例</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客户A</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389,139,097.25</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11.93%</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客户B</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272,466,617.20</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right"/>
              <w:rPr>
                <w:rFonts w:ascii="宋体" w:eastAsia="宋体" w:hAnsi="宋体" w:cs="宋体"/>
                <w:sz w:val="18"/>
                <w:szCs w:val="18"/>
              </w:rPr>
            </w:pPr>
            <w:r>
              <w:rPr>
                <w:rFonts w:ascii="宋体" w:eastAsia="宋体" w:hAnsi="宋体" w:cs="宋体"/>
                <w:sz w:val="18"/>
                <w:szCs w:val="18"/>
              </w:rPr>
              <w:t>8.3</w:t>
            </w:r>
            <w:r>
              <w:rPr>
                <w:rFonts w:ascii="宋体" w:eastAsia="宋体" w:hAnsi="宋体" w:cs="宋体" w:hint="eastAsia"/>
                <w:sz w:val="18"/>
                <w:szCs w:val="18"/>
              </w:rPr>
              <w:t>6</w:t>
            </w:r>
            <w:r w:rsidR="005D3CC1">
              <w:rPr>
                <w:rFonts w:ascii="宋体" w:eastAsia="宋体" w:hAnsi="宋体" w:cs="宋体"/>
                <w:sz w:val="18"/>
                <w:szCs w:val="18"/>
              </w:rPr>
              <w:t>%</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客户C</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136,062,773.10</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4.17%</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客户D</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107,239,896.82</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3.29%</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客户E</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93,635,632.48</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2.87%</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998,544,016.85</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30.62%</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主要客户其他情况说明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A95787">
      <w:pPr>
        <w:spacing w:before="100" w:after="100" w:line="240" w:lineRule="exact"/>
        <w:rPr>
          <w:rFonts w:ascii="宋体" w:eastAsia="宋体" w:hAnsi="宋体" w:cs="宋体"/>
          <w:sz w:val="18"/>
          <w:szCs w:val="18"/>
        </w:rPr>
      </w:pP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公司主要供应商情况</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23"/>
        <w:gridCol w:w="4939"/>
      </w:tblGrid>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前五名供应商合计采购金额（元）</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2,528,971,933.66</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前五名供应商合计采购金额占年度采购总额比例</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right"/>
              <w:rPr>
                <w:rFonts w:ascii="宋体" w:eastAsia="宋体" w:hAnsi="宋体" w:cs="宋体"/>
                <w:sz w:val="18"/>
                <w:szCs w:val="18"/>
              </w:rPr>
            </w:pPr>
            <w:r>
              <w:rPr>
                <w:rFonts w:ascii="宋体" w:eastAsia="宋体" w:hAnsi="宋体" w:cs="宋体"/>
                <w:sz w:val="18"/>
                <w:szCs w:val="18"/>
              </w:rPr>
              <w:t>79.4</w:t>
            </w:r>
            <w:r>
              <w:rPr>
                <w:rFonts w:ascii="宋体" w:eastAsia="宋体" w:hAnsi="宋体" w:cs="宋体" w:hint="eastAsia"/>
                <w:sz w:val="18"/>
                <w:szCs w:val="18"/>
              </w:rPr>
              <w:t>4</w:t>
            </w:r>
            <w:r w:rsidR="005D3CC1">
              <w:rPr>
                <w:rFonts w:ascii="宋体" w:eastAsia="宋体" w:hAnsi="宋体" w:cs="宋体"/>
                <w:sz w:val="18"/>
                <w:szCs w:val="18"/>
              </w:rPr>
              <w:t>%</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前五名供应商采购额中关联方采购额占年度采购总额比例</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right"/>
              <w:rPr>
                <w:rFonts w:ascii="宋体" w:eastAsia="宋体" w:hAnsi="宋体" w:cs="宋体"/>
                <w:sz w:val="18"/>
                <w:szCs w:val="18"/>
              </w:rPr>
            </w:pPr>
            <w:r>
              <w:rPr>
                <w:rFonts w:ascii="宋体" w:eastAsia="宋体" w:hAnsi="宋体" w:cs="宋体" w:hint="eastAsia"/>
                <w:sz w:val="18"/>
                <w:szCs w:val="18"/>
              </w:rPr>
              <w:t>0.00</w:t>
            </w:r>
            <w:r w:rsidR="00BC0A9A">
              <w:rPr>
                <w:rFonts w:ascii="宋体" w:eastAsia="宋体" w:hAnsi="宋体" w:cs="宋体" w:hint="eastAsia"/>
                <w:sz w:val="18"/>
                <w:szCs w:val="18"/>
              </w:rPr>
              <w:t>%</w:t>
            </w:r>
          </w:p>
        </w:tc>
      </w:tr>
    </w:tbl>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公司前5名供应商资料</w:t>
      </w:r>
    </w:p>
    <w:tbl>
      <w:tblPr>
        <w:tblW w:w="967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12"/>
        <w:gridCol w:w="2410"/>
        <w:gridCol w:w="2410"/>
        <w:gridCol w:w="2543"/>
      </w:tblGrid>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采购额（元）</w:t>
            </w:r>
          </w:p>
        </w:tc>
        <w:tc>
          <w:tcPr>
            <w:tcW w:w="25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占年度采购总额比例</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供应商A</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900,413,592.93</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28.28%</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供应商B</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770,465,074.96</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24.20%</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供应商C</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426,730,771.02</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13.40%</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供应商D</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281,919,576.09</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8.86%</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供应商E</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149,442,918.66</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right"/>
              <w:rPr>
                <w:rFonts w:ascii="宋体" w:eastAsia="宋体" w:hAnsi="宋体" w:cs="宋体"/>
                <w:sz w:val="18"/>
                <w:szCs w:val="18"/>
              </w:rPr>
            </w:pPr>
            <w:r>
              <w:rPr>
                <w:rFonts w:ascii="宋体" w:eastAsia="宋体" w:hAnsi="宋体" w:cs="宋体"/>
                <w:sz w:val="18"/>
                <w:szCs w:val="18"/>
              </w:rPr>
              <w:t>4.</w:t>
            </w:r>
            <w:r>
              <w:rPr>
                <w:rFonts w:ascii="宋体" w:eastAsia="宋体" w:hAnsi="宋体" w:cs="宋体" w:hint="eastAsia"/>
                <w:sz w:val="18"/>
                <w:szCs w:val="18"/>
              </w:rPr>
              <w:t>70</w:t>
            </w:r>
            <w:r w:rsidR="005D3CC1">
              <w:rPr>
                <w:rFonts w:ascii="宋体" w:eastAsia="宋体" w:hAnsi="宋体" w:cs="宋体"/>
                <w:sz w:val="18"/>
                <w:szCs w:val="18"/>
              </w:rPr>
              <w:t>%</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2,528,971,933.66</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300" w:lineRule="exact"/>
              <w:jc w:val="right"/>
              <w:rPr>
                <w:rFonts w:ascii="宋体" w:eastAsia="宋体" w:hAnsi="宋体" w:cs="宋体"/>
                <w:sz w:val="18"/>
                <w:szCs w:val="18"/>
              </w:rPr>
            </w:pPr>
            <w:r>
              <w:rPr>
                <w:rFonts w:ascii="宋体" w:eastAsia="宋体" w:hAnsi="宋体" w:cs="宋体"/>
                <w:sz w:val="18"/>
                <w:szCs w:val="18"/>
              </w:rPr>
              <w:t>79.4</w:t>
            </w:r>
            <w:r>
              <w:rPr>
                <w:rFonts w:ascii="宋体" w:eastAsia="宋体" w:hAnsi="宋体" w:cs="宋体" w:hint="eastAsia"/>
                <w:sz w:val="18"/>
                <w:szCs w:val="18"/>
              </w:rPr>
              <w:t>4</w:t>
            </w:r>
            <w:r w:rsidR="005D3CC1">
              <w:rPr>
                <w:rFonts w:ascii="宋体" w:eastAsia="宋体" w:hAnsi="宋体" w:cs="宋体"/>
                <w:sz w:val="18"/>
                <w:szCs w:val="18"/>
              </w:rPr>
              <w:t>%</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主要供应商其他情况说明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28" w:name="_Toc988917"/>
      <w:r>
        <w:rPr>
          <w:rFonts w:ascii="宋体" w:hAnsi="宋体" w:cs="宋体"/>
          <w:b/>
          <w:bCs/>
        </w:rPr>
        <w:lastRenderedPageBreak/>
        <w:t>3、费用</w:t>
      </w:r>
      <w:bookmarkEnd w:id="2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928"/>
        <w:gridCol w:w="1817"/>
        <w:gridCol w:w="1137"/>
        <w:gridCol w:w="2925"/>
      </w:tblGrid>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181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2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4,876,570.71</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8,023,562.16</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-39.22%</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主要原因是本期销售业务费比上年同期减少。</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55,037,967.34</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51,540,876.11</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6.79%</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23,899,805.98</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21,806,706.49</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9,609,265.63</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-8.37%</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1,338,000.36</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3,110,954.94</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-56.99%</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主要原因是本期收到的政府补助款比上年同期减少。</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36,080,403.22</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20,865,462.37</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72.92%</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主要原因是本期权益法核算的长期股权投资收益比上年同期增加。</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公允价值变动收益</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48,681,226.02</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1,370.15%</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主要原因是本期持有的金融资产产生的公允价值变动收益比上年同期增加。</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-2,234,374.84</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17,048.48</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-13,206.01%</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主要原因是本期计提的坏账准备比上年同期增加。</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资产减值损失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-60,102,208.55</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sz w:val="18"/>
                <w:szCs w:val="18"/>
              </w:rPr>
              <w:t>1,005.84%</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主要原因是本期计提的长期股权投资减值准备比上年同期增加。</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8,339,775.22</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342.58%</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主要原因是本期无需支付的款项比上年同期增加。</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194,781.29</w:t>
            </w:r>
          </w:p>
        </w:tc>
        <w:tc>
          <w:tcPr>
            <w:tcW w:w="181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623,052.98</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-68.74%</w:t>
            </w:r>
          </w:p>
        </w:tc>
        <w:tc>
          <w:tcPr>
            <w:tcW w:w="2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主要原因是本期捐赠支出比上年同期减少。</w:t>
            </w:r>
          </w:p>
        </w:tc>
      </w:tr>
    </w:tbl>
    <w:p w:rsidR="00A95787" w:rsidRDefault="005D3CC1">
      <w:pPr>
        <w:pStyle w:val="3"/>
        <w:spacing w:line="280" w:lineRule="exact"/>
        <w:jc w:val="left"/>
        <w:rPr>
          <w:rFonts w:ascii="宋体" w:hAnsi="宋体" w:cs="宋体"/>
          <w:b/>
          <w:bCs/>
        </w:rPr>
      </w:pPr>
      <w:bookmarkStart w:id="29" w:name="_Toc988918"/>
      <w:r>
        <w:rPr>
          <w:rFonts w:ascii="宋体" w:hAnsi="宋体" w:cs="宋体"/>
          <w:b/>
          <w:bCs/>
        </w:rPr>
        <w:t>4、研发投入</w:t>
      </w:r>
      <w:bookmarkEnd w:id="2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50"/>
        <w:gridCol w:w="2325"/>
        <w:gridCol w:w="1125"/>
        <w:gridCol w:w="2150"/>
        <w:gridCol w:w="2175"/>
      </w:tblGrid>
      <w:tr w:rsidR="00A95787">
        <w:trPr>
          <w:trHeight w:val="240"/>
        </w:trPr>
        <w:tc>
          <w:tcPr>
            <w:tcW w:w="18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主要研发项目名称</w:t>
            </w:r>
          </w:p>
        </w:tc>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项目目的</w:t>
            </w:r>
          </w:p>
        </w:tc>
        <w:tc>
          <w:tcPr>
            <w:tcW w:w="11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项目进展</w:t>
            </w:r>
          </w:p>
        </w:tc>
        <w:tc>
          <w:tcPr>
            <w:tcW w:w="2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拟达到的目标</w:t>
            </w:r>
          </w:p>
        </w:tc>
        <w:tc>
          <w:tcPr>
            <w:tcW w:w="2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预计对公司</w:t>
            </w:r>
            <w:r>
              <w:rPr>
                <w:rFonts w:ascii="宋体" w:eastAsia="宋体" w:hAnsi="宋体" w:cs="宋体" w:hint="eastAsia"/>
                <w:sz w:val="18"/>
                <w:szCs w:val="18"/>
              </w:rPr>
              <w:t xml:space="preserve">      </w:t>
            </w:r>
            <w:r>
              <w:rPr>
                <w:rFonts w:ascii="宋体" w:eastAsia="宋体" w:hAnsi="宋体" w:cs="宋体"/>
                <w:sz w:val="18"/>
                <w:szCs w:val="18"/>
              </w:rPr>
              <w:t>未来发展的影响</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12mm超短仿麻纤维的研发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满足客户需求，拓宽销售</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用于仿麻面料的生产</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增加新品</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蓝光增白短纤的研发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满足客户需求，拓宽销售</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在研</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用于纺织面料的生产</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增加新品</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吊具锁箱驱动机构的研发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为确保集装箱在运输过程中的安全</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jc w:val="both"/>
              <w:rPr>
                <w:rFonts w:ascii="宋体" w:eastAsia="宋体" w:hAnsi="宋体" w:cs="宋体"/>
                <w:sz w:val="18"/>
                <w:szCs w:val="18"/>
              </w:rPr>
            </w:pPr>
            <w:r>
              <w:rPr>
                <w:rFonts w:ascii="宋体" w:eastAsia="宋体" w:hAnsi="宋体" w:cs="宋体"/>
                <w:sz w:val="18"/>
                <w:szCs w:val="18"/>
              </w:rPr>
              <w:t>降低故障率，可以观察齿轮盘的转动，便于精确操作，锁箱开箱限位精准，简洁容易调整。</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jc w:val="both"/>
              <w:rPr>
                <w:rFonts w:ascii="宋体" w:eastAsia="宋体" w:hAnsi="宋体" w:cs="宋体"/>
                <w:sz w:val="18"/>
                <w:szCs w:val="18"/>
              </w:rPr>
            </w:pPr>
            <w:r>
              <w:rPr>
                <w:rFonts w:ascii="宋体" w:eastAsia="宋体" w:hAnsi="宋体" w:cs="宋体"/>
                <w:sz w:val="18"/>
                <w:szCs w:val="18"/>
              </w:rPr>
              <w:t>增加作业安全性，增强公司竞争力。</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热井液位远传监测系统的研发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为实现自动告警</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本系统实现了对锅炉双色液位计的无人化、实时化监测，同时识别结果稳定。</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降低故障率，保证安全生产。</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切粒振动筛清孔工具的研发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为了提高堵塞筛孔疏通效率</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可实现大面积批量清孔操作。</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jc w:val="both"/>
              <w:rPr>
                <w:rFonts w:ascii="宋体" w:eastAsia="宋体" w:hAnsi="宋体" w:cs="宋体"/>
                <w:sz w:val="18"/>
                <w:szCs w:val="18"/>
              </w:rPr>
            </w:pPr>
            <w:r>
              <w:rPr>
                <w:rFonts w:ascii="宋体" w:eastAsia="宋体" w:hAnsi="宋体" w:cs="宋体"/>
                <w:sz w:val="18"/>
                <w:szCs w:val="18"/>
              </w:rPr>
              <w:t>提高了作业效率，降低成本，增强了公司的竞争力</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高效率化工码头物流管理系统的研发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实现码头船舶调度、货物追踪、安全预警、物流优化分析、库存控制、费用及合同管理、客户协作门户和环保能效监控等功能，同时确保环保与安全标准的达成，实现对无人驾驶物流车辆的高效调度与管理</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完成对码头物流管理软件开发、高效率化工码头物流管理平台、无人驾驶码头物流车辆调度管理平台的开发，使化工码头物流管理系统各项功能更为完备，且运行较为稳定，数据安全有保障，实现安全管控一体化。</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提高运营效率，降低成本，增强公司市场竞争力</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安全便捷型液体化工品卸车装置的研发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有效提高异丁醛卸车安全性，且进一步提高液体化工品的卸车效率</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1）完成对异丁醛卸车工艺的研发，实现异丁醛卸车期间避免空气中的氧气进入槽车而导致异丁醛变质，提高安全性。（2）完成对液体化工品仓储多工位进库卸车装置的研发，实现对多个槽车同时卸料，提高卸料效率及效果，且能有效保障液体化工品的品质。</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jc w:val="both"/>
              <w:rPr>
                <w:rFonts w:ascii="宋体" w:eastAsia="宋体" w:hAnsi="宋体" w:cs="宋体"/>
                <w:sz w:val="18"/>
                <w:szCs w:val="18"/>
              </w:rPr>
            </w:pPr>
            <w:r>
              <w:rPr>
                <w:rFonts w:ascii="宋体" w:eastAsia="宋体" w:hAnsi="宋体" w:cs="宋体"/>
                <w:sz w:val="18"/>
                <w:szCs w:val="18"/>
              </w:rPr>
              <w:t>增强作业安全性及服务效率，提高公司的市场竞争力</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苯酚废气再处理装置的研发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实现对苯酚尾气进行二级处理，防止剩余苯酚废气进入尾气回收装置，且可对挥发性气体和苯酚结晶进行收集，进一步降低储罐安全隐患</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1）完成储罐苯酚废气再处理装置的研发，实现对苯酚尾气的二级处理，避免苯酚尾气进入尾气回收管线内而产生安全隐患。（2）完成对苯酚储罐计量孔排气收集装置的研发，实现对挥发性气体和苯酚结晶的收集，提升溶解液吸收苯酚废气效果，进一步降低苯酚储罐的安全隐患。</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jc w:val="both"/>
              <w:rPr>
                <w:rFonts w:ascii="宋体" w:eastAsia="宋体" w:hAnsi="宋体" w:cs="宋体"/>
                <w:sz w:val="18"/>
                <w:szCs w:val="18"/>
              </w:rPr>
            </w:pPr>
            <w:r>
              <w:rPr>
                <w:rFonts w:ascii="宋体" w:eastAsia="宋体" w:hAnsi="宋体" w:cs="宋体"/>
                <w:sz w:val="18"/>
                <w:szCs w:val="18"/>
              </w:rPr>
              <w:t>降低苯酚储罐的安全隐患，避免对环境造成污染及影响员工身体健康，提升公司服务质量</w:t>
            </w:r>
          </w:p>
        </w:tc>
      </w:tr>
      <w:tr w:rsidR="00A95787">
        <w:trPr>
          <w:trHeight w:val="240"/>
        </w:trPr>
        <w:tc>
          <w:tcPr>
            <w:tcW w:w="1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化工码头仓储卸车防混系统的研发</w:t>
            </w:r>
          </w:p>
        </w:tc>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实现对化工产品卸车的全程监控、实时分析与智能预警，有效提高化工品的安全管理水平，优化物流与仓储效率，同时加强企业的成本控制和客户服务能力</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已完成</w:t>
            </w:r>
          </w:p>
        </w:tc>
        <w:tc>
          <w:tcPr>
            <w:tcW w:w="2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完成对化工码头仓储卸车防混智能检测系统、仓储卸车防混检测画面传递系统的开发，提升化工品卸车的安全性与效率，同时降低环境风险和操作失误，有效提高化工品卸车的安全管理水平。</w:t>
            </w:r>
          </w:p>
        </w:tc>
        <w:tc>
          <w:tcPr>
            <w:tcW w:w="2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为客户提供一站式智能解决方案，给客户提供高品质服务，增强公司市场竞争力</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公司研发人员情况</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00"/>
        <w:gridCol w:w="2410"/>
        <w:gridCol w:w="2410"/>
        <w:gridCol w:w="2505"/>
      </w:tblGrid>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2023年</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变动比例</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46</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-2.17%</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4.99%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5.23%</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减少了0.24个百分点</w:t>
            </w:r>
          </w:p>
        </w:tc>
      </w:tr>
      <w:tr w:rsidR="00A95787">
        <w:trPr>
          <w:trHeight w:val="240"/>
        </w:trPr>
        <w:tc>
          <w:tcPr>
            <w:tcW w:w="962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研发人员学历结构</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7.14%</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大专及以下</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31</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-6.45%</w:t>
            </w:r>
          </w:p>
        </w:tc>
      </w:tr>
      <w:tr w:rsidR="00A95787">
        <w:trPr>
          <w:trHeight w:val="240"/>
        </w:trPr>
        <w:tc>
          <w:tcPr>
            <w:tcW w:w="962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研发人员年龄构成</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40岁以上</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-3.33%</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公司研发投入情况</w:t>
      </w:r>
    </w:p>
    <w:tbl>
      <w:tblPr>
        <w:tblW w:w="9600" w:type="dxa"/>
        <w:tblInd w:w="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75"/>
        <w:gridCol w:w="2410"/>
        <w:gridCol w:w="2410"/>
        <w:gridCol w:w="2505"/>
      </w:tblGrid>
      <w:tr w:rsidR="00A95787">
        <w:trPr>
          <w:trHeight w:val="240"/>
        </w:trPr>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A95787">
        <w:trPr>
          <w:trHeight w:val="240"/>
        </w:trPr>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9,609,265.63</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-8.37%</w:t>
            </w:r>
          </w:p>
        </w:tc>
      </w:tr>
      <w:tr w:rsidR="00A95787">
        <w:trPr>
          <w:trHeight w:val="240"/>
        </w:trPr>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减少了0.08个百分点</w:t>
            </w:r>
          </w:p>
        </w:tc>
      </w:tr>
      <w:tr w:rsidR="00A95787">
        <w:trPr>
          <w:trHeight w:val="240"/>
        </w:trPr>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公司研发人员构成发生重大变化的原因及影响</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研发投入总额占营业收入的比重较上年发生显著变化的原因</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B40B1D">
      <w:pPr>
        <w:spacing w:before="100" w:after="100" w:line="240" w:lineRule="exact"/>
        <w:rPr>
          <w:rFonts w:ascii="宋体" w:eastAsia="宋体" w:hAnsi="宋体" w:cs="宋体"/>
          <w:sz w:val="18"/>
          <w:szCs w:val="18"/>
        </w:rPr>
      </w:pPr>
      <w:r>
        <w:rPr>
          <w:rFonts w:ascii="宋体" w:eastAsia="宋体" w:hAnsi="宋体" w:cs="宋体"/>
          <w:sz w:val="18"/>
          <w:szCs w:val="18"/>
        </w:rPr>
        <w:t>研发投入资本化率大幅变动的原因及其合理性说明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30" w:name="_Toc988919"/>
      <w:r>
        <w:rPr>
          <w:rFonts w:ascii="宋体" w:hAnsi="宋体" w:cs="宋体"/>
          <w:b/>
          <w:bCs/>
        </w:rPr>
        <w:t>5、现金流</w:t>
      </w:r>
      <w:bookmarkEnd w:id="3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587" w:type="dxa"/>
        <w:tblInd w:w="1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62"/>
        <w:gridCol w:w="2500"/>
        <w:gridCol w:w="2550"/>
        <w:gridCol w:w="1675"/>
      </w:tblGrid>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5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5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3,514,018,359.46</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3,225,973,006.18</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8.93%</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3,446,986,426.57</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3,297,353,321.62</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4.54%</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67,031,932.89</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-71,380,315.44</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193.91%</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335,989,589.40</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219,818,154.00</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52.85%</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480,352,534.84</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345.23%</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-144,362,945.44</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111,930,419.72</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-228.98%</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1,509,500,000.00</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1,940,220,000.00</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-22.20%</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1,636,403,576.45</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1,893,752,920.97</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-13.59%</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-126,903,576.45</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46,467,079.03</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-373.10%</w:t>
            </w:r>
          </w:p>
        </w:tc>
      </w:tr>
      <w:tr w:rsidR="00A95787">
        <w:trPr>
          <w:trHeight w:val="240"/>
        </w:trPr>
        <w:tc>
          <w:tcPr>
            <w:tcW w:w="2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2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-198,183,138.03</w:t>
            </w:r>
          </w:p>
        </w:tc>
        <w:tc>
          <w:tcPr>
            <w:tcW w:w="2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88,076,438.44</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-325.01%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相关数据同比发生重大变动的主要影响因素说明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line="276" w:lineRule="auto"/>
        <w:ind w:firstLineChars="200" w:firstLine="360"/>
        <w:rPr>
          <w:rFonts w:ascii="宋体" w:hAnsi="宋体"/>
          <w:sz w:val="18"/>
          <w:szCs w:val="18"/>
        </w:rPr>
      </w:pPr>
      <w:r>
        <w:rPr>
          <w:rFonts w:ascii="宋体" w:hAnsi="宋体" w:hint="eastAsia"/>
          <w:sz w:val="18"/>
          <w:szCs w:val="18"/>
        </w:rPr>
        <w:t>经营活动产生的现金流量净额本期金额比上年同期金额增加了193.91%，主要原因是：</w:t>
      </w:r>
      <w:r>
        <w:rPr>
          <w:rFonts w:ascii="宋体" w:hAnsi="宋体" w:hint="eastAsia"/>
          <w:sz w:val="18"/>
          <w:szCs w:val="18"/>
        </w:rPr>
        <w:fldChar w:fldCharType="begin"/>
      </w:r>
      <w:r>
        <w:rPr>
          <w:rFonts w:ascii="宋体" w:hAnsi="宋体" w:hint="eastAsia"/>
          <w:sz w:val="18"/>
          <w:szCs w:val="18"/>
        </w:rPr>
        <w:instrText>= 1 \* GB3</w:instrText>
      </w:r>
      <w:r>
        <w:rPr>
          <w:rFonts w:ascii="宋体" w:hAnsi="宋体" w:hint="eastAsia"/>
          <w:sz w:val="18"/>
          <w:szCs w:val="18"/>
        </w:rPr>
        <w:fldChar w:fldCharType="separate"/>
      </w:r>
      <w:r>
        <w:rPr>
          <w:rFonts w:ascii="宋体" w:hAnsi="宋体" w:hint="eastAsia"/>
          <w:sz w:val="18"/>
          <w:szCs w:val="18"/>
        </w:rPr>
        <w:t>①</w:t>
      </w:r>
      <w:r>
        <w:rPr>
          <w:rFonts w:ascii="宋体" w:hAnsi="宋体" w:hint="eastAsia"/>
          <w:sz w:val="18"/>
          <w:szCs w:val="18"/>
        </w:rPr>
        <w:fldChar w:fldCharType="end"/>
      </w:r>
      <w:r>
        <w:rPr>
          <w:rFonts w:ascii="宋体" w:hAnsi="宋体" w:hint="eastAsia"/>
          <w:sz w:val="18"/>
          <w:szCs w:val="18"/>
        </w:rPr>
        <w:t>本期销售商品收到的现金比上年同期增加30,574.72万元，而本期采购商品、接受劳务支付的现金比上年同期增加18,399.69万元,</w:t>
      </w:r>
      <w:bookmarkStart w:id="31" w:name="OLE_LINK6"/>
      <w:bookmarkStart w:id="32" w:name="OLE_LINK7"/>
      <w:r>
        <w:rPr>
          <w:rFonts w:ascii="宋体" w:hAnsi="宋体" w:hint="eastAsia"/>
          <w:sz w:val="18"/>
          <w:szCs w:val="18"/>
        </w:rPr>
        <w:t>两项相比产生了12,175.03万元现金流入差额；</w:t>
      </w:r>
      <w:bookmarkEnd w:id="31"/>
      <w:bookmarkEnd w:id="32"/>
      <w:r>
        <w:rPr>
          <w:rFonts w:ascii="宋体" w:hAnsi="宋体" w:hint="eastAsia"/>
          <w:sz w:val="18"/>
          <w:szCs w:val="18"/>
        </w:rPr>
        <w:fldChar w:fldCharType="begin"/>
      </w:r>
      <w:r>
        <w:rPr>
          <w:rFonts w:ascii="宋体" w:hAnsi="宋体" w:hint="eastAsia"/>
          <w:sz w:val="18"/>
          <w:szCs w:val="18"/>
        </w:rPr>
        <w:instrText>= 2 \* GB3</w:instrText>
      </w:r>
      <w:r>
        <w:rPr>
          <w:rFonts w:ascii="宋体" w:hAnsi="宋体" w:hint="eastAsia"/>
          <w:sz w:val="18"/>
          <w:szCs w:val="18"/>
        </w:rPr>
        <w:fldChar w:fldCharType="separate"/>
      </w:r>
      <w:r>
        <w:rPr>
          <w:rFonts w:ascii="宋体" w:hAnsi="宋体" w:hint="eastAsia"/>
          <w:sz w:val="18"/>
          <w:szCs w:val="18"/>
        </w:rPr>
        <w:t>②</w:t>
      </w:r>
      <w:r>
        <w:rPr>
          <w:rFonts w:ascii="宋体" w:hAnsi="宋体" w:hint="eastAsia"/>
          <w:sz w:val="18"/>
          <w:szCs w:val="18"/>
        </w:rPr>
        <w:fldChar w:fldCharType="end"/>
      </w:r>
      <w:r>
        <w:rPr>
          <w:rFonts w:ascii="宋体" w:hAnsi="宋体" w:hint="eastAsia"/>
          <w:sz w:val="18"/>
          <w:szCs w:val="18"/>
        </w:rPr>
        <w:t>本期支付的各项税费比上年同期减少。</w:t>
      </w:r>
    </w:p>
    <w:p w:rsidR="00A95787" w:rsidRDefault="005D3CC1">
      <w:pPr>
        <w:spacing w:line="276" w:lineRule="auto"/>
        <w:ind w:firstLineChars="200" w:firstLine="360"/>
        <w:rPr>
          <w:rFonts w:ascii="宋体" w:hAnsi="宋体"/>
          <w:sz w:val="18"/>
          <w:szCs w:val="18"/>
        </w:rPr>
      </w:pPr>
      <w:bookmarkStart w:id="33" w:name="OLE_LINK4"/>
      <w:bookmarkStart w:id="34" w:name="OLE_LINK3"/>
      <w:r>
        <w:rPr>
          <w:rFonts w:ascii="宋体" w:hAnsi="宋体" w:hint="eastAsia"/>
          <w:sz w:val="18"/>
          <w:szCs w:val="18"/>
        </w:rPr>
        <w:t>投资活动产生的现金流量净额本期金额比上年同期金额减少了228.98%，主要原因是：</w:t>
      </w:r>
      <w:bookmarkEnd w:id="33"/>
      <w:bookmarkEnd w:id="34"/>
      <w:r>
        <w:rPr>
          <w:rFonts w:ascii="宋体" w:hAnsi="宋体" w:hint="eastAsia"/>
          <w:sz w:val="18"/>
          <w:szCs w:val="18"/>
        </w:rPr>
        <w:fldChar w:fldCharType="begin"/>
      </w:r>
      <w:r>
        <w:rPr>
          <w:rFonts w:ascii="宋体" w:hAnsi="宋体" w:hint="eastAsia"/>
          <w:sz w:val="18"/>
          <w:szCs w:val="18"/>
        </w:rPr>
        <w:instrText>= 1 \* GB3</w:instrText>
      </w:r>
      <w:r>
        <w:rPr>
          <w:rFonts w:ascii="宋体" w:hAnsi="宋体" w:hint="eastAsia"/>
          <w:sz w:val="18"/>
          <w:szCs w:val="18"/>
        </w:rPr>
        <w:fldChar w:fldCharType="separate"/>
      </w:r>
      <w:r>
        <w:rPr>
          <w:rFonts w:ascii="宋体" w:hAnsi="宋体" w:hint="eastAsia"/>
          <w:sz w:val="18"/>
          <w:szCs w:val="18"/>
        </w:rPr>
        <w:t>①</w:t>
      </w:r>
      <w:r>
        <w:rPr>
          <w:rFonts w:ascii="宋体" w:hAnsi="宋体" w:hint="eastAsia"/>
          <w:sz w:val="18"/>
          <w:szCs w:val="18"/>
        </w:rPr>
        <w:fldChar w:fldCharType="end"/>
      </w:r>
      <w:r>
        <w:rPr>
          <w:rFonts w:ascii="宋体" w:hAnsi="宋体" w:hint="eastAsia"/>
          <w:sz w:val="18"/>
          <w:szCs w:val="18"/>
        </w:rPr>
        <w:t>本期投资支付的现金比上年同期增加；</w:t>
      </w:r>
      <w:r>
        <w:rPr>
          <w:rFonts w:ascii="宋体" w:hAnsi="宋体" w:hint="eastAsia"/>
          <w:sz w:val="18"/>
          <w:szCs w:val="18"/>
        </w:rPr>
        <w:fldChar w:fldCharType="begin"/>
      </w:r>
      <w:r>
        <w:rPr>
          <w:rFonts w:ascii="宋体" w:hAnsi="宋体" w:hint="eastAsia"/>
          <w:sz w:val="18"/>
          <w:szCs w:val="18"/>
        </w:rPr>
        <w:instrText>= 2 \* GB3</w:instrText>
      </w:r>
      <w:r>
        <w:rPr>
          <w:rFonts w:ascii="宋体" w:hAnsi="宋体" w:hint="eastAsia"/>
          <w:sz w:val="18"/>
          <w:szCs w:val="18"/>
        </w:rPr>
        <w:fldChar w:fldCharType="separate"/>
      </w:r>
      <w:r>
        <w:rPr>
          <w:rFonts w:ascii="宋体" w:hAnsi="宋体" w:hint="eastAsia"/>
          <w:sz w:val="18"/>
          <w:szCs w:val="18"/>
        </w:rPr>
        <w:t>②</w:t>
      </w:r>
      <w:r>
        <w:rPr>
          <w:rFonts w:ascii="宋体" w:hAnsi="宋体" w:hint="eastAsia"/>
          <w:sz w:val="18"/>
          <w:szCs w:val="18"/>
        </w:rPr>
        <w:fldChar w:fldCharType="end"/>
      </w:r>
      <w:r>
        <w:rPr>
          <w:rFonts w:ascii="宋体" w:hAnsi="宋体" w:hint="eastAsia"/>
          <w:sz w:val="18"/>
          <w:szCs w:val="18"/>
        </w:rPr>
        <w:t>本期购建固定资产支付的现金比上年同期增加。</w:t>
      </w:r>
    </w:p>
    <w:p w:rsidR="00A95787" w:rsidRDefault="005D3CC1">
      <w:pPr>
        <w:spacing w:line="276" w:lineRule="auto"/>
        <w:ind w:firstLineChars="200" w:firstLine="360"/>
        <w:rPr>
          <w:rFonts w:ascii="宋体" w:hAnsi="宋体"/>
          <w:sz w:val="18"/>
          <w:szCs w:val="18"/>
        </w:rPr>
      </w:pPr>
      <w:r>
        <w:rPr>
          <w:rFonts w:ascii="宋体" w:hAnsi="宋体" w:hint="eastAsia"/>
          <w:sz w:val="18"/>
          <w:szCs w:val="18"/>
        </w:rPr>
        <w:t>筹资活动产生的现金流量净额本期金额比上年同期金额减少了373.10%，主要原因是：</w:t>
      </w:r>
      <w:r>
        <w:rPr>
          <w:rFonts w:ascii="宋体" w:hAnsi="宋体" w:hint="eastAsia"/>
          <w:sz w:val="18"/>
          <w:szCs w:val="18"/>
        </w:rPr>
        <w:fldChar w:fldCharType="begin"/>
      </w:r>
      <w:r>
        <w:rPr>
          <w:rFonts w:ascii="宋体" w:hAnsi="宋体" w:hint="eastAsia"/>
          <w:sz w:val="18"/>
          <w:szCs w:val="18"/>
        </w:rPr>
        <w:instrText>= 1 \* GB3</w:instrText>
      </w:r>
      <w:r>
        <w:rPr>
          <w:rFonts w:ascii="宋体" w:hAnsi="宋体" w:hint="eastAsia"/>
          <w:sz w:val="18"/>
          <w:szCs w:val="18"/>
        </w:rPr>
        <w:fldChar w:fldCharType="separate"/>
      </w:r>
      <w:r>
        <w:rPr>
          <w:rFonts w:ascii="宋体" w:hAnsi="宋体" w:hint="eastAsia"/>
          <w:sz w:val="18"/>
          <w:szCs w:val="18"/>
        </w:rPr>
        <w:t>①</w:t>
      </w:r>
      <w:r>
        <w:rPr>
          <w:rFonts w:ascii="宋体" w:hAnsi="宋体" w:hint="eastAsia"/>
          <w:sz w:val="18"/>
          <w:szCs w:val="18"/>
        </w:rPr>
        <w:fldChar w:fldCharType="end"/>
      </w:r>
      <w:r>
        <w:rPr>
          <w:rFonts w:ascii="宋体" w:hAnsi="宋体" w:hint="eastAsia"/>
          <w:sz w:val="18"/>
          <w:szCs w:val="18"/>
        </w:rPr>
        <w:t>本期归还银行借款净流出10,265.97万元，而上年同期新增借款净流入2,110.02万元，两项相比产生了12,375.99万元现金流出差额；</w:t>
      </w:r>
      <w:r>
        <w:rPr>
          <w:rFonts w:ascii="宋体" w:hAnsi="宋体" w:hint="eastAsia"/>
          <w:sz w:val="18"/>
          <w:szCs w:val="18"/>
        </w:rPr>
        <w:fldChar w:fldCharType="begin"/>
      </w:r>
      <w:r>
        <w:rPr>
          <w:rFonts w:ascii="宋体" w:hAnsi="宋体" w:hint="eastAsia"/>
          <w:sz w:val="18"/>
          <w:szCs w:val="18"/>
        </w:rPr>
        <w:instrText>= 2 \* GB3</w:instrText>
      </w:r>
      <w:r>
        <w:rPr>
          <w:rFonts w:ascii="宋体" w:hAnsi="宋体" w:hint="eastAsia"/>
          <w:sz w:val="18"/>
          <w:szCs w:val="18"/>
        </w:rPr>
        <w:fldChar w:fldCharType="separate"/>
      </w:r>
      <w:r>
        <w:rPr>
          <w:rFonts w:ascii="宋体" w:hAnsi="宋体" w:hint="eastAsia"/>
          <w:sz w:val="18"/>
          <w:szCs w:val="18"/>
        </w:rPr>
        <w:t>②</w:t>
      </w:r>
      <w:r>
        <w:rPr>
          <w:rFonts w:ascii="宋体" w:hAnsi="宋体" w:hint="eastAsia"/>
          <w:sz w:val="18"/>
          <w:szCs w:val="18"/>
        </w:rPr>
        <w:fldChar w:fldCharType="end"/>
      </w:r>
      <w:r>
        <w:rPr>
          <w:rFonts w:ascii="宋体" w:hAnsi="宋体" w:hint="eastAsia"/>
          <w:sz w:val="18"/>
          <w:szCs w:val="18"/>
        </w:rPr>
        <w:t>本期分配股利支付的现金比上年同期增加。</w:t>
      </w:r>
    </w:p>
    <w:p w:rsidR="00A95787" w:rsidRDefault="005D3CC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t>现金及现金等价物净增加额本期金额比上年同期减少了325.01%，主要原因是本期投资活动、筹资活动产生的现金流量净额比上年同期减少。 </w:t>
      </w:r>
    </w:p>
    <w:p w:rsidR="00A95787" w:rsidRDefault="005D3CC1">
      <w:pPr>
        <w:spacing w:before="100" w:after="100" w:line="276" w:lineRule="auto"/>
        <w:rPr>
          <w:rFonts w:ascii="宋体" w:eastAsia="宋体" w:hAnsi="宋体" w:cs="宋体"/>
          <w:sz w:val="18"/>
          <w:szCs w:val="18"/>
        </w:rPr>
      </w:pPr>
      <w:r>
        <w:rPr>
          <w:rFonts w:ascii="宋体" w:eastAsia="宋体" w:hAnsi="宋体" w:cs="宋体"/>
          <w:sz w:val="18"/>
          <w:szCs w:val="18"/>
        </w:rPr>
        <w:t>报告期内公司经营活动产生的现金净流量与本年度净利润存在重大差异的原因说明</w:t>
      </w:r>
    </w:p>
    <w:p w:rsidR="00A95787" w:rsidRDefault="005D3CC1">
      <w:pPr>
        <w:spacing w:before="100" w:after="100" w:line="276" w:lineRule="auto"/>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0" w:beforeAutospacing="0" w:after="0" w:afterAutospacing="0" w:line="276" w:lineRule="auto"/>
        <w:ind w:firstLine="360"/>
        <w:jc w:val="both"/>
        <w:rPr>
          <w:rFonts w:ascii="Calibri" w:hAnsi="Calibri" w:cs="Calibri"/>
          <w:sz w:val="21"/>
          <w:szCs w:val="21"/>
        </w:rPr>
      </w:pPr>
      <w:r>
        <w:rPr>
          <w:rFonts w:cs="Calibri" w:hint="eastAsia"/>
          <w:sz w:val="18"/>
          <w:szCs w:val="18"/>
        </w:rPr>
        <w:lastRenderedPageBreak/>
        <w:t>2024年度公司实现的净利润为11,733.82万元，经营活动产生的现金流量净额为6,703.19万元，产生的差异主要系：(1)公司提取的折旧、资产减值准备等项目计10,637.96万元，影响收益但并没有造成现金的实际流出；(2)财务费用中有利息支出等项目计2,572.55万元，影响收益但属于筹资活动的现金项目。(3)本期投资收益、公允价值变动收益、处置固定资产损失等项目计8,470.20万元，影响收益但属于投资活动的现金项目。(4)存货期末较年初增加了12,418.99万元，递延所得税资产期末较年初增加了1,299.87万元，递延所得税负债期末较年初减少了194.82万元，经营性应收项目期末较年初增加了6,972.93万元，经营性应付项目期末较年初增加了11,115.67万元，此类资产的账面变化不直接影响收益，但影响现金流量，本期共增加了9,770.94万元的现金流出。</w:t>
      </w:r>
    </w:p>
    <w:p w:rsidR="00A95787" w:rsidRDefault="005D3CC1">
      <w:pPr>
        <w:pStyle w:val="2"/>
        <w:spacing w:before="300" w:after="300" w:line="320" w:lineRule="exact"/>
        <w:rPr>
          <w:rFonts w:ascii="宋体" w:eastAsia="宋体" w:hAnsi="宋体" w:cs="宋体"/>
          <w:b/>
          <w:bCs/>
          <w:sz w:val="24"/>
          <w:szCs w:val="24"/>
        </w:rPr>
      </w:pPr>
      <w:bookmarkStart w:id="35" w:name="_Toc988920"/>
      <w:r>
        <w:rPr>
          <w:rFonts w:ascii="宋体" w:eastAsia="宋体" w:hAnsi="宋体" w:cs="宋体"/>
          <w:b/>
          <w:bCs/>
          <w:sz w:val="24"/>
          <w:szCs w:val="24"/>
        </w:rPr>
        <w:t>五、非主营业务分析</w:t>
      </w:r>
      <w:bookmarkEnd w:id="3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36" w:name="_Toc988921"/>
      <w:r>
        <w:rPr>
          <w:rFonts w:ascii="宋体" w:eastAsia="宋体" w:hAnsi="宋体" w:cs="宋体"/>
          <w:b/>
          <w:bCs/>
          <w:sz w:val="24"/>
          <w:szCs w:val="24"/>
        </w:rPr>
        <w:t>六、资产及负债状况分析</w:t>
      </w:r>
      <w:bookmarkEnd w:id="36"/>
    </w:p>
    <w:p w:rsidR="00A95787" w:rsidRDefault="005D3CC1">
      <w:pPr>
        <w:pStyle w:val="3"/>
        <w:spacing w:line="280" w:lineRule="exact"/>
        <w:jc w:val="left"/>
        <w:rPr>
          <w:rFonts w:ascii="宋体" w:hAnsi="宋体" w:cs="宋体"/>
          <w:b/>
          <w:bCs/>
        </w:rPr>
      </w:pPr>
      <w:bookmarkStart w:id="37" w:name="_Toc988922"/>
      <w:r>
        <w:rPr>
          <w:rFonts w:ascii="宋体" w:hAnsi="宋体" w:cs="宋体"/>
          <w:b/>
          <w:bCs/>
        </w:rPr>
        <w:t>1、资产构成重大变动情况</w:t>
      </w:r>
      <w:bookmarkEnd w:id="3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25"/>
        <w:gridCol w:w="1737"/>
        <w:gridCol w:w="888"/>
        <w:gridCol w:w="1737"/>
        <w:gridCol w:w="888"/>
        <w:gridCol w:w="837"/>
        <w:gridCol w:w="2225"/>
      </w:tblGrid>
      <w:tr w:rsidR="00A95787">
        <w:trPr>
          <w:trHeight w:val="240"/>
        </w:trPr>
        <w:tc>
          <w:tcPr>
            <w:tcW w:w="13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c>
          <w:tcPr>
            <w:tcW w:w="26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2024年末</w:t>
            </w:r>
          </w:p>
        </w:tc>
        <w:tc>
          <w:tcPr>
            <w:tcW w:w="26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2024年初</w:t>
            </w:r>
          </w:p>
        </w:tc>
        <w:tc>
          <w:tcPr>
            <w:tcW w:w="8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22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A95787">
        <w:trPr>
          <w:trHeight w:val="240"/>
        </w:trPr>
        <w:tc>
          <w:tcPr>
            <w:tcW w:w="13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c>
          <w:tcPr>
            <w:tcW w:w="17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7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8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c>
          <w:tcPr>
            <w:tcW w:w="22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0" w:lineRule="exact"/>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441,778,914.83</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6.70%</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666,337,136.82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10.32%</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-3.62%</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主要原因是：①报告期内支付了无锡锡创联华股权投资合伙企业（有限合伙）16,750万元的出资份额；②报告期内化纤厂增加了新建项目的投入；③报告期内实施了年度、中期两次现金分红。</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128,178,794.58</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1.70%</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0.25%</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454,089,779.99</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6.89%</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334,634,188.55</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5.18%</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1.71%</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主要原因是期末化纤厂原材料备货增加。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52.84%</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55.31%</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-2.47%</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552,829,127.63</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8.39%</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7.22%</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23,584,321.75</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978,290,953.20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14.85%</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16.95%</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-2.10%</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both"/>
              <w:rPr>
                <w:rFonts w:ascii="宋体" w:eastAsia="宋体" w:hAnsi="宋体" w:cs="宋体"/>
                <w:sz w:val="18"/>
                <w:szCs w:val="18"/>
              </w:rPr>
            </w:pP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87,523,406.28</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1.33%</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57,960,875.88</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0.90%</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主要原因是期末化纤厂预收销售合同货款增加。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19,519,743.75</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主要原因是期末银行发放的长期借款增加。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应收票据</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119,568,708.24</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1.81%</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51,216,616.87</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0.79%</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主要原因是期末公司已背书且在资产负债表日尚未到期的应收票据增加。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200,883,796.09</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3.05%</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2.20%</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主要原因是本期以银行承兑汇票结算方式收回的货款增加。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递延所得税资产</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36,130,027.12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0.55%</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23,131,362.52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主要原因是期末计提的长期股权投资减值准备增加影响递延所得税资产增加。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其他非流动资产</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主要原因是期末预付的长期资产构建款项减少。</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应付账款</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157,544,954.27</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2.39%</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77,396,186.48</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主要原因是期末应付的原材料采购款增加。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预收款项</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3,295,307.31</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7,126,997.60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主要原因是期末预收的仓储款项减少。</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应交税费</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13,849,070.02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0.21%</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2,589,275.66</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主要原因是期末应交所得税款项增加。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77,173,540.93</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30,426,414.30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0.47%</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0.70%</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主要原因是期末公司已背书且在资产负债表日尚未到期的应收票据增加。</w:t>
            </w:r>
          </w:p>
        </w:tc>
      </w:tr>
      <w:tr w:rsidR="00A95787">
        <w:trPr>
          <w:trHeight w:val="240"/>
        </w:trPr>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5,334,249.49</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8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2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主要原因是期末权益法下可转损益的其他综合收益减少。</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境外资产占比较高</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4"/>
        <w:gridCol w:w="1071"/>
        <w:gridCol w:w="1155"/>
        <w:gridCol w:w="412"/>
        <w:gridCol w:w="875"/>
        <w:gridCol w:w="1838"/>
        <w:gridCol w:w="962"/>
        <w:gridCol w:w="1184"/>
        <w:gridCol w:w="1166"/>
      </w:tblGrid>
      <w:tr w:rsidR="00A95787">
        <w:trPr>
          <w:trHeight w:val="240"/>
        </w:trPr>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115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4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运营</w:t>
            </w:r>
            <w:r>
              <w:rPr>
                <w:rFonts w:ascii="宋体" w:eastAsia="宋体" w:hAnsi="宋体" w:cs="宋体" w:hint="eastAsia"/>
                <w:sz w:val="18"/>
                <w:szCs w:val="18"/>
              </w:rPr>
              <w:t xml:space="preserve">  </w:t>
            </w:r>
            <w:r>
              <w:rPr>
                <w:rFonts w:ascii="宋体" w:eastAsia="宋体" w:hAnsi="宋体" w:cs="宋体"/>
                <w:sz w:val="18"/>
                <w:szCs w:val="18"/>
              </w:rPr>
              <w:t>模式</w:t>
            </w:r>
          </w:p>
        </w:tc>
        <w:tc>
          <w:tcPr>
            <w:tcW w:w="18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1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16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索尔思</w:t>
            </w:r>
            <w:r>
              <w:rPr>
                <w:rFonts w:ascii="宋体" w:eastAsia="宋体" w:hAnsi="宋体" w:cs="宋体" w:hint="eastAsia"/>
                <w:sz w:val="18"/>
                <w:szCs w:val="18"/>
              </w:rPr>
              <w:t xml:space="preserve"> </w:t>
            </w:r>
            <w:r>
              <w:rPr>
                <w:rFonts w:ascii="宋体" w:eastAsia="宋体" w:hAnsi="宋体" w:cs="宋体"/>
                <w:sz w:val="18"/>
                <w:szCs w:val="18"/>
              </w:rPr>
              <w:t>光电6,549.65万股股份</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资产收购</w:t>
            </w:r>
          </w:p>
        </w:tc>
        <w:tc>
          <w:tcPr>
            <w:tcW w:w="115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106,095.08</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万元</w:t>
            </w:r>
          </w:p>
        </w:tc>
        <w:tc>
          <w:tcPr>
            <w:tcW w:w="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开曼群岛</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垂直整合模式</w:t>
            </w:r>
          </w:p>
        </w:tc>
        <w:tc>
          <w:tcPr>
            <w:tcW w:w="1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公司定期取得并审阅索尔思光电财务报告，及时了解其生产经营状况，确保公司的资产安全。</w:t>
            </w: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8,</w:t>
            </w:r>
            <w:r>
              <w:rPr>
                <w:rFonts w:ascii="宋体" w:eastAsia="宋体" w:hAnsi="宋体" w:cs="宋体" w:hint="eastAsia"/>
                <w:sz w:val="18"/>
                <w:szCs w:val="18"/>
              </w:rPr>
              <w:t>981</w:t>
            </w:r>
            <w:r>
              <w:rPr>
                <w:rFonts w:ascii="宋体" w:eastAsia="宋体" w:hAnsi="宋体" w:cs="宋体"/>
                <w:sz w:val="18"/>
                <w:szCs w:val="18"/>
              </w:rPr>
              <w:t>.</w:t>
            </w:r>
            <w:r>
              <w:rPr>
                <w:rFonts w:ascii="宋体" w:eastAsia="宋体" w:hAnsi="宋体" w:cs="宋体" w:hint="eastAsia"/>
                <w:sz w:val="18"/>
                <w:szCs w:val="18"/>
              </w:rPr>
              <w:t>87</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万元</w:t>
            </w:r>
          </w:p>
        </w:tc>
        <w:tc>
          <w:tcPr>
            <w:tcW w:w="11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20.47%</w:t>
            </w:r>
          </w:p>
        </w:tc>
        <w:tc>
          <w:tcPr>
            <w:tcW w:w="116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其他情况说明</w:t>
            </w:r>
          </w:p>
        </w:tc>
        <w:tc>
          <w:tcPr>
            <w:tcW w:w="8663" w:type="dxa"/>
            <w:gridSpan w:val="8"/>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无。</w:t>
            </w:r>
          </w:p>
        </w:tc>
      </w:tr>
    </w:tbl>
    <w:p w:rsidR="00A95787" w:rsidRDefault="005D3CC1">
      <w:pPr>
        <w:pStyle w:val="3"/>
        <w:spacing w:line="280" w:lineRule="exact"/>
        <w:jc w:val="left"/>
        <w:rPr>
          <w:rFonts w:ascii="宋体" w:hAnsi="宋体" w:cs="宋体"/>
          <w:b/>
          <w:bCs/>
        </w:rPr>
      </w:pPr>
      <w:bookmarkStart w:id="38" w:name="_Toc988923"/>
      <w:r>
        <w:rPr>
          <w:rFonts w:ascii="宋体" w:hAnsi="宋体" w:cs="宋体"/>
          <w:b/>
          <w:bCs/>
        </w:rPr>
        <w:t>2、以公允价值计量的资产和负债</w:t>
      </w:r>
      <w:bookmarkEnd w:id="3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63"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8"/>
        <w:gridCol w:w="1700"/>
        <w:gridCol w:w="1512"/>
        <w:gridCol w:w="988"/>
        <w:gridCol w:w="650"/>
        <w:gridCol w:w="725"/>
        <w:gridCol w:w="650"/>
        <w:gridCol w:w="650"/>
        <w:gridCol w:w="1800"/>
      </w:tblGrid>
      <w:tr w:rsidR="00A95787">
        <w:trPr>
          <w:trHeight w:val="240"/>
        </w:trPr>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项目</w:t>
            </w:r>
          </w:p>
        </w:tc>
        <w:tc>
          <w:tcPr>
            <w:tcW w:w="17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期初数</w:t>
            </w:r>
          </w:p>
        </w:tc>
        <w:tc>
          <w:tcPr>
            <w:tcW w:w="15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本期公允价值</w:t>
            </w:r>
            <w:r>
              <w:rPr>
                <w:rFonts w:ascii="宋体" w:eastAsia="宋体" w:hAnsi="宋体" w:cs="宋体" w:hint="eastAsia"/>
                <w:sz w:val="18"/>
                <w:szCs w:val="18"/>
              </w:rPr>
              <w:t xml:space="preserve"> </w:t>
            </w:r>
            <w:r>
              <w:rPr>
                <w:rFonts w:ascii="宋体" w:eastAsia="宋体" w:hAnsi="宋体" w:cs="宋体"/>
                <w:sz w:val="18"/>
                <w:szCs w:val="18"/>
              </w:rPr>
              <w:t>变动损益</w:t>
            </w:r>
          </w:p>
        </w:tc>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7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本期购买金额</w:t>
            </w:r>
          </w:p>
        </w:tc>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本期出售金额</w:t>
            </w:r>
          </w:p>
        </w:tc>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其他变动</w:t>
            </w:r>
          </w:p>
        </w:tc>
        <w:tc>
          <w:tcPr>
            <w:tcW w:w="18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期末数</w:t>
            </w:r>
          </w:p>
        </w:tc>
      </w:tr>
      <w:tr w:rsidR="00A95787">
        <w:trPr>
          <w:trHeight w:val="240"/>
        </w:trPr>
        <w:tc>
          <w:tcPr>
            <w:tcW w:w="9663"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金融资产</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309,897,476.06</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34,1</w:t>
            </w:r>
            <w:r>
              <w:rPr>
                <w:rFonts w:ascii="宋体" w:eastAsia="宋体" w:hAnsi="宋体" w:cs="宋体" w:hint="eastAsia"/>
                <w:sz w:val="18"/>
                <w:szCs w:val="18"/>
              </w:rPr>
              <w:t>55</w:t>
            </w:r>
            <w:r>
              <w:rPr>
                <w:rFonts w:ascii="宋体" w:eastAsia="宋体" w:hAnsi="宋体" w:cs="宋体"/>
                <w:sz w:val="18"/>
                <w:szCs w:val="18"/>
              </w:rPr>
              <w:t>,</w:t>
            </w:r>
            <w:r>
              <w:rPr>
                <w:rFonts w:ascii="宋体" w:eastAsia="宋体" w:hAnsi="宋体" w:cs="宋体" w:hint="eastAsia"/>
                <w:sz w:val="18"/>
                <w:szCs w:val="18"/>
              </w:rPr>
              <w:t>295</w:t>
            </w:r>
            <w:r>
              <w:rPr>
                <w:rFonts w:ascii="宋体" w:eastAsia="宋体" w:hAnsi="宋体" w:cs="宋体"/>
                <w:sz w:val="18"/>
                <w:szCs w:val="18"/>
              </w:rPr>
              <w:t>.</w:t>
            </w:r>
            <w:r>
              <w:rPr>
                <w:rFonts w:ascii="宋体" w:eastAsia="宋体" w:hAnsi="宋体" w:cs="宋体" w:hint="eastAsia"/>
                <w:sz w:val="18"/>
                <w:szCs w:val="18"/>
              </w:rPr>
              <w:t>81</w:t>
            </w: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hint="eastAsia"/>
                <w:sz w:val="18"/>
                <w:szCs w:val="18"/>
              </w:rPr>
              <w:t>237,226,414.51</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hint="eastAsia"/>
                <w:sz w:val="18"/>
                <w:szCs w:val="18"/>
              </w:rPr>
              <w:t>2、衍生金融资产</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hint="eastAsia"/>
                <w:sz w:val="18"/>
                <w:szCs w:val="18"/>
              </w:rPr>
              <w:t>0.00</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hint="eastAsia"/>
                <w:sz w:val="18"/>
                <w:szCs w:val="18"/>
              </w:rPr>
              <w:t>-14,575.05</w:t>
            </w: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hint="eastAsia"/>
                <w:sz w:val="18"/>
                <w:szCs w:val="18"/>
              </w:rPr>
              <w:t>26,215.00</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3.应收款项融资</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141,899,872.44</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200,883,796.09</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4.其他非流动金融资产</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659,909,863.78</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14,540,505.26</w:t>
            </w: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841,950,369.04</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上述合计</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1,111,707,212.28</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48,681,226.02</w:t>
            </w: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1,280,086,794.64</w:t>
            </w:r>
          </w:p>
        </w:tc>
      </w:tr>
      <w:tr w:rsidR="00A95787">
        <w:trPr>
          <w:trHeight w:val="240"/>
        </w:trPr>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金融负债</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9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其他变动的内容</w:t>
      </w:r>
    </w:p>
    <w:p w:rsidR="00A95787" w:rsidRDefault="005D3CC1">
      <w:pPr>
        <w:pStyle w:val="a6"/>
        <w:rPr>
          <w:sz w:val="18"/>
          <w:szCs w:val="18"/>
        </w:rPr>
      </w:pPr>
      <w:r>
        <w:rPr>
          <w:rFonts w:hint="eastAsia"/>
          <w:sz w:val="18"/>
          <w:szCs w:val="18"/>
        </w:rPr>
        <w:t>无。</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3"/>
        <w:spacing w:line="280" w:lineRule="exact"/>
        <w:jc w:val="left"/>
        <w:rPr>
          <w:rFonts w:ascii="宋体" w:hAnsi="宋体" w:cs="宋体"/>
          <w:b/>
          <w:bCs/>
        </w:rPr>
      </w:pPr>
      <w:bookmarkStart w:id="39" w:name="_Toc988924"/>
      <w:r>
        <w:rPr>
          <w:rFonts w:ascii="宋体" w:hAnsi="宋体" w:cs="宋体"/>
          <w:b/>
          <w:bCs/>
        </w:rPr>
        <w:t>3、截至报告期末的资产权利受限情况</w:t>
      </w:r>
      <w:bookmarkEnd w:id="39"/>
    </w:p>
    <w:p w:rsidR="00A95787" w:rsidRDefault="005D3CC1">
      <w:pPr>
        <w:pStyle w:val="a6"/>
        <w:adjustRightInd w:val="0"/>
        <w:snapToGrid w:val="0"/>
        <w:spacing w:before="0" w:beforeAutospacing="0" w:after="0" w:afterAutospacing="0"/>
        <w:rPr>
          <w:sz w:val="18"/>
          <w:szCs w:val="18"/>
        </w:rPr>
      </w:pPr>
      <w:r>
        <w:rPr>
          <w:rFonts w:hint="eastAsia"/>
          <w:sz w:val="18"/>
          <w:szCs w:val="18"/>
        </w:rPr>
        <w:t xml:space="preserve">                                                                                                  单位：元</w:t>
      </w:r>
    </w:p>
    <w:tbl>
      <w:tblPr>
        <w:tblW w:w="9627" w:type="dxa"/>
        <w:jc w:val="center"/>
        <w:tblCellMar>
          <w:left w:w="0" w:type="dxa"/>
          <w:right w:w="0" w:type="dxa"/>
        </w:tblCellMar>
        <w:tblLook w:val="04A0" w:firstRow="1" w:lastRow="0" w:firstColumn="1" w:lastColumn="0" w:noHBand="0" w:noVBand="1"/>
      </w:tblPr>
      <w:tblGrid>
        <w:gridCol w:w="3365"/>
        <w:gridCol w:w="1593"/>
        <w:gridCol w:w="4669"/>
      </w:tblGrid>
      <w:tr w:rsidR="00A95787">
        <w:trPr>
          <w:trHeight w:val="329"/>
          <w:tblHeader/>
          <w:jc w:val="center"/>
        </w:trPr>
        <w:tc>
          <w:tcPr>
            <w:tcW w:w="33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center"/>
              <w:rPr>
                <w:rFonts w:ascii="Times New Roman" w:hAnsi="Times New Roman" w:cs="Times New Roman"/>
                <w:sz w:val="21"/>
                <w:szCs w:val="21"/>
              </w:rPr>
            </w:pPr>
            <w:r>
              <w:rPr>
                <w:rFonts w:hint="eastAsia"/>
                <w:sz w:val="18"/>
                <w:szCs w:val="18"/>
              </w:rPr>
              <w:t> </w:t>
            </w:r>
            <w:r>
              <w:rPr>
                <w:rFonts w:cs="Times New Roman" w:hint="eastAsia"/>
                <w:sz w:val="18"/>
                <w:szCs w:val="18"/>
              </w:rPr>
              <w:t>项   目</w:t>
            </w:r>
          </w:p>
        </w:tc>
        <w:tc>
          <w:tcPr>
            <w:tcW w:w="159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center"/>
              <w:rPr>
                <w:rFonts w:ascii="Times New Roman" w:hAnsi="Times New Roman" w:cs="Times New Roman"/>
                <w:sz w:val="21"/>
                <w:szCs w:val="21"/>
              </w:rPr>
            </w:pPr>
            <w:r>
              <w:rPr>
                <w:rFonts w:cs="Times New Roman" w:hint="eastAsia"/>
                <w:sz w:val="18"/>
                <w:szCs w:val="18"/>
              </w:rPr>
              <w:t>期末账面价值</w:t>
            </w:r>
          </w:p>
        </w:tc>
        <w:tc>
          <w:tcPr>
            <w:tcW w:w="46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center"/>
              <w:rPr>
                <w:rFonts w:ascii="Times New Roman" w:hAnsi="Times New Roman" w:cs="Times New Roman"/>
                <w:sz w:val="21"/>
                <w:szCs w:val="21"/>
              </w:rPr>
            </w:pPr>
            <w:r>
              <w:rPr>
                <w:rFonts w:cs="Times New Roman" w:hint="eastAsia"/>
                <w:sz w:val="18"/>
                <w:szCs w:val="18"/>
              </w:rPr>
              <w:t>受限原因</w:t>
            </w:r>
          </w:p>
        </w:tc>
      </w:tr>
      <w:tr w:rsidR="00A95787">
        <w:trPr>
          <w:trHeight w:val="329"/>
          <w:jc w:val="center"/>
        </w:trPr>
        <w:tc>
          <w:tcPr>
            <w:tcW w:w="336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both"/>
              <w:rPr>
                <w:rFonts w:ascii="Times New Roman" w:hAnsi="Times New Roman" w:cs="Times New Roman"/>
                <w:sz w:val="21"/>
                <w:szCs w:val="21"/>
              </w:rPr>
            </w:pPr>
            <w:r>
              <w:rPr>
                <w:rFonts w:cs="Times New Roman" w:hint="eastAsia"/>
                <w:sz w:val="18"/>
                <w:szCs w:val="18"/>
              </w:rPr>
              <w:t>货币资金</w:t>
            </w:r>
          </w:p>
        </w:tc>
        <w:tc>
          <w:tcPr>
            <w:tcW w:w="159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right"/>
              <w:rPr>
                <w:rFonts w:ascii="Times New Roman" w:hAnsi="Times New Roman" w:cs="Times New Roman"/>
                <w:sz w:val="21"/>
                <w:szCs w:val="21"/>
              </w:rPr>
            </w:pPr>
            <w:r>
              <w:rPr>
                <w:rFonts w:cs="Times New Roman" w:hint="eastAsia"/>
                <w:sz w:val="18"/>
                <w:szCs w:val="18"/>
              </w:rPr>
              <w:t>129,331,063.94</w:t>
            </w:r>
          </w:p>
        </w:tc>
        <w:tc>
          <w:tcPr>
            <w:tcW w:w="4669"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rPr>
                <w:rFonts w:ascii="Times New Roman" w:hAnsi="Times New Roman" w:cs="Times New Roman"/>
                <w:sz w:val="21"/>
                <w:szCs w:val="21"/>
              </w:rPr>
            </w:pPr>
            <w:r>
              <w:rPr>
                <w:rFonts w:cs="Times New Roman" w:hint="eastAsia"/>
                <w:sz w:val="18"/>
                <w:szCs w:val="18"/>
              </w:rPr>
              <w:t>借款保证金、国际信用证保证金、质押的定期存款及利息</w:t>
            </w:r>
          </w:p>
        </w:tc>
      </w:tr>
      <w:tr w:rsidR="00A95787">
        <w:trPr>
          <w:trHeight w:val="329"/>
          <w:jc w:val="center"/>
        </w:trPr>
        <w:tc>
          <w:tcPr>
            <w:tcW w:w="336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both"/>
              <w:rPr>
                <w:rFonts w:ascii="Times New Roman" w:hAnsi="Times New Roman" w:cs="Times New Roman"/>
                <w:sz w:val="21"/>
                <w:szCs w:val="21"/>
              </w:rPr>
            </w:pPr>
            <w:r>
              <w:rPr>
                <w:rFonts w:cs="Times New Roman" w:hint="eastAsia"/>
                <w:sz w:val="18"/>
                <w:szCs w:val="18"/>
              </w:rPr>
              <w:t>应收票据</w:t>
            </w:r>
          </w:p>
        </w:tc>
        <w:tc>
          <w:tcPr>
            <w:tcW w:w="159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right"/>
              <w:rPr>
                <w:rFonts w:ascii="Times New Roman" w:hAnsi="Times New Roman" w:cs="Times New Roman"/>
                <w:sz w:val="21"/>
                <w:szCs w:val="21"/>
              </w:rPr>
            </w:pPr>
            <w:r>
              <w:rPr>
                <w:rFonts w:cs="Times New Roman" w:hint="eastAsia"/>
                <w:sz w:val="18"/>
                <w:szCs w:val="18"/>
              </w:rPr>
              <w:t> 14,195,101.20</w:t>
            </w:r>
          </w:p>
        </w:tc>
        <w:tc>
          <w:tcPr>
            <w:tcW w:w="4669"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rPr>
                <w:rFonts w:ascii="Times New Roman" w:hAnsi="Times New Roman" w:cs="Times New Roman"/>
                <w:sz w:val="21"/>
                <w:szCs w:val="21"/>
              </w:rPr>
            </w:pPr>
            <w:r>
              <w:rPr>
                <w:rFonts w:cs="Times New Roman" w:hint="eastAsia"/>
                <w:sz w:val="18"/>
                <w:szCs w:val="18"/>
              </w:rPr>
              <w:t>票据质押</w:t>
            </w:r>
          </w:p>
        </w:tc>
      </w:tr>
      <w:tr w:rsidR="00A95787">
        <w:trPr>
          <w:trHeight w:val="329"/>
          <w:jc w:val="center"/>
        </w:trPr>
        <w:tc>
          <w:tcPr>
            <w:tcW w:w="336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both"/>
              <w:rPr>
                <w:rFonts w:ascii="Times New Roman" w:hAnsi="Times New Roman" w:cs="Times New Roman"/>
                <w:sz w:val="21"/>
                <w:szCs w:val="21"/>
              </w:rPr>
            </w:pPr>
            <w:r>
              <w:rPr>
                <w:rFonts w:cs="Times New Roman" w:hint="eastAsia"/>
                <w:sz w:val="18"/>
                <w:szCs w:val="18"/>
              </w:rPr>
              <w:t>应收款项融资</w:t>
            </w:r>
          </w:p>
        </w:tc>
        <w:tc>
          <w:tcPr>
            <w:tcW w:w="159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right"/>
              <w:rPr>
                <w:rFonts w:ascii="Times New Roman" w:hAnsi="Times New Roman" w:cs="Times New Roman"/>
                <w:sz w:val="21"/>
                <w:szCs w:val="21"/>
              </w:rPr>
            </w:pPr>
            <w:r>
              <w:rPr>
                <w:rFonts w:cs="Times New Roman" w:hint="eastAsia"/>
                <w:sz w:val="18"/>
                <w:szCs w:val="18"/>
              </w:rPr>
              <w:t>92,016,699.57</w:t>
            </w:r>
          </w:p>
        </w:tc>
        <w:tc>
          <w:tcPr>
            <w:tcW w:w="4669"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rPr>
                <w:rFonts w:ascii="Times New Roman" w:hAnsi="Times New Roman" w:cs="Times New Roman"/>
                <w:sz w:val="21"/>
                <w:szCs w:val="21"/>
              </w:rPr>
            </w:pPr>
            <w:r>
              <w:rPr>
                <w:rFonts w:cs="Times New Roman" w:hint="eastAsia"/>
                <w:sz w:val="18"/>
                <w:szCs w:val="18"/>
              </w:rPr>
              <w:t>票据质押</w:t>
            </w:r>
          </w:p>
        </w:tc>
      </w:tr>
      <w:tr w:rsidR="00A95787">
        <w:trPr>
          <w:trHeight w:val="329"/>
          <w:jc w:val="center"/>
        </w:trPr>
        <w:tc>
          <w:tcPr>
            <w:tcW w:w="336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both"/>
              <w:rPr>
                <w:rFonts w:ascii="Times New Roman" w:hAnsi="Times New Roman" w:cs="Times New Roman"/>
                <w:sz w:val="21"/>
                <w:szCs w:val="21"/>
              </w:rPr>
            </w:pPr>
            <w:r>
              <w:rPr>
                <w:rFonts w:cs="Times New Roman" w:hint="eastAsia"/>
                <w:sz w:val="18"/>
                <w:szCs w:val="18"/>
              </w:rPr>
              <w:t>江阴华西化工码头有限公司75%股权</w:t>
            </w:r>
          </w:p>
        </w:tc>
        <w:tc>
          <w:tcPr>
            <w:tcW w:w="159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right"/>
              <w:rPr>
                <w:rFonts w:ascii="Times New Roman" w:hAnsi="Times New Roman" w:cs="Times New Roman"/>
                <w:sz w:val="21"/>
                <w:szCs w:val="21"/>
              </w:rPr>
            </w:pPr>
            <w:r>
              <w:rPr>
                <w:rFonts w:cs="Times New Roman" w:hint="eastAsia"/>
                <w:sz w:val="18"/>
                <w:szCs w:val="18"/>
              </w:rPr>
              <w:t>339,050,246.99</w:t>
            </w:r>
          </w:p>
        </w:tc>
        <w:tc>
          <w:tcPr>
            <w:tcW w:w="4669"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rPr>
                <w:rFonts w:ascii="Times New Roman" w:hAnsi="Times New Roman" w:cs="Times New Roman"/>
                <w:sz w:val="21"/>
                <w:szCs w:val="21"/>
              </w:rPr>
            </w:pPr>
            <w:r>
              <w:rPr>
                <w:rFonts w:cs="Times New Roman" w:hint="eastAsia"/>
                <w:sz w:val="18"/>
                <w:szCs w:val="18"/>
              </w:rPr>
              <w:t>中国工商银行借款4,000.00万元由江苏华西集团有限公司提供担保及公司持有的江阴华西化工码头有限公司75%股权质押</w:t>
            </w:r>
          </w:p>
        </w:tc>
      </w:tr>
      <w:tr w:rsidR="00A95787">
        <w:trPr>
          <w:trHeight w:val="329"/>
          <w:jc w:val="center"/>
        </w:trPr>
        <w:tc>
          <w:tcPr>
            <w:tcW w:w="336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center"/>
              <w:rPr>
                <w:rFonts w:ascii="Times New Roman" w:hAnsi="Times New Roman" w:cs="Times New Roman"/>
                <w:sz w:val="21"/>
                <w:szCs w:val="21"/>
              </w:rPr>
            </w:pPr>
            <w:r>
              <w:rPr>
                <w:rFonts w:cs="Times New Roman" w:hint="eastAsia"/>
                <w:sz w:val="18"/>
                <w:szCs w:val="18"/>
              </w:rPr>
              <w:t>合  计</w:t>
            </w:r>
          </w:p>
        </w:tc>
        <w:tc>
          <w:tcPr>
            <w:tcW w:w="159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right"/>
              <w:rPr>
                <w:rFonts w:ascii="Times New Roman" w:hAnsi="Times New Roman" w:cs="Times New Roman"/>
                <w:sz w:val="21"/>
                <w:szCs w:val="21"/>
              </w:rPr>
            </w:pPr>
            <w:r>
              <w:rPr>
                <w:rFonts w:cs="Times New Roman" w:hint="eastAsia"/>
                <w:sz w:val="18"/>
                <w:szCs w:val="18"/>
              </w:rPr>
              <w:t>574,593,111.70</w:t>
            </w:r>
          </w:p>
        </w:tc>
        <w:tc>
          <w:tcPr>
            <w:tcW w:w="4669"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240" w:lineRule="atLeast"/>
              <w:jc w:val="center"/>
              <w:rPr>
                <w:rFonts w:ascii="Times New Roman" w:hAnsi="Times New Roman" w:cs="Times New Roman"/>
                <w:sz w:val="21"/>
                <w:szCs w:val="21"/>
              </w:rPr>
            </w:pPr>
            <w:r>
              <w:rPr>
                <w:rFonts w:cs="Times New Roman" w:hint="eastAsia"/>
                <w:sz w:val="18"/>
                <w:szCs w:val="18"/>
              </w:rPr>
              <w:t>——</w:t>
            </w:r>
          </w:p>
        </w:tc>
      </w:tr>
    </w:tbl>
    <w:p w:rsidR="00A95787" w:rsidRDefault="005D3CC1">
      <w:pPr>
        <w:pStyle w:val="2"/>
        <w:spacing w:before="300" w:after="300" w:line="320" w:lineRule="exact"/>
        <w:rPr>
          <w:rFonts w:ascii="宋体" w:eastAsia="宋体" w:hAnsi="宋体" w:cs="宋体"/>
          <w:b/>
          <w:bCs/>
          <w:sz w:val="24"/>
          <w:szCs w:val="24"/>
        </w:rPr>
      </w:pPr>
      <w:bookmarkStart w:id="40" w:name="_Toc988925"/>
      <w:r>
        <w:rPr>
          <w:rFonts w:ascii="宋体" w:eastAsia="宋体" w:hAnsi="宋体" w:cs="宋体"/>
          <w:b/>
          <w:bCs/>
          <w:sz w:val="24"/>
          <w:szCs w:val="24"/>
        </w:rPr>
        <w:t>七、投资状况分析</w:t>
      </w:r>
      <w:bookmarkEnd w:id="40"/>
    </w:p>
    <w:p w:rsidR="00A95787" w:rsidRDefault="005D3CC1">
      <w:pPr>
        <w:pStyle w:val="3"/>
        <w:spacing w:line="280" w:lineRule="exact"/>
        <w:jc w:val="left"/>
        <w:rPr>
          <w:rFonts w:ascii="宋体" w:hAnsi="宋体" w:cs="宋体"/>
          <w:b/>
          <w:bCs/>
        </w:rPr>
      </w:pPr>
      <w:bookmarkStart w:id="41" w:name="_Toc988926"/>
      <w:r>
        <w:rPr>
          <w:rFonts w:ascii="宋体" w:hAnsi="宋体" w:cs="宋体"/>
          <w:b/>
          <w:bCs/>
        </w:rPr>
        <w:t>1、总体情况</w:t>
      </w:r>
      <w:bookmarkEnd w:id="4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33"/>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297,891,625.25</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176.11%</w:t>
            </w:r>
          </w:p>
        </w:tc>
      </w:tr>
    </w:tbl>
    <w:p w:rsidR="00A95787" w:rsidRDefault="005D3CC1">
      <w:pPr>
        <w:pStyle w:val="3"/>
        <w:spacing w:line="280" w:lineRule="exact"/>
        <w:jc w:val="left"/>
        <w:rPr>
          <w:rFonts w:ascii="宋体" w:hAnsi="宋体" w:cs="宋体"/>
          <w:b/>
          <w:bCs/>
        </w:rPr>
      </w:pPr>
      <w:bookmarkStart w:id="42" w:name="_Toc988927"/>
      <w:r>
        <w:rPr>
          <w:rFonts w:ascii="宋体" w:hAnsi="宋体" w:cs="宋体"/>
          <w:b/>
          <w:bCs/>
        </w:rPr>
        <w:t>2、报告期内获取的重大的股权投资情况</w:t>
      </w:r>
      <w:bookmarkEnd w:id="4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43" w:name="_Toc988928"/>
      <w:r>
        <w:rPr>
          <w:rFonts w:ascii="宋体" w:hAnsi="宋体" w:cs="宋体"/>
          <w:b/>
          <w:bCs/>
        </w:rPr>
        <w:t>3、报告期内正在进行的重大的非股权投资情况</w:t>
      </w:r>
      <w:bookmarkEnd w:id="4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44" w:name="_Toc988929"/>
      <w:r>
        <w:rPr>
          <w:rFonts w:ascii="宋体" w:hAnsi="宋体" w:cs="宋体"/>
          <w:b/>
          <w:bCs/>
        </w:rPr>
        <w:t>4、金融资产投资</w:t>
      </w:r>
      <w:bookmarkEnd w:id="44"/>
    </w:p>
    <w:p w:rsidR="00A95787" w:rsidRDefault="005D3CC1">
      <w:pPr>
        <w:keepNext/>
        <w:keepLines/>
        <w:spacing w:before="300" w:after="300" w:line="280" w:lineRule="exact"/>
        <w:outlineLvl w:val="3"/>
        <w:rPr>
          <w:rFonts w:ascii="宋体" w:eastAsia="宋体" w:hAnsi="宋体" w:cs="宋体"/>
          <w:b/>
          <w:bCs/>
          <w:sz w:val="18"/>
          <w:szCs w:val="18"/>
        </w:rPr>
      </w:pPr>
      <w:bookmarkStart w:id="45" w:name="_Toc988930"/>
      <w:r>
        <w:rPr>
          <w:rFonts w:ascii="宋体" w:eastAsia="宋体" w:hAnsi="宋体" w:cs="宋体"/>
          <w:b/>
          <w:bCs/>
          <w:sz w:val="18"/>
          <w:szCs w:val="18"/>
        </w:rPr>
        <w:t>（1） 证券投资情况</w:t>
      </w:r>
      <w:bookmarkEnd w:id="4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5"/>
        <w:gridCol w:w="655"/>
        <w:gridCol w:w="595"/>
        <w:gridCol w:w="689"/>
        <w:gridCol w:w="689"/>
        <w:gridCol w:w="727"/>
        <w:gridCol w:w="612"/>
        <w:gridCol w:w="700"/>
        <w:gridCol w:w="715"/>
        <w:gridCol w:w="688"/>
        <w:gridCol w:w="688"/>
        <w:gridCol w:w="688"/>
        <w:gridCol w:w="809"/>
        <w:gridCol w:w="675"/>
      </w:tblGrid>
      <w:tr w:rsidR="00A95787" w:rsidTr="00B01AE1">
        <w:trPr>
          <w:trHeight w:val="240"/>
        </w:trPr>
        <w:tc>
          <w:tcPr>
            <w:tcW w:w="69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5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59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72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7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71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8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A95787" w:rsidTr="00B01AE1">
        <w:trPr>
          <w:trHeight w:val="240"/>
        </w:trPr>
        <w:tc>
          <w:tcPr>
            <w:tcW w:w="69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lastRenderedPageBreak/>
              <w:t>境内外股票</w:t>
            </w:r>
          </w:p>
        </w:tc>
        <w:tc>
          <w:tcPr>
            <w:tcW w:w="65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601688</w:t>
            </w:r>
          </w:p>
        </w:tc>
        <w:tc>
          <w:tcPr>
            <w:tcW w:w="59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公允价值计量</w:t>
            </w:r>
          </w:p>
        </w:tc>
        <w:tc>
          <w:tcPr>
            <w:tcW w:w="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139,500,000.00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34,035,150.16</w:t>
            </w:r>
          </w:p>
        </w:tc>
        <w:tc>
          <w:tcPr>
            <w:tcW w:w="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51,616,849.84</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40,255,150.16</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225,152,000.00</w:t>
            </w:r>
          </w:p>
        </w:tc>
        <w:tc>
          <w:tcPr>
            <w:tcW w:w="8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交易性金融资产</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自有</w:t>
            </w:r>
            <w:r>
              <w:rPr>
                <w:rFonts w:ascii="宋体" w:eastAsia="宋体" w:hAnsi="宋体" w:cs="宋体" w:hint="eastAsia"/>
                <w:sz w:val="18"/>
                <w:szCs w:val="18"/>
              </w:rPr>
              <w:t xml:space="preserve"> </w:t>
            </w:r>
            <w:r>
              <w:rPr>
                <w:rFonts w:ascii="宋体" w:eastAsia="宋体" w:hAnsi="宋体" w:cs="宋体"/>
                <w:sz w:val="18"/>
                <w:szCs w:val="18"/>
              </w:rPr>
              <w:t>资金</w:t>
            </w:r>
          </w:p>
        </w:tc>
      </w:tr>
      <w:tr w:rsidR="00A95787" w:rsidTr="00B01AE1">
        <w:trPr>
          <w:trHeight w:val="240"/>
        </w:trPr>
        <w:tc>
          <w:tcPr>
            <w:tcW w:w="69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境内外股票</w:t>
            </w:r>
          </w:p>
        </w:tc>
        <w:tc>
          <w:tcPr>
            <w:tcW w:w="65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600919</w:t>
            </w:r>
          </w:p>
        </w:tc>
        <w:tc>
          <w:tcPr>
            <w:tcW w:w="59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53,428,277.53</w:t>
            </w:r>
          </w:p>
        </w:tc>
        <w:tc>
          <w:tcPr>
            <w:tcW w:w="6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公允价值计量</w:t>
            </w:r>
          </w:p>
        </w:tc>
        <w:tc>
          <w:tcPr>
            <w:tcW w:w="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167,443,207.20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1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194,888,655.50</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31,610,151.54</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交易性金融资产</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自有</w:t>
            </w:r>
            <w:r>
              <w:rPr>
                <w:rFonts w:ascii="宋体" w:eastAsia="宋体" w:hAnsi="宋体" w:cs="宋体" w:hint="eastAsia"/>
                <w:sz w:val="18"/>
                <w:szCs w:val="18"/>
              </w:rPr>
              <w:t xml:space="preserve"> </w:t>
            </w:r>
            <w:r>
              <w:rPr>
                <w:rFonts w:ascii="宋体" w:eastAsia="宋体" w:hAnsi="宋体" w:cs="宋体"/>
                <w:sz w:val="18"/>
                <w:szCs w:val="18"/>
              </w:rPr>
              <w:t>资金</w:t>
            </w:r>
          </w:p>
        </w:tc>
      </w:tr>
      <w:tr w:rsidR="00A95787">
        <w:trPr>
          <w:trHeight w:val="240"/>
        </w:trPr>
        <w:tc>
          <w:tcPr>
            <w:tcW w:w="194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59,316,523.85</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34,035,150.16</w:t>
            </w:r>
          </w:p>
        </w:tc>
        <w:tc>
          <w:tcPr>
            <w:tcW w:w="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51,616,849.84</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194,888,655.50</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71,865,301.70</w:t>
            </w:r>
          </w:p>
        </w:tc>
        <w:tc>
          <w:tcPr>
            <w:tcW w:w="6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225,152,000.00</w:t>
            </w:r>
          </w:p>
        </w:tc>
        <w:tc>
          <w:tcPr>
            <w:tcW w:w="8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46" w:name="_Toc988931"/>
      <w:r>
        <w:rPr>
          <w:rFonts w:ascii="宋体" w:eastAsia="宋体" w:hAnsi="宋体" w:cs="宋体"/>
          <w:b/>
          <w:bCs/>
          <w:sz w:val="18"/>
          <w:szCs w:val="18"/>
        </w:rPr>
        <w:t>（2） 衍生品投资情况</w:t>
      </w:r>
      <w:bookmarkEnd w:id="4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keepNext/>
        <w:keepLines/>
        <w:spacing w:before="300" w:after="300" w:line="280" w:lineRule="exact"/>
        <w:outlineLvl w:val="4"/>
        <w:rPr>
          <w:rFonts w:ascii="宋体" w:eastAsia="宋体" w:hAnsi="宋体" w:cs="宋体"/>
          <w:b/>
          <w:bCs/>
          <w:szCs w:val="21"/>
        </w:rPr>
      </w:pPr>
      <w:bookmarkStart w:id="47" w:name="_Toc988932"/>
      <w:r>
        <w:rPr>
          <w:rFonts w:ascii="宋体" w:eastAsia="宋体" w:hAnsi="宋体" w:cs="宋体"/>
          <w:b/>
          <w:bCs/>
          <w:szCs w:val="21"/>
        </w:rPr>
        <w:t>1） 报告期内以套期保值为目的的衍生品投资</w:t>
      </w:r>
      <w:bookmarkEnd w:id="4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3"/>
        <w:gridCol w:w="1276"/>
        <w:gridCol w:w="1418"/>
        <w:gridCol w:w="1398"/>
        <w:gridCol w:w="1275"/>
        <w:gridCol w:w="1213"/>
        <w:gridCol w:w="746"/>
        <w:gridCol w:w="1179"/>
      </w:tblGrid>
      <w:tr w:rsidR="00853A28" w:rsidTr="00853A28">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衍生品投资类型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rsidP="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p w:rsidR="00853A28" w:rsidRDefault="00853A28" w:rsidP="00853A28">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398"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报告期内购入金额</w:t>
            </w:r>
          </w:p>
        </w:tc>
        <w:tc>
          <w:tcPr>
            <w:tcW w:w="1213"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报告期内售出金额</w:t>
            </w:r>
          </w:p>
        </w:tc>
        <w:tc>
          <w:tcPr>
            <w:tcW w:w="746"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r>
              <w:rPr>
                <w:rFonts w:ascii="宋体" w:eastAsia="宋体" w:hAnsi="宋体" w:cs="宋体" w:hint="eastAsia"/>
                <w:sz w:val="18"/>
                <w:szCs w:val="18"/>
              </w:rPr>
              <w:t xml:space="preserve"> </w:t>
            </w:r>
            <w:r>
              <w:rPr>
                <w:rFonts w:ascii="宋体" w:eastAsia="宋体" w:hAnsi="宋体" w:cs="宋体"/>
                <w:sz w:val="18"/>
                <w:szCs w:val="18"/>
              </w:rPr>
              <w:t>金额</w:t>
            </w: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853A28" w:rsidTr="00853A28">
        <w:trPr>
          <w:trHeight w:val="240"/>
        </w:trPr>
        <w:tc>
          <w:tcPr>
            <w:tcW w:w="1133"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rPr>
                <w:rFonts w:ascii="宋体" w:eastAsia="宋体" w:hAnsi="宋体" w:cs="宋体"/>
                <w:sz w:val="18"/>
                <w:szCs w:val="18"/>
              </w:rPr>
            </w:pPr>
            <w:r>
              <w:rPr>
                <w:rFonts w:ascii="宋体" w:eastAsia="宋体" w:hAnsi="宋体" w:cs="宋体"/>
                <w:sz w:val="18"/>
                <w:szCs w:val="18"/>
              </w:rPr>
              <w:t>商品衍生品</w:t>
            </w:r>
          </w:p>
        </w:tc>
        <w:tc>
          <w:tcPr>
            <w:tcW w:w="1276"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-1.46</w:t>
            </w:r>
          </w:p>
        </w:tc>
        <w:tc>
          <w:tcPr>
            <w:tcW w:w="1398"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75"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369,601.31</w:t>
            </w:r>
          </w:p>
        </w:tc>
        <w:tc>
          <w:tcPr>
            <w:tcW w:w="1213"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366,356.61</w:t>
            </w:r>
          </w:p>
        </w:tc>
        <w:tc>
          <w:tcPr>
            <w:tcW w:w="746"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2.62</w:t>
            </w:r>
          </w:p>
        </w:tc>
        <w:tc>
          <w:tcPr>
            <w:tcW w:w="1179"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853A28" w:rsidTr="00853A28">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853A28" w:rsidRDefault="00853A28">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76"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-1.46</w:t>
            </w:r>
          </w:p>
        </w:tc>
        <w:tc>
          <w:tcPr>
            <w:tcW w:w="1398"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75"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369,601.31</w:t>
            </w:r>
          </w:p>
        </w:tc>
        <w:tc>
          <w:tcPr>
            <w:tcW w:w="1213"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366,356.61</w:t>
            </w:r>
          </w:p>
        </w:tc>
        <w:tc>
          <w:tcPr>
            <w:tcW w:w="746"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2.62</w:t>
            </w:r>
          </w:p>
        </w:tc>
        <w:tc>
          <w:tcPr>
            <w:tcW w:w="1179" w:type="dxa"/>
            <w:tcBorders>
              <w:top w:val="single" w:sz="2" w:space="0" w:color="auto"/>
              <w:left w:val="single" w:sz="2" w:space="0" w:color="auto"/>
              <w:bottom w:val="single" w:sz="2" w:space="0" w:color="auto"/>
              <w:right w:val="single" w:sz="2" w:space="0" w:color="auto"/>
            </w:tcBorders>
            <w:vAlign w:val="center"/>
          </w:tcPr>
          <w:p w:rsidR="00853A28" w:rsidRDefault="00853A28">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报告期公司套期保值业务的会计政策及会计核算具体原则与上一报告期相比没有发生重大变化。</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公司开展商品套期保值业务，以公司主要原材料和产品等为交易品种，本报告期合计亏损4,484.76万元。报告期公司对应买入套期保值现货原材料实现部分收益，抵销了期货套期保值亏损。</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通过期货套期保值操作可以更好地规避原料和产品价格波动带来的风险，降低其对公司生产经营的影响，但同时也可能存在市场、流动性、技术及内控等多方面风险。报告期内，公司通过开展期货套期保值业务，并选择信誉度高、运作规范的期货公司开展业务，有效实现对部分原材料采购成本的套保效果，锁定并降低原材料成本，保证预期利润的实现。</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自有资金</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报告期衍生品持仓的风险分析及控制措施说明（包括但不限于市场风险、流动性风险、信用</w:t>
            </w:r>
            <w:r>
              <w:rPr>
                <w:rFonts w:ascii="宋体" w:eastAsia="宋体" w:hAnsi="宋体" w:cs="宋体"/>
                <w:sz w:val="18"/>
                <w:szCs w:val="18"/>
              </w:rPr>
              <w:lastRenderedPageBreak/>
              <w:t>风险、操作风险、法律风险等）</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已投资衍生品报告期内市场价格或产品公允价值变动的情况，对衍生品公允价值的分析应披露具体使用的方法及相关假设与参数的设定</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公司开展的商品衍生品交易品种市场透明度大，成交活跃，成交价格和当日结算价能充分反映衍生品的公允价值。</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衍生品投资审批董事会公告披露日期（如有）</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2024年04月30日</w:t>
            </w:r>
          </w:p>
        </w:tc>
      </w:tr>
      <w:tr w:rsidR="00A95787">
        <w:trPr>
          <w:trHeight w:val="240"/>
        </w:trPr>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衍生品投资审批股东会公告披露日期（如有）</w:t>
            </w:r>
          </w:p>
        </w:tc>
        <w:tc>
          <w:tcPr>
            <w:tcW w:w="8505"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2024年05月25日</w:t>
            </w:r>
          </w:p>
        </w:tc>
      </w:tr>
    </w:tbl>
    <w:p w:rsidR="00673EF7" w:rsidRDefault="00673EF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a6"/>
        <w:spacing w:before="0" w:beforeAutospacing="0" w:after="0" w:afterAutospacing="0" w:line="276" w:lineRule="auto"/>
        <w:ind w:firstLine="357"/>
        <w:jc w:val="both"/>
      </w:pPr>
      <w:r>
        <w:rPr>
          <w:rFonts w:hint="eastAsia"/>
          <w:color w:val="000000"/>
          <w:sz w:val="18"/>
          <w:szCs w:val="18"/>
        </w:rPr>
        <w:t>公司主要生产产品为涤纶短纤维，年产各类涤纶短纤维50万吨，涤纶短纤维的核心生产原料为精对苯二甲酸和乙二醇。受宏观经济及石油价格等因素的影响，公司产成品和原材料价格波动幅度较大，对公司的盈利能力带来较大的影响。为有效规避原材料和产品价格波动带来的风险，降低其对公司生产经营的影响，在不影响公司主营业务正常开展的情况下，公司（含子公司）开展期货和衍生品套期保值业务。</w:t>
      </w:r>
    </w:p>
    <w:p w:rsidR="00A95787" w:rsidRDefault="005D3CC1">
      <w:pPr>
        <w:pStyle w:val="a6"/>
        <w:spacing w:before="0" w:beforeAutospacing="0" w:after="0" w:afterAutospacing="0" w:line="276" w:lineRule="auto"/>
        <w:ind w:firstLine="357"/>
        <w:jc w:val="both"/>
      </w:pPr>
      <w:r>
        <w:rPr>
          <w:rFonts w:hint="eastAsia"/>
          <w:sz w:val="18"/>
          <w:szCs w:val="18"/>
        </w:rPr>
        <w:t>在业务开展期间，任一时点保证金余额（含前述投资的收益进行再投资的相关金额，不包括交割当期头寸而支付的全额保证金在内）合计不超过人民币6,000万元。</w:t>
      </w:r>
    </w:p>
    <w:p w:rsidR="00A95787" w:rsidRDefault="005D3CC1">
      <w:pPr>
        <w:keepNext/>
        <w:keepLines/>
        <w:spacing w:before="300" w:after="300" w:line="280" w:lineRule="exact"/>
        <w:outlineLvl w:val="4"/>
        <w:rPr>
          <w:rFonts w:ascii="宋体" w:eastAsia="宋体" w:hAnsi="宋体" w:cs="宋体"/>
          <w:b/>
          <w:bCs/>
          <w:sz w:val="18"/>
          <w:szCs w:val="18"/>
        </w:rPr>
      </w:pPr>
      <w:bookmarkStart w:id="48" w:name="_Toc988933"/>
      <w:r>
        <w:rPr>
          <w:rFonts w:ascii="宋体" w:eastAsia="宋体" w:hAnsi="宋体" w:cs="宋体"/>
          <w:b/>
          <w:bCs/>
          <w:sz w:val="18"/>
          <w:szCs w:val="18"/>
        </w:rPr>
        <w:t>2） 报告期内以投机为目的的衍生品投资</w:t>
      </w:r>
      <w:bookmarkEnd w:id="4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A95787" w:rsidRDefault="005D3CC1">
      <w:pPr>
        <w:pStyle w:val="3"/>
        <w:spacing w:line="280" w:lineRule="exact"/>
        <w:jc w:val="left"/>
        <w:rPr>
          <w:rFonts w:ascii="宋体" w:hAnsi="宋体" w:cs="宋体"/>
          <w:b/>
          <w:bCs/>
        </w:rPr>
      </w:pPr>
      <w:bookmarkStart w:id="49" w:name="_Toc988934"/>
      <w:r>
        <w:rPr>
          <w:rFonts w:ascii="宋体" w:hAnsi="宋体" w:cs="宋体"/>
          <w:b/>
          <w:bCs/>
        </w:rPr>
        <w:t>5、募集资金使用情况</w:t>
      </w:r>
      <w:bookmarkEnd w:id="4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A95787" w:rsidRDefault="005D3CC1">
      <w:pPr>
        <w:pStyle w:val="2"/>
        <w:spacing w:before="300" w:after="300" w:line="320" w:lineRule="exact"/>
        <w:rPr>
          <w:rFonts w:ascii="宋体" w:eastAsia="宋体" w:hAnsi="宋体" w:cs="宋体"/>
          <w:b/>
          <w:bCs/>
          <w:sz w:val="24"/>
          <w:szCs w:val="24"/>
        </w:rPr>
      </w:pPr>
      <w:bookmarkStart w:id="50" w:name="_Toc988935"/>
      <w:r>
        <w:rPr>
          <w:rFonts w:ascii="宋体" w:eastAsia="宋体" w:hAnsi="宋体" w:cs="宋体"/>
          <w:b/>
          <w:bCs/>
          <w:sz w:val="24"/>
          <w:szCs w:val="24"/>
        </w:rPr>
        <w:lastRenderedPageBreak/>
        <w:t>八、重大资产和股权出售</w:t>
      </w:r>
      <w:bookmarkEnd w:id="50"/>
    </w:p>
    <w:p w:rsidR="00A95787" w:rsidRDefault="005D3CC1">
      <w:pPr>
        <w:pStyle w:val="3"/>
        <w:spacing w:line="280" w:lineRule="exact"/>
        <w:jc w:val="left"/>
        <w:rPr>
          <w:rFonts w:ascii="宋体" w:hAnsi="宋体" w:cs="宋体"/>
          <w:b/>
          <w:bCs/>
        </w:rPr>
      </w:pPr>
      <w:bookmarkStart w:id="51" w:name="_Toc988936"/>
      <w:r>
        <w:rPr>
          <w:rFonts w:ascii="宋体" w:hAnsi="宋体" w:cs="宋体"/>
          <w:b/>
          <w:bCs/>
        </w:rPr>
        <w:t>1、出售重大资产情况</w:t>
      </w:r>
      <w:bookmarkEnd w:id="5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A95787" w:rsidRDefault="005D3CC1">
      <w:pPr>
        <w:pStyle w:val="3"/>
        <w:spacing w:line="280" w:lineRule="exact"/>
        <w:jc w:val="left"/>
        <w:rPr>
          <w:rFonts w:ascii="宋体" w:hAnsi="宋体" w:cs="宋体"/>
          <w:b/>
          <w:bCs/>
        </w:rPr>
      </w:pPr>
      <w:bookmarkStart w:id="52" w:name="_Toc988937"/>
      <w:r>
        <w:rPr>
          <w:rFonts w:ascii="宋体" w:hAnsi="宋体" w:cs="宋体"/>
          <w:b/>
          <w:bCs/>
        </w:rPr>
        <w:t>2、出售重大股权情况</w:t>
      </w:r>
      <w:bookmarkEnd w:id="5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53" w:name="_Toc988938"/>
      <w:r>
        <w:rPr>
          <w:rFonts w:ascii="宋体" w:eastAsia="宋体" w:hAnsi="宋体" w:cs="宋体"/>
          <w:b/>
          <w:bCs/>
          <w:sz w:val="24"/>
          <w:szCs w:val="24"/>
        </w:rPr>
        <w:t>九、主要控股参股公司分析</w:t>
      </w:r>
      <w:bookmarkEnd w:id="5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r>
        <w:rPr>
          <w:rFonts w:ascii="宋体" w:eastAsia="宋体" w:hAnsi="宋体" w:cs="宋体" w:hint="eastAsia"/>
          <w:sz w:val="18"/>
          <w:szCs w:val="18"/>
        </w:rPr>
        <w:t xml:space="preserve">                                           </w:t>
      </w:r>
      <w:r>
        <w:rPr>
          <w:rFonts w:ascii="宋体" w:eastAsia="宋体" w:hAnsi="宋体" w:cs="宋体"/>
          <w:sz w:val="18"/>
          <w:szCs w:val="18"/>
        </w:rPr>
        <w:t>单位：万元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2"/>
        <w:gridCol w:w="763"/>
        <w:gridCol w:w="950"/>
        <w:gridCol w:w="1037"/>
        <w:gridCol w:w="1175"/>
        <w:gridCol w:w="1188"/>
        <w:gridCol w:w="1125"/>
        <w:gridCol w:w="1125"/>
        <w:gridCol w:w="1312"/>
      </w:tblGrid>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7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1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1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华西码头</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子公司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液体化工码头的建设经营及配套服务</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20,442</w:t>
            </w:r>
            <w:r>
              <w:rPr>
                <w:rFonts w:ascii="宋体" w:eastAsia="宋体" w:hAnsi="宋体" w:cs="宋体" w:hint="eastAsia"/>
                <w:sz w:val="18"/>
                <w:szCs w:val="18"/>
              </w:rPr>
              <w:t xml:space="preserve">  </w:t>
            </w:r>
            <w:r>
              <w:rPr>
                <w:rFonts w:ascii="宋体" w:eastAsia="宋体" w:hAnsi="宋体" w:cs="宋体"/>
                <w:sz w:val="18"/>
                <w:szCs w:val="18"/>
              </w:rPr>
              <w:t>万元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48,530.02</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45,206.70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22,597.69</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8,082.64</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6,997.70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一村资本</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参股</w:t>
            </w:r>
            <w:r>
              <w:rPr>
                <w:rFonts w:ascii="宋体" w:eastAsia="宋体" w:hAnsi="宋体" w:cs="宋体" w:hint="eastAsia"/>
                <w:sz w:val="18"/>
                <w:szCs w:val="18"/>
              </w:rPr>
              <w:t xml:space="preserve">  </w:t>
            </w:r>
            <w:r>
              <w:rPr>
                <w:rFonts w:ascii="宋体" w:eastAsia="宋体" w:hAnsi="宋体" w:cs="宋体"/>
                <w:sz w:val="18"/>
                <w:szCs w:val="18"/>
              </w:rPr>
              <w:t>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投资管理、资产管理、创业投资、实业投资</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590,592.53</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476,818.09</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3,610.04</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13,141.85</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10,692.89</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索尔思光电（注）</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参股</w:t>
            </w:r>
            <w:r>
              <w:rPr>
                <w:rFonts w:ascii="宋体" w:eastAsia="宋体" w:hAnsi="宋体" w:cs="宋体" w:hint="eastAsia"/>
                <w:sz w:val="18"/>
                <w:szCs w:val="18"/>
              </w:rPr>
              <w:t xml:space="preserve">  </w:t>
            </w:r>
            <w:r>
              <w:rPr>
                <w:rFonts w:ascii="宋体" w:eastAsia="宋体" w:hAnsi="宋体" w:cs="宋体"/>
                <w:sz w:val="18"/>
                <w:szCs w:val="18"/>
              </w:rPr>
              <w:t>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光模块研发与生产</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50,000</w:t>
            </w:r>
            <w:r>
              <w:rPr>
                <w:rFonts w:ascii="宋体" w:eastAsia="宋体" w:hAnsi="宋体" w:cs="宋体" w:hint="eastAsia"/>
                <w:sz w:val="18"/>
                <w:szCs w:val="18"/>
              </w:rPr>
              <w:t xml:space="preserve">  </w:t>
            </w:r>
            <w:r>
              <w:rPr>
                <w:rFonts w:ascii="宋体" w:eastAsia="宋体" w:hAnsi="宋体" w:cs="宋体"/>
                <w:sz w:val="18"/>
                <w:szCs w:val="18"/>
              </w:rPr>
              <w:t>美元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324,766.81</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111,936.36</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293,166.23</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44,383.39</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32,477.79</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联储证券</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参股</w:t>
            </w:r>
            <w:r>
              <w:rPr>
                <w:rFonts w:ascii="宋体" w:eastAsia="宋体" w:hAnsi="宋体" w:cs="宋体" w:hint="eastAsia"/>
                <w:sz w:val="18"/>
                <w:szCs w:val="18"/>
              </w:rPr>
              <w:t xml:space="preserve">  </w:t>
            </w:r>
            <w:r>
              <w:rPr>
                <w:rFonts w:ascii="宋体" w:eastAsia="宋体" w:hAnsi="宋体" w:cs="宋体"/>
                <w:sz w:val="18"/>
                <w:szCs w:val="18"/>
              </w:rPr>
              <w:t>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证券经纪业务</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323,981万元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2,385,166.55</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681,441.27</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6,419.40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-109,573.30</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-95,715.07</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江苏银行</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参股</w:t>
            </w:r>
            <w:r>
              <w:rPr>
                <w:rFonts w:ascii="宋体" w:eastAsia="宋体" w:hAnsi="宋体" w:cs="宋体" w:hint="eastAsia"/>
                <w:sz w:val="18"/>
                <w:szCs w:val="18"/>
              </w:rPr>
              <w:t xml:space="preserve">  </w:t>
            </w:r>
            <w:r>
              <w:rPr>
                <w:rFonts w:ascii="宋体" w:eastAsia="宋体" w:hAnsi="宋体" w:cs="宋体"/>
                <w:sz w:val="18"/>
                <w:szCs w:val="18"/>
              </w:rPr>
              <w:t>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吸收公众存款，发放贷款等业务</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1,835,132万元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395,204,157.00</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31,365,821.80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8,081,521.20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4,130,588.40</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3,330,640.30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华泰证券</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参股</w:t>
            </w:r>
            <w:r>
              <w:rPr>
                <w:rFonts w:ascii="宋体" w:eastAsia="宋体" w:hAnsi="宋体" w:cs="宋体" w:hint="eastAsia"/>
                <w:sz w:val="18"/>
                <w:szCs w:val="18"/>
              </w:rPr>
              <w:t xml:space="preserve">  </w:t>
            </w:r>
            <w:r>
              <w:rPr>
                <w:rFonts w:ascii="宋体" w:eastAsia="宋体" w:hAnsi="宋体" w:cs="宋体"/>
                <w:sz w:val="18"/>
                <w:szCs w:val="18"/>
              </w:rPr>
              <w:t>公司</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证券经纪业务</w:t>
            </w:r>
          </w:p>
        </w:tc>
        <w:tc>
          <w:tcPr>
            <w:tcW w:w="103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40" w:lineRule="exact"/>
              <w:rPr>
                <w:rFonts w:ascii="宋体" w:eastAsia="宋体" w:hAnsi="宋体" w:cs="宋体"/>
                <w:sz w:val="18"/>
                <w:szCs w:val="18"/>
              </w:rPr>
            </w:pPr>
            <w:r>
              <w:rPr>
                <w:rFonts w:ascii="宋体" w:eastAsia="宋体" w:hAnsi="宋体" w:cs="宋体"/>
                <w:sz w:val="18"/>
                <w:szCs w:val="18"/>
              </w:rPr>
              <w:t>902,730万元</w:t>
            </w:r>
          </w:p>
        </w:tc>
        <w:tc>
          <w:tcPr>
            <w:tcW w:w="1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81,427,049.36</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19,189,392.07</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4,146,636.74</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1,556,878.87</w:t>
            </w:r>
          </w:p>
        </w:tc>
        <w:tc>
          <w:tcPr>
            <w:tcW w:w="1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1,551,887.35</w:t>
            </w:r>
          </w:p>
        </w:tc>
      </w:tr>
    </w:tbl>
    <w:p w:rsidR="00A95787" w:rsidRDefault="005D3CC1">
      <w:pPr>
        <w:spacing w:line="400" w:lineRule="exact"/>
        <w:ind w:firstLineChars="200" w:firstLine="360"/>
        <w:rPr>
          <w:rFonts w:ascii="宋体" w:eastAsia="宋体" w:hAnsi="宋体" w:cs="宋体"/>
          <w:sz w:val="18"/>
          <w:szCs w:val="18"/>
        </w:rPr>
      </w:pPr>
      <w:r>
        <w:rPr>
          <w:rFonts w:ascii="宋体" w:eastAsia="宋体" w:hAnsi="宋体" w:cs="宋体" w:hint="eastAsia"/>
          <w:sz w:val="18"/>
          <w:szCs w:val="18"/>
        </w:rPr>
        <w:t>注：上述控股参股公司的财务数据均来源于其2024年度审计报告。</w:t>
      </w:r>
    </w:p>
    <w:p w:rsidR="00A95787" w:rsidRPr="000C3681" w:rsidRDefault="005D3CC1">
      <w:pPr>
        <w:spacing w:line="400" w:lineRule="exact"/>
        <w:ind w:firstLineChars="200" w:firstLine="360"/>
        <w:rPr>
          <w:rFonts w:asciiTheme="minorEastAsia" w:hAnsiTheme="minorEastAsia" w:cs="Arial"/>
          <w:bCs/>
          <w:sz w:val="18"/>
          <w:szCs w:val="18"/>
        </w:rPr>
      </w:pPr>
      <w:r w:rsidRPr="000C3681">
        <w:rPr>
          <w:rFonts w:asciiTheme="minorEastAsia" w:hAnsiTheme="minorEastAsia" w:cs="Arial" w:hint="eastAsia"/>
          <w:bCs/>
          <w:sz w:val="18"/>
          <w:szCs w:val="18"/>
        </w:rPr>
        <w:t>考虑Source Photonics Holdings(Cayman) Limited股权架构拆分影响，以上数据为还原后VENUS PEARL SPV2 CO LIMITED的数据。</w:t>
      </w:r>
    </w:p>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ind w:firstLine="360"/>
      </w:pPr>
      <w:r>
        <w:rPr>
          <w:rFonts w:hint="eastAsia"/>
          <w:sz w:val="18"/>
          <w:szCs w:val="18"/>
        </w:rPr>
        <w:t>报告期内，经2023年度股东大会授权，公司通过</w:t>
      </w:r>
      <w:r>
        <w:rPr>
          <w:rFonts w:hint="eastAsia"/>
          <w:color w:val="333333"/>
          <w:sz w:val="18"/>
          <w:szCs w:val="18"/>
          <w:shd w:val="clear" w:color="auto" w:fill="FFFFFF"/>
        </w:rPr>
        <w:t>集中竞价交易方式出售江苏银行股票2,502.888</w:t>
      </w:r>
      <w:r w:rsidR="00F24B50">
        <w:rPr>
          <w:rFonts w:hint="eastAsia"/>
          <w:color w:val="333333"/>
          <w:sz w:val="18"/>
          <w:szCs w:val="18"/>
          <w:shd w:val="clear" w:color="auto" w:fill="FFFFFF"/>
        </w:rPr>
        <w:t>万股，获得净利润</w:t>
      </w:r>
      <w:r>
        <w:rPr>
          <w:rFonts w:hint="eastAsia"/>
          <w:color w:val="333333"/>
          <w:sz w:val="18"/>
          <w:szCs w:val="18"/>
          <w:shd w:val="clear" w:color="auto" w:fill="FFFFFF"/>
        </w:rPr>
        <w:t>1,858.62万元。截至报告期末，公司已不再持有江苏银行股票。</w:t>
      </w:r>
    </w:p>
    <w:p w:rsidR="00A95787" w:rsidRDefault="005D3CC1">
      <w:pPr>
        <w:pStyle w:val="2"/>
        <w:spacing w:before="300" w:after="300" w:line="320" w:lineRule="exact"/>
        <w:rPr>
          <w:rFonts w:ascii="宋体" w:eastAsia="宋体" w:hAnsi="宋体" w:cs="宋体"/>
          <w:b/>
          <w:bCs/>
          <w:sz w:val="24"/>
          <w:szCs w:val="24"/>
        </w:rPr>
      </w:pPr>
      <w:bookmarkStart w:id="54" w:name="_Toc988939"/>
      <w:r>
        <w:rPr>
          <w:rFonts w:ascii="宋体" w:eastAsia="宋体" w:hAnsi="宋体" w:cs="宋体"/>
          <w:b/>
          <w:bCs/>
          <w:sz w:val="24"/>
          <w:szCs w:val="24"/>
        </w:rPr>
        <w:t>十、公司控制的结构化主体情况</w:t>
      </w:r>
      <w:bookmarkEnd w:id="5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rsidP="000C3681">
      <w:pPr>
        <w:pStyle w:val="a6"/>
        <w:spacing w:before="40" w:beforeAutospacing="0" w:after="40" w:afterAutospacing="0" w:line="276" w:lineRule="auto"/>
        <w:ind w:firstLine="360"/>
        <w:jc w:val="both"/>
      </w:pPr>
      <w:r>
        <w:rPr>
          <w:rFonts w:hint="eastAsia"/>
          <w:sz w:val="18"/>
          <w:szCs w:val="18"/>
        </w:rPr>
        <w:lastRenderedPageBreak/>
        <w:t>报告期末纳入公司合并范围的结构化主体共1户，为上海启澜企业管理咨询合伙企业（有限合伙），总规模：115,000万元，公司作为有限合伙人认缴出资114,200万元，占上海启澜总规模的99.30%；上海一村安识企业管理有限公司作为普通合伙人认缴出资800万元，占上海启澜总规模的0.70%。公司向上海启澜实缴出资人民币96,250万元。</w:t>
      </w:r>
    </w:p>
    <w:p w:rsidR="00A95787" w:rsidRDefault="005D3CC1" w:rsidP="000C3681">
      <w:pPr>
        <w:pStyle w:val="a6"/>
        <w:spacing w:before="40" w:beforeAutospacing="0" w:after="40" w:afterAutospacing="0" w:line="276" w:lineRule="auto"/>
        <w:ind w:firstLine="360"/>
        <w:jc w:val="both"/>
      </w:pPr>
      <w:r>
        <w:rPr>
          <w:rFonts w:hint="eastAsia"/>
          <w:sz w:val="18"/>
          <w:szCs w:val="18"/>
        </w:rPr>
        <w:t>利润分配：上海启澜从其直接或间接处置索尔思项目(包括但不限于处置其在Diamond Hill, L.P.的合伙份额或其他权益)获得的收入或从其投资运营活动(包括与索尔思项目相关的投资)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A95787" w:rsidRDefault="005D3CC1" w:rsidP="000C3681">
      <w:pPr>
        <w:pStyle w:val="a6"/>
        <w:spacing w:before="40" w:beforeAutospacing="0" w:after="40" w:afterAutospacing="0" w:line="276" w:lineRule="auto"/>
        <w:ind w:firstLine="360"/>
        <w:jc w:val="both"/>
      </w:pPr>
      <w:r>
        <w:rPr>
          <w:rFonts w:hint="eastAsia"/>
          <w:sz w:val="18"/>
          <w:szCs w:val="18"/>
        </w:rPr>
        <w:t>（1）首先，百分之百向华西股份进行分配，直至华西股份所取得的累计分配等于其用于索尔思项目的实缴出资额；</w:t>
      </w:r>
    </w:p>
    <w:p w:rsidR="00A95787" w:rsidRDefault="005D3CC1" w:rsidP="000C3681">
      <w:pPr>
        <w:pStyle w:val="a6"/>
        <w:spacing w:before="40" w:beforeAutospacing="0" w:after="40" w:afterAutospacing="0" w:line="276" w:lineRule="auto"/>
        <w:ind w:firstLine="360"/>
        <w:jc w:val="both"/>
      </w:pPr>
      <w:r>
        <w:rPr>
          <w:rFonts w:hint="eastAsia"/>
          <w:sz w:val="18"/>
          <w:szCs w:val="18"/>
        </w:rPr>
        <w:t>（2）其次，百分之百向华西股份进行分配，直至其就上述第（1）款项下累计获得的分配额获得每年百分之八的单利计算所得的门槛收益(“门槛收益”)。门槛收益的计算期间为华西股份每一期实缴出资额的缴资到期日(或实际出资日，如更晚)起至华西股份根据上述第（1）款收回该部分实缴出资额之日止（为计算门槛收益之目的，一年以三百六十日计算, 即门槛收益每日费率=门槛收益每年费率/360）；</w:t>
      </w:r>
    </w:p>
    <w:p w:rsidR="00A95787" w:rsidRDefault="005D3CC1" w:rsidP="000C3681">
      <w:pPr>
        <w:pStyle w:val="a6"/>
        <w:spacing w:before="40" w:beforeAutospacing="0" w:after="40" w:afterAutospacing="0" w:line="276" w:lineRule="auto"/>
        <w:ind w:firstLine="360"/>
        <w:jc w:val="both"/>
      </w:pPr>
      <w:r>
        <w:rPr>
          <w:rFonts w:hint="eastAsia"/>
          <w:sz w:val="18"/>
          <w:szCs w:val="18"/>
        </w:rPr>
        <w:t>（3）再次，剩余部分百分之二十分配给上海一村安识企业管理有限公司，百分之八十分配给华西股份。</w:t>
      </w:r>
    </w:p>
    <w:p w:rsidR="00A95787" w:rsidRDefault="005D3CC1">
      <w:pPr>
        <w:pStyle w:val="2"/>
        <w:spacing w:before="300" w:after="300" w:line="320" w:lineRule="exact"/>
        <w:rPr>
          <w:rFonts w:ascii="宋体" w:eastAsia="宋体" w:hAnsi="宋体" w:cs="宋体"/>
          <w:b/>
          <w:bCs/>
          <w:sz w:val="24"/>
          <w:szCs w:val="24"/>
        </w:rPr>
      </w:pPr>
      <w:bookmarkStart w:id="55" w:name="_Toc988940"/>
      <w:r>
        <w:rPr>
          <w:rFonts w:ascii="宋体" w:eastAsia="宋体" w:hAnsi="宋体" w:cs="宋体"/>
          <w:b/>
          <w:bCs/>
          <w:sz w:val="24"/>
          <w:szCs w:val="24"/>
        </w:rPr>
        <w:t>十一、公司未来发展的展望</w:t>
      </w:r>
      <w:bookmarkEnd w:id="55"/>
    </w:p>
    <w:p w:rsidR="00A95787" w:rsidRDefault="005D3CC1">
      <w:pPr>
        <w:pStyle w:val="a6"/>
        <w:spacing w:before="0" w:beforeAutospacing="0" w:after="0" w:afterAutospacing="0" w:line="276" w:lineRule="auto"/>
        <w:ind w:firstLine="425"/>
        <w:jc w:val="both"/>
      </w:pPr>
      <w:r>
        <w:rPr>
          <w:rStyle w:val="a7"/>
          <w:rFonts w:hint="eastAsia"/>
          <w:sz w:val="18"/>
          <w:szCs w:val="18"/>
        </w:rPr>
        <w:t>1、公司发展战略</w:t>
      </w:r>
    </w:p>
    <w:p w:rsidR="00A95787" w:rsidRDefault="005D3CC1">
      <w:pPr>
        <w:pStyle w:val="a6"/>
        <w:spacing w:before="0" w:beforeAutospacing="0" w:after="0" w:afterAutospacing="0" w:line="276" w:lineRule="auto"/>
        <w:ind w:firstLine="423"/>
        <w:jc w:val="both"/>
      </w:pPr>
      <w:r>
        <w:rPr>
          <w:rFonts w:hint="eastAsia"/>
          <w:sz w:val="18"/>
          <w:szCs w:val="18"/>
        </w:rPr>
        <w:t>继续贯彻稳健经营策略，提升技术创新和研发能力，提高完善生产工艺和技术装备水平，优化产品结构，重点发展差别化、功能化、新型聚酯纤维高端产品。</w:t>
      </w:r>
    </w:p>
    <w:p w:rsidR="00A95787" w:rsidRDefault="005D3CC1">
      <w:pPr>
        <w:pStyle w:val="a6"/>
        <w:spacing w:before="0" w:beforeAutospacing="0" w:after="0" w:afterAutospacing="0" w:line="276" w:lineRule="auto"/>
        <w:ind w:firstLine="423"/>
        <w:jc w:val="both"/>
      </w:pPr>
      <w:r>
        <w:rPr>
          <w:rFonts w:hint="eastAsia"/>
          <w:sz w:val="18"/>
          <w:szCs w:val="18"/>
        </w:rPr>
        <w:t>公司将根据自身业务发展战略和资本结构管理需要，以可持续发展和维护股东权益为宗旨，不断提高公司资本规模和运营能力，增强抵御市场风险能力。</w:t>
      </w:r>
    </w:p>
    <w:p w:rsidR="00A95787" w:rsidRDefault="005D3CC1">
      <w:pPr>
        <w:pStyle w:val="a6"/>
        <w:spacing w:before="0" w:beforeAutospacing="0" w:after="0" w:afterAutospacing="0" w:line="276" w:lineRule="auto"/>
        <w:ind w:firstLine="423"/>
        <w:jc w:val="both"/>
      </w:pPr>
      <w:r>
        <w:rPr>
          <w:rFonts w:hint="eastAsia"/>
          <w:sz w:val="18"/>
          <w:szCs w:val="18"/>
        </w:rPr>
        <w:t> </w:t>
      </w:r>
    </w:p>
    <w:p w:rsidR="00A95787" w:rsidRDefault="005D3CC1">
      <w:pPr>
        <w:pStyle w:val="a6"/>
        <w:spacing w:before="0" w:beforeAutospacing="0" w:after="0" w:afterAutospacing="0" w:line="276" w:lineRule="auto"/>
        <w:ind w:firstLine="425"/>
        <w:jc w:val="both"/>
      </w:pPr>
      <w:r>
        <w:rPr>
          <w:rStyle w:val="a7"/>
          <w:rFonts w:hint="eastAsia"/>
          <w:sz w:val="18"/>
          <w:szCs w:val="18"/>
        </w:rPr>
        <w:t>2、经营计划</w:t>
      </w:r>
    </w:p>
    <w:p w:rsidR="00A95787" w:rsidRDefault="005D3CC1">
      <w:pPr>
        <w:pStyle w:val="a6"/>
        <w:spacing w:before="0" w:beforeAutospacing="0" w:after="0" w:afterAutospacing="0" w:line="276" w:lineRule="auto"/>
        <w:ind w:firstLine="425"/>
        <w:jc w:val="both"/>
      </w:pPr>
      <w:r>
        <w:rPr>
          <w:rStyle w:val="a7"/>
          <w:rFonts w:hint="eastAsia"/>
          <w:sz w:val="18"/>
          <w:szCs w:val="18"/>
        </w:rPr>
        <w:t>（1）2024年度经营计划完成情况</w:t>
      </w:r>
    </w:p>
    <w:p w:rsidR="00A95787" w:rsidRDefault="005D3CC1">
      <w:pPr>
        <w:pStyle w:val="a6"/>
        <w:spacing w:before="0" w:beforeAutospacing="0" w:after="0" w:afterAutospacing="0" w:line="276" w:lineRule="auto"/>
        <w:ind w:firstLine="423"/>
        <w:jc w:val="both"/>
      </w:pPr>
      <w:r>
        <w:rPr>
          <w:rFonts w:hint="eastAsia"/>
          <w:sz w:val="18"/>
          <w:szCs w:val="18"/>
        </w:rPr>
        <w:t>根据年初制定的经营计划，面对严峻的市场环境，公司对内加强管理，对外狠抓市场，努力推动各项业务稳步发展。2024年度共实现营业收入326,131.19万元，同比增长14.11%，实现归属于母公司股东的净利润11,733.82万元，同比增长62.08%。</w:t>
      </w:r>
    </w:p>
    <w:p w:rsidR="00A95787" w:rsidRDefault="005D3CC1">
      <w:pPr>
        <w:pStyle w:val="a6"/>
        <w:spacing w:before="0" w:beforeAutospacing="0" w:after="0" w:afterAutospacing="0" w:line="276" w:lineRule="auto"/>
        <w:ind w:firstLine="425"/>
        <w:jc w:val="both"/>
      </w:pPr>
      <w:r>
        <w:rPr>
          <w:rStyle w:val="a7"/>
          <w:rFonts w:hint="eastAsia"/>
          <w:sz w:val="18"/>
          <w:szCs w:val="18"/>
        </w:rPr>
        <w:t>（2）2025年度经营计划</w:t>
      </w:r>
    </w:p>
    <w:p w:rsidR="00A95787" w:rsidRDefault="005D3CC1">
      <w:pPr>
        <w:pStyle w:val="a6"/>
        <w:spacing w:before="0" w:beforeAutospacing="0" w:after="0" w:afterAutospacing="0" w:line="276" w:lineRule="auto"/>
        <w:ind w:firstLine="423"/>
        <w:jc w:val="both"/>
      </w:pPr>
      <w:r>
        <w:rPr>
          <w:rFonts w:hint="eastAsia"/>
          <w:sz w:val="18"/>
          <w:szCs w:val="18"/>
        </w:rPr>
        <w:t>为了切实履行公司制定的战略目标，实现公司稳健发展，强化公司可持续性发展能力，公司2025年度拟实施的具体计划如下：</w:t>
      </w:r>
    </w:p>
    <w:p w:rsidR="00A95787" w:rsidRDefault="005D3CC1">
      <w:pPr>
        <w:pStyle w:val="a6"/>
        <w:spacing w:before="0" w:beforeAutospacing="0" w:after="0" w:afterAutospacing="0" w:line="276" w:lineRule="auto"/>
        <w:ind w:firstLine="482"/>
        <w:jc w:val="both"/>
        <w:rPr>
          <w:rFonts w:ascii="Calibri" w:hAnsi="Calibri" w:cs="Calibri"/>
          <w:sz w:val="21"/>
          <w:szCs w:val="21"/>
        </w:rPr>
      </w:pPr>
      <w:r>
        <w:rPr>
          <w:rStyle w:val="a7"/>
          <w:rFonts w:cs="Calibri" w:hint="eastAsia"/>
          <w:sz w:val="18"/>
          <w:szCs w:val="18"/>
        </w:rPr>
        <w:t>涤纶化纤业务：</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2025年，公司将继续聚焦生产效能提升，保证产销比合理运营，并加强质量管理，实施全员质量责任制，确保每一道工序的产品都符合标准。同时，深化工艺流程优化，提高生产现场的安全性和环保管理水平。</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在市场拓展和产品优化方面，公司将进一步巩固短纤领域的市场份额，推动差别化产品的应用，尤其是在水刺和涡流纺领域，进一步提升市场竞争力，并加强高端产品的市场布局。</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原料采购方面，公司将继续优化采购策略，灵活应对市场波动，精细管理原料采购，降低成本，并确保产品质量和生产效益的平衡。同时，加强期现结合，在严格控制风险的前提下，保障生产和原料采购环节的高效运行。</w:t>
      </w:r>
    </w:p>
    <w:p w:rsidR="00A95787" w:rsidRDefault="005D3CC1">
      <w:pPr>
        <w:pStyle w:val="a6"/>
        <w:spacing w:before="0" w:beforeAutospacing="0" w:after="0" w:afterAutospacing="0" w:line="276" w:lineRule="auto"/>
        <w:ind w:firstLine="360"/>
        <w:rPr>
          <w:rFonts w:ascii="Calibri" w:hAnsi="Calibri" w:cs="Calibri"/>
          <w:sz w:val="21"/>
          <w:szCs w:val="21"/>
        </w:rPr>
      </w:pPr>
      <w:r>
        <w:rPr>
          <w:rStyle w:val="a7"/>
          <w:rFonts w:cs="Calibri" w:hint="eastAsia"/>
          <w:sz w:val="18"/>
          <w:szCs w:val="18"/>
        </w:rPr>
        <w:t>石化仓储业务：</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lastRenderedPageBreak/>
        <w:t>2025年，华西码头将坚守安全环保底线，全面贯彻 “安全第一、环保优先、臻品服务、降本节支”的经营理念，致力于通过科技创新、技术改进来提升仓储管理的安全性、环保性和高效性，为客户提供更加优质、高效的仓储服务，在仓储行业树立新的标杆。</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总体来说，2025年公司将继续优化生产管理，提升产品价值，并持续关注行业动态，把握市场机遇，确保公司健康稳定发展。</w:t>
      </w:r>
    </w:p>
    <w:p w:rsidR="00A95787" w:rsidRDefault="005D3CC1">
      <w:pPr>
        <w:pStyle w:val="a6"/>
        <w:spacing w:before="0" w:beforeAutospacing="0" w:after="0" w:afterAutospacing="0" w:line="276" w:lineRule="auto"/>
        <w:ind w:firstLine="360"/>
        <w:rPr>
          <w:rFonts w:ascii="Calibri" w:hAnsi="Calibri" w:cs="Calibri"/>
          <w:sz w:val="21"/>
          <w:szCs w:val="21"/>
        </w:rPr>
      </w:pPr>
      <w:r>
        <w:rPr>
          <w:rFonts w:cs="Calibri" w:hint="eastAsia"/>
          <w:sz w:val="18"/>
          <w:szCs w:val="18"/>
        </w:rPr>
        <w:t>上述经营计划不构成公司对投资者的业绩承诺，能否实现取决于市场状况变化等多种因素，存在很大的不确定性，敬请广大投资者注意投资风险。</w:t>
      </w:r>
    </w:p>
    <w:p w:rsidR="00A95787" w:rsidRDefault="005D3CC1">
      <w:pPr>
        <w:pStyle w:val="a6"/>
        <w:spacing w:before="0" w:beforeAutospacing="0" w:after="0" w:afterAutospacing="0" w:line="276" w:lineRule="auto"/>
        <w:ind w:firstLine="423"/>
        <w:jc w:val="both"/>
      </w:pPr>
      <w:r>
        <w:rPr>
          <w:rFonts w:hint="eastAsia"/>
          <w:sz w:val="18"/>
          <w:szCs w:val="18"/>
        </w:rPr>
        <w:t> </w:t>
      </w:r>
    </w:p>
    <w:p w:rsidR="00A95787" w:rsidRDefault="005D3CC1">
      <w:pPr>
        <w:pStyle w:val="a6"/>
        <w:spacing w:before="0" w:beforeAutospacing="0" w:after="0" w:afterAutospacing="0" w:line="276" w:lineRule="auto"/>
        <w:ind w:firstLine="425"/>
        <w:jc w:val="both"/>
      </w:pPr>
      <w:r>
        <w:rPr>
          <w:rStyle w:val="a7"/>
          <w:rFonts w:hint="eastAsia"/>
          <w:sz w:val="18"/>
          <w:szCs w:val="18"/>
        </w:rPr>
        <w:t>3、可能面对的风险</w:t>
      </w:r>
    </w:p>
    <w:p w:rsidR="00A95787" w:rsidRDefault="005D3CC1">
      <w:pPr>
        <w:pStyle w:val="a6"/>
        <w:spacing w:before="0" w:beforeAutospacing="0" w:after="0" w:afterAutospacing="0" w:line="276" w:lineRule="auto"/>
        <w:ind w:firstLine="423"/>
        <w:jc w:val="both"/>
      </w:pPr>
      <w:r>
        <w:rPr>
          <w:rFonts w:hint="eastAsia"/>
          <w:sz w:val="18"/>
          <w:szCs w:val="18"/>
        </w:rPr>
        <w:t>（1）宏观政策风险</w:t>
      </w:r>
    </w:p>
    <w:p w:rsidR="00A95787" w:rsidRDefault="005D3CC1">
      <w:pPr>
        <w:pStyle w:val="a6"/>
        <w:spacing w:before="0" w:beforeAutospacing="0" w:after="0" w:afterAutospacing="0" w:line="276" w:lineRule="auto"/>
        <w:ind w:firstLine="423"/>
        <w:jc w:val="both"/>
      </w:pPr>
      <w:r>
        <w:rPr>
          <w:rFonts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A95787" w:rsidRDefault="005D3CC1">
      <w:pPr>
        <w:pStyle w:val="a6"/>
        <w:spacing w:before="0" w:beforeAutospacing="0" w:after="0" w:afterAutospacing="0" w:line="276" w:lineRule="auto"/>
        <w:ind w:firstLine="423"/>
        <w:jc w:val="both"/>
      </w:pPr>
      <w:r>
        <w:rPr>
          <w:rFonts w:hint="eastAsia"/>
          <w:sz w:val="18"/>
          <w:szCs w:val="18"/>
        </w:rPr>
        <w:t>（2）日常经营和管理风险</w:t>
      </w:r>
    </w:p>
    <w:p w:rsidR="00A95787" w:rsidRDefault="005D3CC1">
      <w:pPr>
        <w:pStyle w:val="a6"/>
        <w:spacing w:before="0" w:beforeAutospacing="0" w:after="0" w:afterAutospacing="0" w:line="276" w:lineRule="auto"/>
        <w:ind w:firstLine="423"/>
        <w:jc w:val="both"/>
      </w:pPr>
      <w:r>
        <w:rPr>
          <w:rFonts w:hint="eastAsia"/>
          <w:sz w:val="18"/>
          <w:szCs w:val="18"/>
        </w:rPr>
        <w:t>①化纤行业周期性波动风险</w:t>
      </w:r>
    </w:p>
    <w:p w:rsidR="00A95787" w:rsidRDefault="005D3CC1">
      <w:pPr>
        <w:pStyle w:val="a6"/>
        <w:spacing w:before="0" w:beforeAutospacing="0" w:after="0" w:afterAutospacing="0" w:line="276" w:lineRule="auto"/>
        <w:ind w:firstLine="423"/>
        <w:jc w:val="both"/>
      </w:pPr>
      <w:r>
        <w:rPr>
          <w:rFonts w:hint="eastAsia"/>
          <w:sz w:val="18"/>
          <w:szCs w:val="18"/>
        </w:rPr>
        <w:t>公司的生产经营主要受上游石化行业供给、下游纺织行业供需关系以及自身发展状况的影响，而呈现一定的周期特征。由于化纤行业的上下游——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A95787" w:rsidRDefault="005D3CC1">
      <w:pPr>
        <w:pStyle w:val="a6"/>
        <w:spacing w:before="0" w:beforeAutospacing="0" w:after="0" w:afterAutospacing="0" w:line="276" w:lineRule="auto"/>
        <w:ind w:firstLine="423"/>
        <w:jc w:val="both"/>
      </w:pPr>
      <w:r>
        <w:rPr>
          <w:rFonts w:hint="eastAsia"/>
          <w:sz w:val="18"/>
          <w:szCs w:val="18"/>
        </w:rPr>
        <w:t>②化纤行业市场竞争风险</w:t>
      </w:r>
    </w:p>
    <w:p w:rsidR="00A95787" w:rsidRDefault="005D3CC1">
      <w:pPr>
        <w:pStyle w:val="a6"/>
        <w:spacing w:before="0" w:beforeAutospacing="0" w:after="0" w:afterAutospacing="0" w:line="276" w:lineRule="auto"/>
        <w:ind w:firstLine="423"/>
        <w:jc w:val="both"/>
      </w:pPr>
      <w:r>
        <w:rPr>
          <w:rFonts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科研投入不足，现有产能中同质化产品过剩。公司若不能及时提高产品层次，生产市场所需差别化及特种纤维等高端产品，经营业绩有下滑的风险。</w:t>
      </w:r>
    </w:p>
    <w:p w:rsidR="00A95787" w:rsidRDefault="005D3CC1">
      <w:pPr>
        <w:pStyle w:val="a6"/>
        <w:spacing w:before="0" w:beforeAutospacing="0" w:after="0" w:afterAutospacing="0" w:line="276" w:lineRule="auto"/>
        <w:ind w:firstLine="423"/>
        <w:jc w:val="both"/>
      </w:pPr>
      <w:r>
        <w:rPr>
          <w:rFonts w:hint="eastAsia"/>
          <w:sz w:val="18"/>
          <w:szCs w:val="18"/>
        </w:rPr>
        <w:t>③原材料价格波动风险</w:t>
      </w:r>
    </w:p>
    <w:p w:rsidR="00A95787" w:rsidRDefault="005D3CC1">
      <w:pPr>
        <w:pStyle w:val="a6"/>
        <w:spacing w:before="0" w:beforeAutospacing="0" w:after="0" w:afterAutospacing="0" w:line="276" w:lineRule="auto"/>
        <w:ind w:firstLine="423"/>
        <w:jc w:val="both"/>
      </w:pPr>
      <w:r>
        <w:rPr>
          <w:rFonts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A95787" w:rsidRDefault="005D3CC1">
      <w:pPr>
        <w:pStyle w:val="a6"/>
        <w:spacing w:before="0" w:beforeAutospacing="0" w:after="0" w:afterAutospacing="0" w:line="276" w:lineRule="auto"/>
        <w:ind w:firstLine="423"/>
        <w:jc w:val="both"/>
      </w:pPr>
      <w:r>
        <w:rPr>
          <w:rFonts w:hint="eastAsia"/>
          <w:sz w:val="18"/>
          <w:szCs w:val="18"/>
        </w:rPr>
        <w:t>④石化仓储业务内延发展受限的风险</w:t>
      </w:r>
    </w:p>
    <w:p w:rsidR="00A95787" w:rsidRDefault="005D3CC1">
      <w:pPr>
        <w:pStyle w:val="a6"/>
        <w:spacing w:before="0" w:beforeAutospacing="0" w:after="0" w:afterAutospacing="0" w:line="276" w:lineRule="auto"/>
        <w:ind w:firstLine="423"/>
        <w:jc w:val="both"/>
      </w:pPr>
      <w:r>
        <w:rPr>
          <w:rFonts w:hint="eastAsia"/>
          <w:sz w:val="18"/>
          <w:szCs w:val="18"/>
        </w:rPr>
        <w:t>对于石化仓储企业来说，码头岸线及土地资源是企业发展的关键性资源。公司的仓储业务对码头和土地的依赖性较高。目前，公司无新增液体化工专用码头资源，且土地供给也受限，面临内延发展受限的风险。</w:t>
      </w:r>
    </w:p>
    <w:p w:rsidR="00A95787" w:rsidRDefault="005D3CC1">
      <w:pPr>
        <w:pStyle w:val="a6"/>
        <w:spacing w:before="0" w:beforeAutospacing="0" w:after="0" w:afterAutospacing="0" w:line="276" w:lineRule="auto"/>
        <w:ind w:firstLine="423"/>
        <w:jc w:val="both"/>
      </w:pPr>
      <w:r>
        <w:rPr>
          <w:rFonts w:hint="eastAsia"/>
          <w:sz w:val="18"/>
          <w:szCs w:val="18"/>
        </w:rPr>
        <w:t>⑤环保和安全生产风险</w:t>
      </w:r>
    </w:p>
    <w:p w:rsidR="00A95787" w:rsidRDefault="005D3CC1">
      <w:pPr>
        <w:pStyle w:val="a6"/>
        <w:spacing w:before="0" w:beforeAutospacing="0" w:after="0" w:afterAutospacing="0" w:line="276" w:lineRule="auto"/>
        <w:ind w:firstLine="423"/>
        <w:jc w:val="both"/>
      </w:pPr>
      <w:r>
        <w:rPr>
          <w:rFonts w:hint="eastAsia"/>
          <w:sz w:val="18"/>
          <w:szCs w:val="18"/>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A95787" w:rsidRDefault="005D3CC1">
      <w:pPr>
        <w:pStyle w:val="a6"/>
        <w:spacing w:before="0" w:beforeAutospacing="0" w:after="0" w:afterAutospacing="0" w:line="276" w:lineRule="auto"/>
        <w:ind w:firstLine="423"/>
        <w:jc w:val="both"/>
      </w:pPr>
      <w:r>
        <w:rPr>
          <w:rFonts w:hint="eastAsia"/>
          <w:sz w:val="18"/>
          <w:szCs w:val="18"/>
        </w:rPr>
        <w:lastRenderedPageBreak/>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A95787" w:rsidRDefault="005D3CC1">
      <w:pPr>
        <w:pStyle w:val="a6"/>
        <w:spacing w:before="0" w:beforeAutospacing="0" w:after="0" w:afterAutospacing="0" w:line="276" w:lineRule="auto"/>
        <w:ind w:firstLine="423"/>
        <w:jc w:val="both"/>
      </w:pPr>
      <w:r>
        <w:rPr>
          <w:rFonts w:hint="eastAsia"/>
          <w:sz w:val="18"/>
          <w:szCs w:val="18"/>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建立科学的决策体系和管理体系，严格按照相关法律法规、生产规范等进行日常管理，持续提高经营管理水平和风险防范能力。在生产过程中持续加强对安全、环保的控制和监督，加强对安全、环境保护法律法规的学习，提升员工和管理人员的环保意识，严格遵守执行安全、环保法律法规，切实履行安全、环保责任，避免安全环保给公司带来的不利影响。</w:t>
      </w:r>
    </w:p>
    <w:p w:rsidR="00A95787" w:rsidRDefault="005D3CC1">
      <w:pPr>
        <w:pStyle w:val="2"/>
        <w:spacing w:before="300" w:after="300" w:line="320" w:lineRule="exact"/>
        <w:rPr>
          <w:rFonts w:ascii="宋体" w:eastAsia="宋体" w:hAnsi="宋体" w:cs="宋体"/>
          <w:b/>
          <w:bCs/>
          <w:sz w:val="24"/>
          <w:szCs w:val="24"/>
        </w:rPr>
      </w:pPr>
      <w:bookmarkStart w:id="56" w:name="_Toc988941"/>
      <w:r>
        <w:rPr>
          <w:rFonts w:ascii="宋体" w:eastAsia="宋体" w:hAnsi="宋体" w:cs="宋体"/>
          <w:b/>
          <w:bCs/>
          <w:sz w:val="24"/>
          <w:szCs w:val="24"/>
        </w:rPr>
        <w:t>十二、报告期内接待调研、沟通、采访等活动</w:t>
      </w:r>
      <w:bookmarkEnd w:id="5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55"/>
        <w:gridCol w:w="1377"/>
        <w:gridCol w:w="1377"/>
        <w:gridCol w:w="1377"/>
        <w:gridCol w:w="1377"/>
        <w:gridCol w:w="1377"/>
        <w:gridCol w:w="1497"/>
      </w:tblGrid>
      <w:tr w:rsidR="00A95787">
        <w:trPr>
          <w:trHeight w:val="240"/>
        </w:trPr>
        <w:tc>
          <w:tcPr>
            <w:tcW w:w="125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A95787">
        <w:trPr>
          <w:trHeight w:val="240"/>
        </w:trPr>
        <w:tc>
          <w:tcPr>
            <w:tcW w:w="1255" w:type="dxa"/>
            <w:tcBorders>
              <w:top w:val="single" w:sz="2" w:space="0" w:color="auto"/>
              <w:left w:val="single" w:sz="2" w:space="0" w:color="auto"/>
              <w:bottom w:val="single" w:sz="2" w:space="0" w:color="auto"/>
              <w:right w:val="single" w:sz="2" w:space="0" w:color="auto"/>
            </w:tcBorders>
            <w:vAlign w:val="center"/>
          </w:tcPr>
          <w:p w:rsidR="00A95787" w:rsidRDefault="005D3CC1" w:rsidP="00B87AC7">
            <w:pPr>
              <w:spacing w:line="240" w:lineRule="exact"/>
              <w:rPr>
                <w:rFonts w:ascii="宋体" w:eastAsia="宋体" w:hAnsi="宋体" w:cs="宋体"/>
                <w:sz w:val="18"/>
                <w:szCs w:val="18"/>
              </w:rPr>
            </w:pPr>
            <w:r>
              <w:rPr>
                <w:rFonts w:ascii="宋体" w:eastAsia="宋体" w:hAnsi="宋体" w:cs="宋体"/>
                <w:sz w:val="18"/>
                <w:szCs w:val="18"/>
              </w:rPr>
              <w:t>2024年5月10日</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价值在线（www.ir-online.cn）</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网络平台线上交流</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线上投资者</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巨潮资讯网，</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《投资者关系活动记录表》（编号：2024-001）</w:t>
            </w:r>
          </w:p>
        </w:tc>
      </w:tr>
      <w:tr w:rsidR="00A95787">
        <w:trPr>
          <w:trHeight w:val="240"/>
        </w:trPr>
        <w:tc>
          <w:tcPr>
            <w:tcW w:w="1255" w:type="dxa"/>
            <w:tcBorders>
              <w:top w:val="single" w:sz="2" w:space="0" w:color="auto"/>
              <w:left w:val="single" w:sz="2" w:space="0" w:color="auto"/>
              <w:bottom w:val="single" w:sz="2" w:space="0" w:color="auto"/>
              <w:right w:val="single" w:sz="2" w:space="0" w:color="auto"/>
            </w:tcBorders>
            <w:vAlign w:val="center"/>
          </w:tcPr>
          <w:p w:rsidR="00A95787" w:rsidRDefault="005D3CC1" w:rsidP="00504C1A">
            <w:pPr>
              <w:spacing w:line="240" w:lineRule="exact"/>
              <w:rPr>
                <w:rFonts w:ascii="宋体" w:eastAsia="宋体" w:hAnsi="宋体" w:cs="宋体"/>
                <w:sz w:val="18"/>
                <w:szCs w:val="18"/>
              </w:rPr>
            </w:pPr>
            <w:r>
              <w:rPr>
                <w:rFonts w:ascii="宋体" w:eastAsia="宋体" w:hAnsi="宋体" w:cs="宋体"/>
                <w:sz w:val="18"/>
                <w:szCs w:val="18"/>
              </w:rPr>
              <w:t>2024年</w:t>
            </w:r>
            <w:r>
              <w:rPr>
                <w:rFonts w:ascii="宋体" w:eastAsia="宋体" w:hAnsi="宋体" w:cs="宋体" w:hint="eastAsia"/>
                <w:sz w:val="18"/>
                <w:szCs w:val="18"/>
              </w:rPr>
              <w:t>1-12月</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公司办公室</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80多位个人投资者</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A95787" w:rsidRDefault="005D3CC1">
      <w:pPr>
        <w:pStyle w:val="2"/>
        <w:spacing w:before="300" w:after="300" w:line="320" w:lineRule="exact"/>
        <w:rPr>
          <w:rFonts w:ascii="宋体" w:eastAsia="宋体" w:hAnsi="宋体" w:cs="宋体"/>
          <w:b/>
          <w:bCs/>
          <w:sz w:val="24"/>
          <w:szCs w:val="24"/>
        </w:rPr>
      </w:pPr>
      <w:bookmarkStart w:id="57" w:name="_Toc988942"/>
      <w:r>
        <w:rPr>
          <w:rFonts w:ascii="宋体" w:eastAsia="宋体" w:hAnsi="宋体" w:cs="宋体"/>
          <w:b/>
          <w:bCs/>
          <w:sz w:val="24"/>
          <w:szCs w:val="24"/>
        </w:rPr>
        <w:t>十三、市值管理制度和估值提升计划的制定落实情况</w:t>
      </w:r>
      <w:bookmarkEnd w:id="5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公司是否制定了市值管理制度。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公司是否披露了估值提升计划。</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2"/>
        <w:spacing w:before="300" w:after="300" w:line="320" w:lineRule="exact"/>
        <w:rPr>
          <w:rFonts w:ascii="宋体" w:eastAsia="宋体" w:hAnsi="宋体" w:cs="宋体"/>
          <w:b/>
          <w:bCs/>
          <w:sz w:val="24"/>
          <w:szCs w:val="24"/>
        </w:rPr>
      </w:pPr>
      <w:bookmarkStart w:id="58" w:name="_Toc988943"/>
      <w:r>
        <w:rPr>
          <w:rFonts w:ascii="宋体" w:eastAsia="宋体" w:hAnsi="宋体" w:cs="宋体"/>
          <w:b/>
          <w:bCs/>
          <w:sz w:val="24"/>
          <w:szCs w:val="24"/>
        </w:rPr>
        <w:t>十四、“质量回报双提升”行动方案贯彻落实情况</w:t>
      </w:r>
      <w:bookmarkEnd w:id="5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59" w:name="_Toc988944"/>
      <w:r>
        <w:rPr>
          <w:rFonts w:ascii="宋体" w:eastAsia="宋体" w:hAnsi="宋体" w:cs="宋体"/>
          <w:b/>
          <w:bCs/>
          <w:sz w:val="32"/>
          <w:szCs w:val="32"/>
        </w:rPr>
        <w:lastRenderedPageBreak/>
        <w:t>第四节 公司治理</w:t>
      </w:r>
      <w:bookmarkEnd w:id="59"/>
    </w:p>
    <w:p w:rsidR="00A95787" w:rsidRDefault="005D3CC1">
      <w:pPr>
        <w:pStyle w:val="2"/>
        <w:spacing w:before="300" w:after="300" w:line="320" w:lineRule="exact"/>
        <w:rPr>
          <w:rFonts w:ascii="宋体" w:eastAsia="宋体" w:hAnsi="宋体" w:cs="宋体"/>
          <w:b/>
          <w:bCs/>
          <w:sz w:val="24"/>
          <w:szCs w:val="24"/>
        </w:rPr>
      </w:pPr>
      <w:bookmarkStart w:id="60" w:name="_Toc988945"/>
      <w:r>
        <w:rPr>
          <w:rFonts w:ascii="宋体" w:eastAsia="宋体" w:hAnsi="宋体" w:cs="宋体"/>
          <w:b/>
          <w:bCs/>
          <w:sz w:val="24"/>
          <w:szCs w:val="24"/>
        </w:rPr>
        <w:t>一、公司治理的基本状况</w:t>
      </w:r>
      <w:bookmarkEnd w:id="60"/>
    </w:p>
    <w:p w:rsidR="00A95787" w:rsidRDefault="005D3CC1">
      <w:pPr>
        <w:pStyle w:val="a6"/>
        <w:spacing w:before="0" w:beforeAutospacing="0" w:after="0" w:afterAutospacing="0" w:line="276" w:lineRule="auto"/>
        <w:ind w:firstLine="288"/>
        <w:jc w:val="both"/>
      </w:pPr>
      <w:r>
        <w:rPr>
          <w:rFonts w:hint="eastAsia"/>
          <w:sz w:val="18"/>
          <w:szCs w:val="18"/>
        </w:rPr>
        <w:t>报告期内，公司严格按照《公司法》《证券法》《深圳证券交易所股票上市规则》等有关法律、法规、规范性文件等要求，结合自身实际情况，持续完善公司治理结构，提升治理水平，建立健全各项管理制度，规范公司运作，加强内幕信息管理，强化信息披露工作，切实维护公司及全体股东的合法权益。</w:t>
      </w:r>
    </w:p>
    <w:p w:rsidR="00A95787" w:rsidRDefault="005D3CC1">
      <w:pPr>
        <w:pStyle w:val="a6"/>
        <w:spacing w:before="0" w:beforeAutospacing="0" w:after="0" w:afterAutospacing="0" w:line="276" w:lineRule="auto"/>
        <w:ind w:firstLine="288"/>
        <w:jc w:val="both"/>
      </w:pPr>
      <w:r>
        <w:rPr>
          <w:rFonts w:hint="eastAsia"/>
          <w:sz w:val="18"/>
          <w:szCs w:val="18"/>
        </w:rPr>
        <w:t>公司建立了股东会、董事会、监事会和管理层分权制衡的公司治理结构，通过制订并不断完善议事规则，明确各层级的权责范围，确保决策、执行和监督相互分离并形成有效制衡。公司建立并不断完善内部控制体系，强化内控管理机制，优化管理流程，健全风险防范机制，为提高公司经营效率、实现持续健康发展提供支持。</w:t>
      </w:r>
    </w:p>
    <w:p w:rsidR="00A95787" w:rsidRDefault="005D3CC1">
      <w:pPr>
        <w:pStyle w:val="a6"/>
        <w:spacing w:before="0" w:beforeAutospacing="0" w:after="0" w:afterAutospacing="0" w:line="276" w:lineRule="auto"/>
        <w:ind w:firstLine="288"/>
        <w:jc w:val="both"/>
      </w:pPr>
      <w:r>
        <w:rPr>
          <w:rFonts w:hint="eastAsia"/>
          <w:sz w:val="18"/>
          <w:szCs w:val="18"/>
        </w:rPr>
        <w:t>报告期内，公司根据中国证监会、深圳证券交易所的有关规定，并结合公司实际情况，对《公司章程》《独立董事专门会议工作制度》《对外担保管理制度》《关联交易决策制度》《舆情管理制度》等相关制度进行了修订，进一步提升了公司法人治理规范水平。</w:t>
      </w:r>
    </w:p>
    <w:p w:rsidR="00A95787" w:rsidRDefault="005D3CC1">
      <w:pPr>
        <w:pStyle w:val="a6"/>
        <w:spacing w:before="0" w:beforeAutospacing="0" w:after="0" w:afterAutospacing="0" w:line="276" w:lineRule="auto"/>
        <w:ind w:firstLine="288"/>
        <w:jc w:val="both"/>
      </w:pPr>
      <w:r>
        <w:rPr>
          <w:rFonts w:hint="eastAsia"/>
          <w:sz w:val="18"/>
          <w:szCs w:val="18"/>
        </w:rPr>
        <w:t>截至报告期末，公司治理的实际状况符合中国证监会发布的有关上市公司治理的规范性文件。具体表现在如下方面：</w:t>
      </w:r>
    </w:p>
    <w:p w:rsidR="00A95787" w:rsidRDefault="005D3CC1">
      <w:pPr>
        <w:pStyle w:val="a6"/>
        <w:spacing w:before="0" w:beforeAutospacing="0" w:after="0" w:afterAutospacing="0" w:line="276" w:lineRule="auto"/>
        <w:ind w:firstLine="288"/>
        <w:jc w:val="both"/>
      </w:pPr>
      <w:r>
        <w:rPr>
          <w:rFonts w:hint="eastAsia"/>
          <w:sz w:val="18"/>
          <w:szCs w:val="18"/>
        </w:rPr>
        <w:t>1、关于股东与股东会：公司严格按照《公司章程》和《股东大会议事规则》等的规定和要求，规范股东会的召集、召开和表决程序，确保全体股东尤其是中小股东享有平等地位，充分行使股东的权利。</w:t>
      </w:r>
    </w:p>
    <w:p w:rsidR="00A95787" w:rsidRDefault="005D3CC1">
      <w:pPr>
        <w:pStyle w:val="a6"/>
        <w:spacing w:before="0" w:beforeAutospacing="0" w:after="0" w:afterAutospacing="0" w:line="276" w:lineRule="auto"/>
        <w:ind w:firstLine="288"/>
        <w:jc w:val="both"/>
      </w:pPr>
      <w:r>
        <w:rPr>
          <w:rFonts w:hint="eastAsia"/>
          <w:sz w:val="18"/>
          <w:szCs w:val="18"/>
        </w:rPr>
        <w:t>报告期内，公司共召开了2次股东会，会议召集召开程序、提案审议程序、决策程序均符合相关规定。在股东会召开过程中，公司充分保障股东的发言权，并积极认真地回复股东的提问，确保各股东平等的行使自己的权利。</w:t>
      </w:r>
    </w:p>
    <w:p w:rsidR="00A95787" w:rsidRDefault="005D3CC1">
      <w:pPr>
        <w:pStyle w:val="a6"/>
        <w:spacing w:before="0" w:beforeAutospacing="0" w:after="0" w:afterAutospacing="0" w:line="276" w:lineRule="auto"/>
        <w:ind w:firstLine="288"/>
        <w:jc w:val="both"/>
      </w:pPr>
      <w:r>
        <w:rPr>
          <w:rFonts w:hint="eastAsia"/>
          <w:sz w:val="18"/>
          <w:szCs w:val="18"/>
        </w:rPr>
        <w:t>2</w:t>
      </w:r>
      <w:r w:rsidR="004379DA">
        <w:rPr>
          <w:rFonts w:hint="eastAsia"/>
          <w:sz w:val="18"/>
          <w:szCs w:val="18"/>
        </w:rPr>
        <w:t>、关于董事与董事会：公司董事会由</w:t>
      </w:r>
      <w:r>
        <w:rPr>
          <w:rFonts w:hint="eastAsia"/>
          <w:sz w:val="18"/>
          <w:szCs w:val="18"/>
        </w:rPr>
        <w:t>9名董事组成，其中独立董事3名，董事会的人数、构成符合相关法律、法规和《公司章程》的规定。公司全体董事能够依据《公司章程》《董事会议事规则》等有关规定勤勉尽责开展工作，认真出席董事会和股东会，积极参加培训，学习相关法律法规。公司董事会下设战略委员会、提名委员会、薪酬与考核委员会、审计委员会四个专业委员会，并制定各个委员会的工作细则。各委员会职责明确，整体运作情况良好，确保了董事会的高效运作和科学决策。报告期内，公司共召开了5次董事会议，会议的召集、召开和表决程序等均符合相关法律、法规的规定。</w:t>
      </w:r>
    </w:p>
    <w:p w:rsidR="00A95787" w:rsidRDefault="005D3CC1">
      <w:pPr>
        <w:pStyle w:val="a6"/>
        <w:spacing w:before="0" w:beforeAutospacing="0" w:after="0" w:afterAutospacing="0" w:line="276" w:lineRule="auto"/>
        <w:ind w:firstLine="288"/>
        <w:jc w:val="both"/>
      </w:pPr>
      <w:r>
        <w:rPr>
          <w:rFonts w:hint="eastAsia"/>
          <w:sz w:val="18"/>
          <w:szCs w:val="18"/>
        </w:rPr>
        <w:t>3、关于监事和监事会：公司监事会</w:t>
      </w:r>
      <w:r w:rsidR="001D0ED1">
        <w:rPr>
          <w:rFonts w:hint="eastAsia"/>
          <w:sz w:val="18"/>
          <w:szCs w:val="18"/>
        </w:rPr>
        <w:t>由</w:t>
      </w:r>
      <w:r>
        <w:rPr>
          <w:rFonts w:hint="eastAsia"/>
          <w:sz w:val="18"/>
          <w:szCs w:val="18"/>
        </w:rPr>
        <w:t>3名监事组成，其中职工监事1名，公司监事会人数和人员构成符合法律、法规和《公司章程》的规定。公司监事会会议的召集、召开程序等均符合《公司章程》《监事会议事规则》的规定。报告期内共召开3次监事会会议，并列席了董事会会议和股东会，对董事及高级管理人员履行职责的合法、合规性进行监督，对公司依法运作情况、关联交易、财务情况、内部控制等发表了意见，维护了公司和股东的合法权益。</w:t>
      </w:r>
    </w:p>
    <w:p w:rsidR="00A95787" w:rsidRDefault="005D3CC1">
      <w:pPr>
        <w:pStyle w:val="a6"/>
        <w:spacing w:before="0" w:beforeAutospacing="0" w:after="0" w:afterAutospacing="0" w:line="276" w:lineRule="auto"/>
        <w:ind w:firstLine="288"/>
        <w:jc w:val="both"/>
      </w:pPr>
      <w:r>
        <w:rPr>
          <w:rFonts w:hint="eastAsia"/>
          <w:sz w:val="18"/>
          <w:szCs w:val="18"/>
        </w:rPr>
        <w:t>4、关于绩效评价与激励约束机制：公司从生产经营的实际情况出发，制定和完善了各项内部控制制度，建立了行之有效的绩效考核、内部审计、实绩到位的绩效评价激励约束机制，对成绩突出的员工和绩效差劣的员工实行奖惩制，通过推行严密的内部控制制度，既调动了广大员工的工作积极性和主观能动性，同时也有效地促进了公司的规范运作和健康发展。</w:t>
      </w:r>
    </w:p>
    <w:p w:rsidR="00A95787" w:rsidRDefault="005D3CC1">
      <w:pPr>
        <w:pStyle w:val="a6"/>
        <w:spacing w:before="0" w:beforeAutospacing="0" w:after="0" w:afterAutospacing="0" w:line="276" w:lineRule="auto"/>
        <w:ind w:firstLine="288"/>
        <w:jc w:val="both"/>
      </w:pPr>
      <w:r>
        <w:rPr>
          <w:rFonts w:hint="eastAsia"/>
          <w:sz w:val="18"/>
          <w:szCs w:val="18"/>
        </w:rPr>
        <w:t>5、关于相关利益者：公司在保持稳健发展、实现股东利益最大化的同时，充分尊重和维护职工、债权人等相关利益者的合法权利，重视与相关利益者的积极合作与和谐共处，共同推动公司持续、健康地发展。</w:t>
      </w:r>
    </w:p>
    <w:p w:rsidR="00A95787" w:rsidRDefault="005D3CC1">
      <w:pPr>
        <w:pStyle w:val="a6"/>
        <w:spacing w:before="0" w:beforeAutospacing="0" w:after="0" w:afterAutospacing="0" w:line="276" w:lineRule="auto"/>
        <w:ind w:firstLine="288"/>
        <w:jc w:val="both"/>
      </w:pPr>
      <w:r>
        <w:rPr>
          <w:rFonts w:hint="eastAsia"/>
          <w:sz w:val="18"/>
          <w:szCs w:val="18"/>
        </w:rPr>
        <w:t>6、关于信息披露与投资者关系管理：公司严格按照有关法律法规及《深圳证券交易所股票上市规则》关于公司信息披露的规定，真实、准确、完整、及时、公平地履行信息披露义务，及时、公平回复投资者在互动易的提问，确保所有投资者公平获取公司信息。</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公司治理的实际状况与法律、行政法规和中国证监会发布的关于上市公司治理的规定是否存在重大差异</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公司治理的实际状况与法律、行政法规和中国证监会发布的关于上市公司治理的规定不存在重大差异。</w:t>
      </w:r>
    </w:p>
    <w:p w:rsidR="00A95787" w:rsidRDefault="005D3CC1">
      <w:pPr>
        <w:pStyle w:val="2"/>
        <w:spacing w:before="300" w:after="300" w:line="320" w:lineRule="exact"/>
        <w:rPr>
          <w:rFonts w:ascii="宋体" w:eastAsia="宋体" w:hAnsi="宋体" w:cs="宋体"/>
          <w:b/>
          <w:bCs/>
          <w:sz w:val="24"/>
          <w:szCs w:val="24"/>
        </w:rPr>
      </w:pPr>
      <w:bookmarkStart w:id="61" w:name="_Toc988946"/>
      <w:r>
        <w:rPr>
          <w:rFonts w:ascii="宋体" w:eastAsia="宋体" w:hAnsi="宋体" w:cs="宋体"/>
          <w:b/>
          <w:bCs/>
          <w:sz w:val="24"/>
          <w:szCs w:val="24"/>
        </w:rPr>
        <w:t>二、公司相对于控股股东、实际控制人在保证公司资产、人员、财务、机构、业务等方面的独立情况</w:t>
      </w:r>
      <w:bookmarkEnd w:id="61"/>
    </w:p>
    <w:p w:rsidR="00A95787" w:rsidRDefault="005D3CC1">
      <w:pPr>
        <w:pStyle w:val="a6"/>
        <w:spacing w:before="0" w:beforeAutospacing="0" w:after="0" w:afterAutospacing="0" w:line="276" w:lineRule="auto"/>
        <w:ind w:firstLine="289"/>
        <w:jc w:val="both"/>
      </w:pPr>
      <w:r>
        <w:rPr>
          <w:rFonts w:hint="eastAsia"/>
          <w:sz w:val="18"/>
          <w:szCs w:val="18"/>
        </w:rPr>
        <w:t>公司严格按照《公司法》《证券法》等有关法律、法规和《公司章程》的要求规范运作，建立了健全的法人治理结构，在资产、人员、财务、机构、业务等方面均独立于控股股东、实际控制人及其控制的其他企业，具有独立、完整的业务体系，具备独立自主经营的能力。</w:t>
      </w:r>
    </w:p>
    <w:p w:rsidR="00A95787" w:rsidRDefault="005D3CC1">
      <w:pPr>
        <w:pStyle w:val="a6"/>
        <w:spacing w:before="0" w:beforeAutospacing="0" w:after="0" w:afterAutospacing="0" w:line="276" w:lineRule="auto"/>
        <w:ind w:firstLine="289"/>
        <w:jc w:val="both"/>
      </w:pPr>
      <w:r>
        <w:rPr>
          <w:rFonts w:hint="eastAsia"/>
          <w:sz w:val="18"/>
          <w:szCs w:val="18"/>
        </w:rPr>
        <w:t>在资产方面，公司拥有独立完整的与经营相关的资产，具有独立完整的产品开发、采购、生产和销售体系。公司与控股股东之间的资产产权清晰，公司资产独立于控股股东、实际控制人及其控制的其他企业。</w:t>
      </w:r>
    </w:p>
    <w:p w:rsidR="00A95787" w:rsidRDefault="005D3CC1">
      <w:pPr>
        <w:pStyle w:val="a6"/>
        <w:spacing w:before="0" w:beforeAutospacing="0" w:after="0" w:afterAutospacing="0" w:line="276" w:lineRule="auto"/>
        <w:ind w:firstLine="289"/>
        <w:jc w:val="both"/>
      </w:pPr>
      <w:r>
        <w:rPr>
          <w:rFonts w:hint="eastAsia"/>
          <w:sz w:val="18"/>
          <w:szCs w:val="18"/>
        </w:rPr>
        <w:t>在人员方面，公司人员、薪酬管理完全独立。公司员工执行独立的劳动、人事及工资管理制度。公司董事、监事、高级管理人员均严格按照《公司法》《公司章程》的有关规定经选举产生和聘任。</w:t>
      </w:r>
    </w:p>
    <w:p w:rsidR="00A95787" w:rsidRDefault="005D3CC1">
      <w:pPr>
        <w:pStyle w:val="a6"/>
        <w:spacing w:before="0" w:beforeAutospacing="0" w:after="0" w:afterAutospacing="0" w:line="276" w:lineRule="auto"/>
        <w:ind w:firstLine="289"/>
        <w:jc w:val="both"/>
      </w:pPr>
      <w:r>
        <w:rPr>
          <w:rFonts w:hint="eastAsia"/>
          <w:sz w:val="18"/>
          <w:szCs w:val="18"/>
        </w:rPr>
        <w:t>在财务方面，公司设有独立的财务部门，依据《中华人民共和国会计法》《企业会计准则》等建立了独立、完整、规范的财务核算体系和财务管理制度，独立作出财务决策，不存在控股股东干预公司资金使用等情况。公司在银行单独开立账户，拥有独立的银</w:t>
      </w:r>
      <w:r w:rsidR="00025493">
        <w:rPr>
          <w:rFonts w:hint="eastAsia"/>
          <w:sz w:val="18"/>
          <w:szCs w:val="18"/>
        </w:rPr>
        <w:t>行</w:t>
      </w:r>
      <w:r>
        <w:rPr>
          <w:rFonts w:hint="eastAsia"/>
          <w:sz w:val="18"/>
          <w:szCs w:val="18"/>
        </w:rPr>
        <w:t>账号；公司作为独立的纳税人，依法独立履行纳税义务。</w:t>
      </w:r>
    </w:p>
    <w:p w:rsidR="00A95787" w:rsidRDefault="005D3CC1">
      <w:pPr>
        <w:pStyle w:val="a6"/>
        <w:spacing w:before="0" w:beforeAutospacing="0" w:after="0" w:afterAutospacing="0" w:line="276" w:lineRule="auto"/>
        <w:ind w:firstLine="289"/>
        <w:jc w:val="both"/>
      </w:pPr>
      <w:r>
        <w:rPr>
          <w:rFonts w:hint="eastAsia"/>
          <w:sz w:val="18"/>
          <w:szCs w:val="18"/>
        </w:rPr>
        <w:t>在机构方面，公司建立了健全的组织机构体系，独立运作，公司生产经营和办公场所与控股股东、实际控制人严格分开，不存在与控股股东或其职能部门之间的从属关系。</w:t>
      </w:r>
    </w:p>
    <w:p w:rsidR="00A95787" w:rsidRDefault="005D3CC1">
      <w:pPr>
        <w:pStyle w:val="a6"/>
        <w:spacing w:before="0" w:beforeAutospacing="0" w:after="0" w:afterAutospacing="0" w:line="276" w:lineRule="auto"/>
        <w:ind w:firstLine="289"/>
        <w:jc w:val="both"/>
      </w:pPr>
      <w:r>
        <w:rPr>
          <w:rFonts w:hint="eastAsia"/>
          <w:sz w:val="18"/>
          <w:szCs w:val="18"/>
        </w:rPr>
        <w:t>在业务方面，公司目前主要从事纺织化纤业务，业务独立于控股股东及其下属企业，拥有独立完整的研发、采购、生产和销售系统，独立开展业务，已形成了独立完整的业务体系，不依赖于股东或其它任何关联方。</w:t>
      </w:r>
    </w:p>
    <w:p w:rsidR="00A95787" w:rsidRDefault="005D3CC1">
      <w:pPr>
        <w:pStyle w:val="2"/>
        <w:spacing w:before="300" w:after="300" w:line="320" w:lineRule="exact"/>
        <w:rPr>
          <w:rFonts w:ascii="宋体" w:eastAsia="宋体" w:hAnsi="宋体" w:cs="宋体"/>
          <w:b/>
          <w:bCs/>
          <w:sz w:val="24"/>
          <w:szCs w:val="24"/>
        </w:rPr>
      </w:pPr>
      <w:bookmarkStart w:id="62" w:name="_Toc988947"/>
      <w:r>
        <w:rPr>
          <w:rFonts w:ascii="宋体" w:eastAsia="宋体" w:hAnsi="宋体" w:cs="宋体"/>
          <w:b/>
          <w:bCs/>
          <w:sz w:val="24"/>
          <w:szCs w:val="24"/>
        </w:rPr>
        <w:t>三、同业竞争情况</w:t>
      </w:r>
      <w:bookmarkEnd w:id="62"/>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63" w:name="_Toc988948"/>
      <w:r>
        <w:rPr>
          <w:rFonts w:ascii="宋体" w:eastAsia="宋体" w:hAnsi="宋体" w:cs="宋体"/>
          <w:b/>
          <w:bCs/>
          <w:sz w:val="24"/>
          <w:szCs w:val="24"/>
        </w:rPr>
        <w:t>四、报告期内召开的年度股东大会和临时股东大会的有关情况</w:t>
      </w:r>
      <w:bookmarkEnd w:id="63"/>
    </w:p>
    <w:p w:rsidR="00A95787" w:rsidRDefault="005D3CC1">
      <w:pPr>
        <w:pStyle w:val="3"/>
        <w:spacing w:line="280" w:lineRule="exact"/>
        <w:jc w:val="left"/>
        <w:rPr>
          <w:rFonts w:ascii="宋体" w:hAnsi="宋体" w:cs="宋体"/>
          <w:b/>
          <w:bCs/>
        </w:rPr>
      </w:pPr>
      <w:bookmarkStart w:id="64" w:name="_Toc988949"/>
      <w:r>
        <w:rPr>
          <w:rFonts w:ascii="宋体" w:hAnsi="宋体" w:cs="宋体"/>
          <w:b/>
          <w:bCs/>
        </w:rPr>
        <w:t>1、本报告期股东大会情况</w:t>
      </w:r>
      <w:bookmarkEnd w:id="64"/>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38"/>
        <w:gridCol w:w="1350"/>
        <w:gridCol w:w="1512"/>
        <w:gridCol w:w="1463"/>
        <w:gridCol w:w="1362"/>
        <w:gridCol w:w="2513"/>
      </w:tblGrid>
      <w:tr w:rsidR="00A95787">
        <w:trPr>
          <w:trHeight w:val="240"/>
        </w:trPr>
        <w:tc>
          <w:tcPr>
            <w:tcW w:w="1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5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4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3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5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A95787">
        <w:trPr>
          <w:trHeight w:val="240"/>
        </w:trPr>
        <w:tc>
          <w:tcPr>
            <w:tcW w:w="14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2023年度</w:t>
            </w:r>
            <w:r>
              <w:rPr>
                <w:rFonts w:ascii="宋体" w:eastAsia="宋体" w:hAnsi="宋体" w:cs="宋体" w:hint="eastAsia"/>
                <w:sz w:val="18"/>
                <w:szCs w:val="18"/>
              </w:rPr>
              <w:t xml:space="preserve">    </w:t>
            </w:r>
            <w:r>
              <w:rPr>
                <w:rFonts w:ascii="宋体" w:eastAsia="宋体" w:hAnsi="宋体" w:cs="宋体"/>
                <w:sz w:val="18"/>
                <w:szCs w:val="18"/>
              </w:rPr>
              <w:t>股东大会</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年度股东大会</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38.92%</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05月24日</w:t>
            </w: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w:t>
            </w:r>
            <w:r>
              <w:rPr>
                <w:rFonts w:ascii="宋体" w:eastAsia="宋体" w:hAnsi="宋体" w:cs="宋体" w:hint="eastAsia"/>
                <w:sz w:val="18"/>
                <w:szCs w:val="18"/>
              </w:rPr>
              <w:t xml:space="preserve">      </w:t>
            </w:r>
            <w:r>
              <w:rPr>
                <w:rFonts w:ascii="宋体" w:eastAsia="宋体" w:hAnsi="宋体" w:cs="宋体"/>
                <w:sz w:val="18"/>
                <w:szCs w:val="18"/>
              </w:rPr>
              <w:t>05月25日</w:t>
            </w:r>
          </w:p>
        </w:tc>
        <w:tc>
          <w:tcPr>
            <w:tcW w:w="2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2023年度董事会工作报告》《2023年度监事会工作报告》《2023年度财务决算报告》《2023年度利润分配预案》《2023年度报告全文及摘要》《关于开展期货与衍生品交易的议案》《关于变更公司经营范围的议案》《关于修订〈公司章程〉的议案》《关于修订部分公司制度的议案》《关于授权公司管理层处置交易性金融资产的议案》《未来三年股东回报规划(2024年-2026年）》《关于提请股东大会授权董事会制订并执行2024年中期分红方案的议案》。</w:t>
            </w:r>
          </w:p>
        </w:tc>
      </w:tr>
      <w:tr w:rsidR="00A95787">
        <w:trPr>
          <w:trHeight w:val="240"/>
        </w:trPr>
        <w:tc>
          <w:tcPr>
            <w:tcW w:w="14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lastRenderedPageBreak/>
              <w:t>2024年第一次临时股东大会</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临时股东大会</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39.75%</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w:t>
            </w:r>
            <w:r>
              <w:rPr>
                <w:rFonts w:ascii="宋体" w:eastAsia="宋体" w:hAnsi="宋体" w:cs="宋体" w:hint="eastAsia"/>
                <w:sz w:val="18"/>
                <w:szCs w:val="18"/>
              </w:rPr>
              <w:t xml:space="preserve">       </w:t>
            </w:r>
            <w:r>
              <w:rPr>
                <w:rFonts w:ascii="宋体" w:eastAsia="宋体" w:hAnsi="宋体" w:cs="宋体"/>
                <w:sz w:val="18"/>
                <w:szCs w:val="18"/>
              </w:rPr>
              <w:t>09月12日</w:t>
            </w: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w:t>
            </w:r>
            <w:r>
              <w:rPr>
                <w:rFonts w:ascii="宋体" w:eastAsia="宋体" w:hAnsi="宋体" w:cs="宋体" w:hint="eastAsia"/>
                <w:sz w:val="18"/>
                <w:szCs w:val="18"/>
              </w:rPr>
              <w:t xml:space="preserve">      </w:t>
            </w:r>
            <w:r>
              <w:rPr>
                <w:rFonts w:ascii="宋体" w:eastAsia="宋体" w:hAnsi="宋体" w:cs="宋体"/>
                <w:sz w:val="18"/>
                <w:szCs w:val="18"/>
              </w:rPr>
              <w:t>09月13日</w:t>
            </w:r>
          </w:p>
        </w:tc>
        <w:tc>
          <w:tcPr>
            <w:tcW w:w="2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会议审议通过了《关于转让参股公司部分股份的议案》《关于董事、监事、高级管理人员年度薪酬方案的议案》《关于拟续聘会计师事务所的议案》。</w:t>
            </w:r>
          </w:p>
        </w:tc>
      </w:tr>
    </w:tbl>
    <w:p w:rsidR="00A95787" w:rsidRDefault="005D3CC1">
      <w:pPr>
        <w:pStyle w:val="3"/>
        <w:spacing w:line="280" w:lineRule="exact"/>
        <w:jc w:val="left"/>
        <w:rPr>
          <w:rFonts w:ascii="宋体" w:hAnsi="宋体" w:cs="宋体"/>
          <w:b/>
          <w:bCs/>
        </w:rPr>
      </w:pPr>
      <w:bookmarkStart w:id="65" w:name="_Toc988950"/>
      <w:r>
        <w:rPr>
          <w:rFonts w:ascii="宋体" w:hAnsi="宋体" w:cs="宋体"/>
          <w:b/>
          <w:bCs/>
        </w:rPr>
        <w:t>2、表决权恢复的优先股股东请求召开临时股东大会</w:t>
      </w:r>
      <w:bookmarkEnd w:id="6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66" w:name="_Toc988951"/>
      <w:r>
        <w:rPr>
          <w:rFonts w:ascii="宋体" w:eastAsia="宋体" w:hAnsi="宋体" w:cs="宋体"/>
          <w:b/>
          <w:bCs/>
          <w:sz w:val="24"/>
          <w:szCs w:val="24"/>
        </w:rPr>
        <w:t>五、董事、监事和高级管理人员情况</w:t>
      </w:r>
      <w:bookmarkEnd w:id="66"/>
    </w:p>
    <w:p w:rsidR="00A95787" w:rsidRDefault="005D3CC1">
      <w:pPr>
        <w:pStyle w:val="3"/>
        <w:spacing w:line="280" w:lineRule="exact"/>
        <w:jc w:val="left"/>
        <w:rPr>
          <w:rFonts w:ascii="宋体" w:hAnsi="宋体" w:cs="宋体"/>
          <w:b/>
          <w:bCs/>
        </w:rPr>
      </w:pPr>
      <w:bookmarkStart w:id="67" w:name="_Toc988952"/>
      <w:r>
        <w:rPr>
          <w:rFonts w:ascii="宋体" w:hAnsi="宋体" w:cs="宋体"/>
          <w:b/>
          <w:bCs/>
        </w:rPr>
        <w:t>1、基本情况</w:t>
      </w:r>
      <w:bookmarkEnd w:id="67"/>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7"/>
        <w:gridCol w:w="450"/>
        <w:gridCol w:w="513"/>
        <w:gridCol w:w="825"/>
        <w:gridCol w:w="712"/>
        <w:gridCol w:w="825"/>
        <w:gridCol w:w="838"/>
        <w:gridCol w:w="875"/>
        <w:gridCol w:w="687"/>
        <w:gridCol w:w="750"/>
        <w:gridCol w:w="625"/>
        <w:gridCol w:w="963"/>
        <w:gridCol w:w="787"/>
      </w:tblGrid>
      <w:tr w:rsidR="00A95787">
        <w:trPr>
          <w:trHeight w:val="240"/>
        </w:trPr>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姓名</w:t>
            </w:r>
          </w:p>
        </w:tc>
        <w:tc>
          <w:tcPr>
            <w:tcW w:w="4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性别</w:t>
            </w:r>
          </w:p>
        </w:tc>
        <w:tc>
          <w:tcPr>
            <w:tcW w:w="5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年龄</w:t>
            </w: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职务</w:t>
            </w:r>
          </w:p>
        </w:tc>
        <w:tc>
          <w:tcPr>
            <w:tcW w:w="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任职状态</w:t>
            </w: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任期起始日期</w:t>
            </w:r>
          </w:p>
        </w:tc>
        <w:tc>
          <w:tcPr>
            <w:tcW w:w="8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任期终止日期</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期初持股数（股）</w:t>
            </w:r>
          </w:p>
        </w:tc>
        <w:tc>
          <w:tcPr>
            <w:tcW w:w="6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本期增持股份数量（股）</w:t>
            </w:r>
          </w:p>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本期减持股份数量（股）</w:t>
            </w:r>
          </w:p>
        </w:tc>
        <w:tc>
          <w:tcPr>
            <w:tcW w:w="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其他增减变动（股）</w:t>
            </w:r>
          </w:p>
        </w:tc>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期末持股数（股）</w:t>
            </w:r>
          </w:p>
        </w:tc>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股份增减变动的原因</w:t>
            </w: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吴协恩</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61</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董事长</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2020年07月17日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李满良</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60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董事兼总经理</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2005年05月26日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167,400</w:t>
            </w: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167,400</w:t>
            </w: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薛健</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47</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金亚洪</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52</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吴茂</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36</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2020年07月17日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薛丽</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女</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29</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周凯</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56</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独立</w:t>
            </w:r>
            <w:r>
              <w:rPr>
                <w:rFonts w:ascii="宋体" w:eastAsia="宋体" w:hAnsi="宋体" w:cs="宋体" w:hint="eastAsia"/>
                <w:sz w:val="18"/>
                <w:szCs w:val="18"/>
              </w:rPr>
              <w:t xml:space="preserve"> </w:t>
            </w: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2020年07月17日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孙涛</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46</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独立</w:t>
            </w:r>
            <w:r>
              <w:rPr>
                <w:rFonts w:ascii="宋体" w:eastAsia="宋体" w:hAnsi="宋体" w:cs="宋体" w:hint="eastAsia"/>
                <w:sz w:val="18"/>
                <w:szCs w:val="18"/>
              </w:rPr>
              <w:t xml:space="preserve"> </w:t>
            </w: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2022年06月24日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承军</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45</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独立</w:t>
            </w:r>
            <w:r>
              <w:rPr>
                <w:rFonts w:ascii="宋体" w:eastAsia="宋体" w:hAnsi="宋体" w:cs="宋体" w:hint="eastAsia"/>
                <w:sz w:val="18"/>
                <w:szCs w:val="18"/>
              </w:rPr>
              <w:t xml:space="preserve"> </w:t>
            </w:r>
            <w:r>
              <w:rPr>
                <w:rFonts w:ascii="宋体" w:eastAsia="宋体" w:hAnsi="宋体" w:cs="宋体"/>
                <w:sz w:val="18"/>
                <w:szCs w:val="18"/>
              </w:rPr>
              <w:t>董事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2022年06月24日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卢青</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48</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监事会主席</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lastRenderedPageBreak/>
              <w:t>施平</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63</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监事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2020年07月17日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刘蓓</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女</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42</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职工</w:t>
            </w:r>
            <w:r>
              <w:rPr>
                <w:rFonts w:ascii="宋体" w:eastAsia="宋体" w:hAnsi="宋体" w:cs="宋体" w:hint="eastAsia"/>
                <w:sz w:val="18"/>
                <w:szCs w:val="18"/>
              </w:rPr>
              <w:t xml:space="preserve"> </w:t>
            </w:r>
            <w:r>
              <w:rPr>
                <w:rFonts w:ascii="宋体" w:eastAsia="宋体" w:hAnsi="宋体" w:cs="宋体"/>
                <w:sz w:val="18"/>
                <w:szCs w:val="18"/>
              </w:rPr>
              <w:t>监事</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2011年08月12日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王学良</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38</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副总经理兼董事会秘书</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2021年07月01日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卜坚</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男</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45</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副总</w:t>
            </w:r>
            <w:r>
              <w:rPr>
                <w:rFonts w:ascii="宋体" w:eastAsia="宋体" w:hAnsi="宋体" w:cs="宋体" w:hint="eastAsia"/>
                <w:sz w:val="18"/>
                <w:szCs w:val="18"/>
              </w:rPr>
              <w:t xml:space="preserve"> </w:t>
            </w:r>
            <w:r>
              <w:rPr>
                <w:rFonts w:ascii="宋体" w:eastAsia="宋体" w:hAnsi="宋体" w:cs="宋体"/>
                <w:sz w:val="18"/>
                <w:szCs w:val="18"/>
              </w:rPr>
              <w:t>经理</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吴雅清</w:t>
            </w: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女</w:t>
            </w:r>
          </w:p>
        </w:tc>
        <w:tc>
          <w:tcPr>
            <w:tcW w:w="5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56</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财务</w:t>
            </w:r>
            <w:r>
              <w:rPr>
                <w:rFonts w:ascii="宋体" w:eastAsia="宋体" w:hAnsi="宋体" w:cs="宋体" w:hint="eastAsia"/>
                <w:sz w:val="18"/>
                <w:szCs w:val="18"/>
              </w:rPr>
              <w:t xml:space="preserve"> </w:t>
            </w:r>
            <w:r>
              <w:rPr>
                <w:rFonts w:ascii="宋体" w:eastAsia="宋体" w:hAnsi="宋体" w:cs="宋体"/>
                <w:sz w:val="18"/>
                <w:szCs w:val="18"/>
              </w:rPr>
              <w:t>总监</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现任</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2023年11月03日</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center"/>
              <w:rPr>
                <w:rFonts w:ascii="宋体" w:eastAsia="宋体" w:hAnsi="宋体" w:cs="宋体"/>
                <w:sz w:val="18"/>
                <w:szCs w:val="18"/>
              </w:rPr>
            </w:pPr>
            <w:r>
              <w:rPr>
                <w:rFonts w:ascii="宋体" w:eastAsia="宋体" w:hAnsi="宋体" w:cs="宋体"/>
                <w:sz w:val="18"/>
                <w:szCs w:val="18"/>
              </w:rPr>
              <w:t>2026年11月02日</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jc w:val="right"/>
              <w:rPr>
                <w:rFonts w:ascii="宋体" w:eastAsia="宋体" w:hAnsi="宋体" w:cs="宋体"/>
                <w:sz w:val="18"/>
                <w:szCs w:val="18"/>
              </w:rPr>
            </w:pP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70" w:lineRule="exact"/>
              <w:rPr>
                <w:rFonts w:ascii="宋体" w:eastAsia="宋体" w:hAnsi="宋体" w:cs="宋体"/>
                <w:sz w:val="18"/>
                <w:szCs w:val="18"/>
              </w:rPr>
            </w:pPr>
          </w:p>
        </w:tc>
      </w:tr>
      <w:tr w:rsidR="00A95787">
        <w:trPr>
          <w:trHeight w:val="240"/>
        </w:trPr>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rPr>
                <w:rFonts w:ascii="宋体" w:eastAsia="宋体" w:hAnsi="宋体" w:cs="宋体"/>
                <w:sz w:val="18"/>
                <w:szCs w:val="18"/>
              </w:rPr>
            </w:pPr>
            <w:r>
              <w:rPr>
                <w:rFonts w:ascii="宋体" w:eastAsia="宋体" w:hAnsi="宋体" w:cs="宋体"/>
                <w:sz w:val="18"/>
                <w:szCs w:val="18"/>
              </w:rPr>
              <w:t>合计</w:t>
            </w:r>
          </w:p>
        </w:tc>
        <w:tc>
          <w:tcPr>
            <w:tcW w:w="4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5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8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167,400</w:t>
            </w: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0</w:t>
            </w:r>
          </w:p>
        </w:tc>
        <w:tc>
          <w:tcPr>
            <w:tcW w:w="9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jc w:val="right"/>
              <w:rPr>
                <w:rFonts w:ascii="宋体" w:eastAsia="宋体" w:hAnsi="宋体" w:cs="宋体"/>
                <w:sz w:val="18"/>
                <w:szCs w:val="18"/>
              </w:rPr>
            </w:pPr>
            <w:r>
              <w:rPr>
                <w:rFonts w:ascii="宋体" w:eastAsia="宋体" w:hAnsi="宋体" w:cs="宋体"/>
                <w:sz w:val="18"/>
                <w:szCs w:val="18"/>
              </w:rPr>
              <w:t>167,400</w:t>
            </w:r>
          </w:p>
        </w:tc>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报告期是否存在任期内董事、监事离任和高级管理人员解聘的情况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公司董事、监事、高级管理人员变动情况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68" w:name="_Toc988953"/>
      <w:r>
        <w:rPr>
          <w:rFonts w:ascii="宋体" w:hAnsi="宋体" w:cs="宋体"/>
          <w:b/>
          <w:bCs/>
        </w:rPr>
        <w:t>2、任职情况</w:t>
      </w:r>
      <w:bookmarkEnd w:id="6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公司现任董事、监事、高级管理人员专业背景、主要工作经历以及目前在公司的主要职责</w:t>
      </w:r>
    </w:p>
    <w:p w:rsidR="00A95787" w:rsidRDefault="005D3CC1">
      <w:pPr>
        <w:pStyle w:val="a6"/>
        <w:spacing w:before="40" w:beforeAutospacing="0" w:after="40" w:afterAutospacing="0" w:line="276" w:lineRule="auto"/>
        <w:ind w:firstLine="360"/>
      </w:pPr>
      <w:r>
        <w:rPr>
          <w:rStyle w:val="a7"/>
          <w:rFonts w:hint="eastAsia"/>
          <w:sz w:val="18"/>
          <w:szCs w:val="18"/>
        </w:rPr>
        <w:t>非独立董事：</w:t>
      </w:r>
    </w:p>
    <w:p w:rsidR="00A95787" w:rsidRDefault="005D3CC1">
      <w:pPr>
        <w:pStyle w:val="a6"/>
        <w:spacing w:before="40" w:beforeAutospacing="0" w:after="40" w:afterAutospacing="0" w:line="276" w:lineRule="auto"/>
        <w:ind w:firstLine="360"/>
      </w:pPr>
      <w:r>
        <w:rPr>
          <w:rFonts w:hint="eastAsia"/>
          <w:sz w:val="18"/>
          <w:szCs w:val="18"/>
        </w:rPr>
        <w:t>吴协恩先生，1964年4月出生，高级经济师。曾任华西铝制品厂厂长，江阴市华西实业有限责任公司监事，本公司董事、总经理，江苏华西集团公司董事长兼总经理。现任江苏华西集团有限公司董事长，本公司董事长。</w:t>
      </w:r>
    </w:p>
    <w:p w:rsidR="00A95787" w:rsidRDefault="005D3CC1">
      <w:pPr>
        <w:pStyle w:val="a6"/>
        <w:spacing w:before="40" w:beforeAutospacing="0" w:after="40" w:afterAutospacing="0" w:line="276" w:lineRule="auto"/>
        <w:ind w:firstLine="360"/>
      </w:pPr>
      <w:r>
        <w:rPr>
          <w:rFonts w:hint="eastAsia"/>
          <w:sz w:val="18"/>
          <w:szCs w:val="18"/>
        </w:rPr>
        <w:t>李满良先生，1965年8月出生，本科学历。曾任江苏华西集团公司副经理，江阴市华西精毛纺有限责任公司总经理，江苏华西村股份有限公司特种化纤厂厂长，本公司副董事长兼总经理。现任本公司董事兼总经理。</w:t>
      </w:r>
    </w:p>
    <w:p w:rsidR="00A95787" w:rsidRDefault="005D3CC1">
      <w:pPr>
        <w:pStyle w:val="a6"/>
        <w:spacing w:before="40" w:beforeAutospacing="0" w:after="40" w:afterAutospacing="0" w:line="276" w:lineRule="auto"/>
        <w:ind w:firstLine="360"/>
      </w:pPr>
      <w:r>
        <w:rPr>
          <w:rFonts w:hint="eastAsia"/>
          <w:sz w:val="18"/>
          <w:szCs w:val="18"/>
        </w:rPr>
        <w:t>薛健先生，1978年3月出生，本科学历。曾任江阴市人民检察院科员，江阴团市委干事、副部长、部长，江阴市利港镇党委委员、副镇长，江阴临港开发区招商局副局长，江阴市发展和改革委员会副主任，江阴市新国联投资发展有限公司总经理，江阴市新国联投资发展有限公司党委书记、董事长。现任江阴市新国联集团有限公司党委书记、董事长，江苏华西集团有限公司董事，本公司董事。</w:t>
      </w:r>
    </w:p>
    <w:p w:rsidR="00A95787" w:rsidRDefault="005D3CC1">
      <w:pPr>
        <w:pStyle w:val="a6"/>
        <w:spacing w:before="40" w:beforeAutospacing="0" w:after="40" w:afterAutospacing="0" w:line="276" w:lineRule="auto"/>
        <w:ind w:firstLine="360"/>
      </w:pPr>
      <w:r>
        <w:rPr>
          <w:rFonts w:hint="eastAsia"/>
          <w:sz w:val="18"/>
          <w:szCs w:val="18"/>
        </w:rPr>
        <w:t>金亚洪先生，1973年6月生，大专学历。曾任中国建设银行江阴市支行会计、办事处主任、营业部主任，江阴苏龙发电有限公司财务处副处长，江阴苏龙电力燃料有限公司总经理，江阴苏龙热电有限公司副总经理，江阴苏龙能源有限公司总经理。现任江阴苏龙热电有限公司总经理，江苏华西集团有限公司董事、总经理，本公司董事。</w:t>
      </w:r>
    </w:p>
    <w:p w:rsidR="00A95787" w:rsidRDefault="005D3CC1">
      <w:pPr>
        <w:pStyle w:val="a6"/>
        <w:spacing w:before="40" w:beforeAutospacing="0" w:after="40" w:afterAutospacing="0" w:line="276" w:lineRule="auto"/>
        <w:ind w:firstLine="360"/>
      </w:pPr>
      <w:r>
        <w:rPr>
          <w:rFonts w:hint="eastAsia"/>
          <w:sz w:val="18"/>
          <w:szCs w:val="18"/>
        </w:rPr>
        <w:t>吴茂先生，1989年3月出生，本科学历。曾任江苏华西集团有限公司总经理助理，本公司董事兼副总经理。现任本公司董事兼总经理助理。</w:t>
      </w:r>
    </w:p>
    <w:p w:rsidR="00A95787" w:rsidRDefault="005D3CC1">
      <w:pPr>
        <w:pStyle w:val="a6"/>
        <w:spacing w:before="40" w:beforeAutospacing="0" w:after="40" w:afterAutospacing="0" w:line="276" w:lineRule="auto"/>
        <w:ind w:firstLine="360"/>
      </w:pPr>
      <w:r>
        <w:rPr>
          <w:rFonts w:hint="eastAsia"/>
          <w:sz w:val="18"/>
          <w:szCs w:val="18"/>
        </w:rPr>
        <w:t>薛丽女士，1996年9月出生，本科学历。曾任广发证券股份有限公司无锡太湖东大道证券营业部客户经理，江阴市暨阳会计师事务所有限公司审计助理。现任江阴市凝秀建设投资发展有限公司财务负责人，本公司董事。</w:t>
      </w:r>
    </w:p>
    <w:p w:rsidR="00A95787" w:rsidRDefault="005D3CC1">
      <w:pPr>
        <w:pStyle w:val="a6"/>
        <w:spacing w:before="0" w:beforeAutospacing="0" w:after="0" w:afterAutospacing="0" w:line="276" w:lineRule="auto"/>
        <w:ind w:firstLine="361"/>
        <w:jc w:val="both"/>
      </w:pPr>
      <w:r>
        <w:rPr>
          <w:rFonts w:ascii="Times New Roman" w:hAnsi="Times New Roman" w:cs="Times New Roman"/>
          <w:sz w:val="18"/>
          <w:szCs w:val="18"/>
        </w:rPr>
        <w:t> </w:t>
      </w:r>
    </w:p>
    <w:p w:rsidR="00A95787" w:rsidRDefault="005D3CC1">
      <w:pPr>
        <w:pStyle w:val="a6"/>
        <w:spacing w:before="0" w:beforeAutospacing="0" w:after="0" w:afterAutospacing="0" w:line="276" w:lineRule="auto"/>
        <w:ind w:firstLine="361"/>
        <w:jc w:val="both"/>
      </w:pPr>
      <w:r>
        <w:rPr>
          <w:rStyle w:val="a7"/>
          <w:rFonts w:hint="eastAsia"/>
          <w:sz w:val="18"/>
          <w:szCs w:val="18"/>
        </w:rPr>
        <w:lastRenderedPageBreak/>
        <w:t>独立董事：</w:t>
      </w:r>
    </w:p>
    <w:p w:rsidR="00A95787" w:rsidRDefault="005D3CC1">
      <w:pPr>
        <w:pStyle w:val="a6"/>
        <w:spacing w:before="40" w:beforeAutospacing="0" w:after="40" w:afterAutospacing="0" w:line="276" w:lineRule="auto"/>
        <w:ind w:firstLine="360"/>
      </w:pPr>
      <w:r>
        <w:rPr>
          <w:rFonts w:hint="eastAsia"/>
          <w:sz w:val="18"/>
          <w:szCs w:val="18"/>
        </w:rPr>
        <w:t>周凯先生，1969年2月生，南京大学教授、博士生导师，国务院政府特殊津贴专家，国家重点研发计划项目首席科学家，教育部重大课题攻关项目首席专家，发展中国家工程院院士（AETDEW），中国技术院院士，江苏省政府参事室特约研究员，江苏省首席科技传播专家，南京大学创意产业研究中心主任，南京大学安高文化科技研究院院长，中国人民大学中国市场研究中心副主任，南京大学深圳研究院新兴产业与金融科技中心主任，江苏远见新经营战略研究院理事长，江苏省特色小镇发展研究会副理事长，山东曲阜文化两创研究院院长，曲阜市人大代表等。入选全国首批中宣部/教育部卓越传播人才计划、江苏省“六大人才高峰”高层次人才计划、江苏省高校“青蓝工程”学术带头人、江苏省紫金文化英才、山东省泰山产业领军人才、济宁科技创新拔尖人才等；央视《百家讲坛》主讲人，美国堪萨斯大学、香港城市大学等访问学者；中国人民大学商学院博士后，南京大学政府管理学院博士，国家财政部注册会计师，中国多所高校MBA、EMBA导师，荣获江苏省“双创十佳名师”等，刊发论文160余篇，主持完成各类课题近200项，著编译书籍19部，软著57项，国家发明专利6项等。两度荣获“金圆桌”奖中国上市公司最具影响力独立董事，中国上市公司与董事会建设特别贡献奖。现任南京大学教授，本公司独立董事。</w:t>
      </w:r>
    </w:p>
    <w:p w:rsidR="00A95787" w:rsidRDefault="005D3CC1">
      <w:pPr>
        <w:pStyle w:val="a6"/>
        <w:spacing w:before="40" w:beforeAutospacing="0" w:after="40" w:afterAutospacing="0" w:line="276" w:lineRule="auto"/>
        <w:ind w:firstLine="360"/>
      </w:pPr>
      <w:r>
        <w:rPr>
          <w:rFonts w:hint="eastAsia"/>
          <w:sz w:val="18"/>
          <w:szCs w:val="18"/>
        </w:rPr>
        <w:t>孙涛先生，1979年5月出生，本科学历，注册会计师。曾任江阴市乡镇企业资产评估事务所项目经理，无锡德恒方会计师事务所有限公司部门经理、副所长。现任无锡恒元会计师事务所所长，本公司独立董事。</w:t>
      </w:r>
    </w:p>
    <w:p w:rsidR="00A95787" w:rsidRDefault="005D3CC1">
      <w:pPr>
        <w:pStyle w:val="a6"/>
        <w:spacing w:before="40" w:beforeAutospacing="0" w:after="40" w:afterAutospacing="0" w:line="276" w:lineRule="auto"/>
        <w:ind w:firstLine="360"/>
      </w:pPr>
      <w:r>
        <w:rPr>
          <w:rFonts w:hint="eastAsia"/>
          <w:sz w:val="18"/>
          <w:szCs w:val="18"/>
        </w:rPr>
        <w:t>承军先生，1980年9月出生，金融学本科学历、经济学学士。江苏省无锡市工商业联合会（总商会）第十三次会员代表大会代表，政协江阴市第十六届委员会委员，江阴市工商联第十届执委会执委、南京市江阴商会理事。曾任国信证券江阴营业部总监，长城证券江阴营业部副总，长城证券江苏分公司企业融资部副总经理，长城证券股份有限公司南京童卫路证券营业部企业融资部总经理。现任民生证券股份有限公司债权融资事业部高级副总裁，本公司独立董事。</w:t>
      </w:r>
    </w:p>
    <w:p w:rsidR="00A95787" w:rsidRDefault="005D3CC1">
      <w:pPr>
        <w:pStyle w:val="a6"/>
        <w:spacing w:before="0" w:beforeAutospacing="0" w:after="0" w:afterAutospacing="0" w:line="276" w:lineRule="auto"/>
        <w:ind w:firstLine="360"/>
        <w:jc w:val="both"/>
      </w:pPr>
      <w:r>
        <w:rPr>
          <w:rFonts w:ascii="Times New Roman" w:hAnsi="Times New Roman" w:cs="Times New Roman"/>
          <w:sz w:val="21"/>
          <w:szCs w:val="21"/>
        </w:rPr>
        <w:t> </w:t>
      </w:r>
    </w:p>
    <w:p w:rsidR="00A95787" w:rsidRDefault="005D3CC1">
      <w:pPr>
        <w:pStyle w:val="a6"/>
        <w:spacing w:before="0" w:beforeAutospacing="0" w:after="0" w:afterAutospacing="0" w:line="276" w:lineRule="auto"/>
        <w:ind w:firstLine="361"/>
        <w:jc w:val="both"/>
      </w:pPr>
      <w:r>
        <w:rPr>
          <w:rStyle w:val="a7"/>
          <w:rFonts w:hint="eastAsia"/>
          <w:sz w:val="18"/>
          <w:szCs w:val="18"/>
        </w:rPr>
        <w:t>监事：</w:t>
      </w:r>
    </w:p>
    <w:p w:rsidR="00A95787" w:rsidRDefault="005D3CC1">
      <w:pPr>
        <w:pStyle w:val="a6"/>
        <w:spacing w:before="40" w:beforeAutospacing="0" w:after="40" w:afterAutospacing="0" w:line="276" w:lineRule="auto"/>
        <w:ind w:firstLine="360"/>
      </w:pPr>
      <w:r>
        <w:rPr>
          <w:rFonts w:hint="eastAsia"/>
          <w:sz w:val="18"/>
          <w:szCs w:val="18"/>
        </w:rPr>
        <w:t>卢青先生，1977年2月出生，本科学历。曾任江阴市新国联投资发展有限公司投资发展部经理助理，江阴市南门印象开发发展有限公司征地拆迁部经理、项目招商部经理、总经理助理，江阴电力投资有限公司副总经理，江阴市新国联投资发展有限公司对外投资部副经理，江阴市新国联投资发展有限公司金融投资事业部经理，江阴市新国联集团有限公司金融投资事业部总经理。现任江苏华西产业集团有限公司副总经理，江阴市新国联集团有限公司副总经理，本公司监事会主席。</w:t>
      </w:r>
    </w:p>
    <w:p w:rsidR="00A95787" w:rsidRDefault="005D3CC1">
      <w:pPr>
        <w:pStyle w:val="a6"/>
        <w:spacing w:before="40" w:beforeAutospacing="0" w:after="40" w:afterAutospacing="0" w:line="276" w:lineRule="auto"/>
        <w:ind w:firstLine="360"/>
      </w:pPr>
      <w:r>
        <w:rPr>
          <w:rFonts w:hint="eastAsia"/>
          <w:sz w:val="18"/>
          <w:szCs w:val="18"/>
        </w:rPr>
        <w:t>施平先生，1962年4月出生，资源产业经济专业博士学位，研究生学历。曾任南京粮食经济学院投资统计系副主任，华泰证券南通营业部总经理，江苏众天信会计师事务所副所长，南京天启财务顾问公司总经理，南京审计学院审计与会计学院院长、本公司独立董事。现任南京审计大学中审学院院长，江苏省理财师协会会长，本公司监事。</w:t>
      </w:r>
    </w:p>
    <w:p w:rsidR="00A95787" w:rsidRDefault="005D3CC1">
      <w:pPr>
        <w:pStyle w:val="a6"/>
        <w:spacing w:before="40" w:beforeAutospacing="0" w:after="40" w:afterAutospacing="0" w:line="276" w:lineRule="auto"/>
        <w:ind w:firstLine="360"/>
      </w:pPr>
      <w:r>
        <w:rPr>
          <w:rFonts w:hint="eastAsia"/>
          <w:sz w:val="18"/>
          <w:szCs w:val="18"/>
        </w:rPr>
        <w:t>刘蓓女士，1983年9月出生，本科学历，曾在公司特种化纤厂销售计划科工作。现任本公司特种化纤厂办公室主任、本公司职工代表监事。</w:t>
      </w:r>
    </w:p>
    <w:p w:rsidR="00A95787" w:rsidRDefault="005D3CC1">
      <w:pPr>
        <w:pStyle w:val="a6"/>
        <w:spacing w:before="40" w:beforeAutospacing="0" w:after="40" w:afterAutospacing="0" w:line="276" w:lineRule="auto"/>
        <w:ind w:firstLine="360"/>
      </w:pPr>
      <w:r>
        <w:rPr>
          <w:rFonts w:hint="eastAsia"/>
          <w:sz w:val="18"/>
          <w:szCs w:val="18"/>
        </w:rPr>
        <w:t> </w:t>
      </w:r>
    </w:p>
    <w:p w:rsidR="00A95787" w:rsidRDefault="005D3CC1">
      <w:pPr>
        <w:pStyle w:val="a6"/>
        <w:spacing w:before="40" w:beforeAutospacing="0" w:after="40" w:afterAutospacing="0" w:line="276" w:lineRule="auto"/>
        <w:ind w:firstLine="361"/>
      </w:pPr>
      <w:r>
        <w:rPr>
          <w:rStyle w:val="a7"/>
          <w:rFonts w:hint="eastAsia"/>
          <w:sz w:val="18"/>
          <w:szCs w:val="18"/>
        </w:rPr>
        <w:t>高级管理人员：</w:t>
      </w:r>
    </w:p>
    <w:p w:rsidR="00A95787" w:rsidRDefault="005D3CC1">
      <w:pPr>
        <w:pStyle w:val="a6"/>
        <w:spacing w:before="40" w:beforeAutospacing="0" w:after="40" w:afterAutospacing="0" w:line="276" w:lineRule="auto"/>
        <w:ind w:firstLine="360"/>
      </w:pPr>
      <w:r>
        <w:rPr>
          <w:rFonts w:hint="eastAsia"/>
          <w:sz w:val="18"/>
          <w:szCs w:val="18"/>
        </w:rPr>
        <w:t>李满良先生，公司总经理。（见董事简历）</w:t>
      </w:r>
    </w:p>
    <w:p w:rsidR="00A95787" w:rsidRDefault="005D3CC1">
      <w:pPr>
        <w:pStyle w:val="a6"/>
        <w:spacing w:before="40" w:beforeAutospacing="0" w:after="40" w:afterAutospacing="0" w:line="276" w:lineRule="auto"/>
        <w:ind w:firstLine="360"/>
      </w:pPr>
      <w:r>
        <w:rPr>
          <w:rFonts w:hint="eastAsia"/>
          <w:sz w:val="18"/>
          <w:szCs w:val="18"/>
        </w:rPr>
        <w:t>王学良先生，1987年1月出生，本科学历，双学士学位。曾任江苏宝利国际投资股份有限公司证券事务代表、董事、副总经理、董事会秘书。现任本公司副总经理兼董事会秘书。</w:t>
      </w:r>
    </w:p>
    <w:p w:rsidR="00A95787" w:rsidRDefault="005D3CC1">
      <w:pPr>
        <w:pStyle w:val="a6"/>
        <w:spacing w:before="40" w:beforeAutospacing="0" w:after="40" w:afterAutospacing="0" w:line="276" w:lineRule="auto"/>
        <w:ind w:firstLine="360"/>
      </w:pPr>
      <w:r>
        <w:rPr>
          <w:rFonts w:hint="eastAsia"/>
          <w:sz w:val="18"/>
          <w:szCs w:val="18"/>
        </w:rPr>
        <w:lastRenderedPageBreak/>
        <w:t>卜坚先生，1980年11月出生，本科学历，注册会计师。曾任上海浦东发展银行江阴支行信贷经理，华夏银行江阴支行信贷经理，江阴公用事业产业发展有限公司法务审计部负责人，江阴申越律师事务所执业律师，江阴澄东南热力有限责任公司会计，江阴市金阳融资担保有限公司总经理助理。现任本公司副总经理。</w:t>
      </w:r>
    </w:p>
    <w:p w:rsidR="00A95787" w:rsidRDefault="005D3CC1">
      <w:pPr>
        <w:pStyle w:val="a6"/>
        <w:spacing w:before="40" w:beforeAutospacing="0" w:after="40" w:afterAutospacing="0" w:line="276" w:lineRule="auto"/>
        <w:ind w:firstLine="360"/>
      </w:pPr>
      <w:r>
        <w:rPr>
          <w:rFonts w:hint="eastAsia"/>
          <w:sz w:val="18"/>
          <w:szCs w:val="18"/>
        </w:rPr>
        <w:t>吴雅清女士，1969年1月出生，本科学历，高级会计师。曾任江阴凯澄起重机械有限公司会计，江阴市国联投资发展有限公司会计，江阴市新国联集团有限公司财务部副经理、经理。现任江苏华西集团有限公司董事，本公司财务总监。</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在股东单位任职情况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85"/>
        <w:gridCol w:w="2952"/>
        <w:gridCol w:w="1338"/>
        <w:gridCol w:w="1712"/>
        <w:gridCol w:w="913"/>
        <w:gridCol w:w="1225"/>
      </w:tblGrid>
      <w:tr w:rsidR="00A95787">
        <w:trPr>
          <w:trHeight w:val="240"/>
        </w:trPr>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任职人员姓名</w:t>
            </w:r>
          </w:p>
        </w:tc>
        <w:tc>
          <w:tcPr>
            <w:tcW w:w="29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股东单位名称</w:t>
            </w:r>
          </w:p>
        </w:tc>
        <w:tc>
          <w:tcPr>
            <w:tcW w:w="13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在股东单位担任的职务</w:t>
            </w:r>
          </w:p>
        </w:tc>
        <w:tc>
          <w:tcPr>
            <w:tcW w:w="1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任期起始日期</w:t>
            </w:r>
          </w:p>
        </w:tc>
        <w:tc>
          <w:tcPr>
            <w:tcW w:w="9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任期终止日期</w:t>
            </w:r>
          </w:p>
        </w:tc>
        <w:tc>
          <w:tcPr>
            <w:tcW w:w="12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在股东单位是否领取报酬津贴</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吴协恩</w:t>
            </w:r>
          </w:p>
        </w:tc>
        <w:tc>
          <w:tcPr>
            <w:tcW w:w="2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3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董事长</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2003年07月01日</w:t>
            </w:r>
          </w:p>
        </w:tc>
        <w:tc>
          <w:tcPr>
            <w:tcW w:w="9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薛健</w:t>
            </w:r>
          </w:p>
        </w:tc>
        <w:tc>
          <w:tcPr>
            <w:tcW w:w="2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3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董事</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2023年09月21日</w:t>
            </w:r>
          </w:p>
        </w:tc>
        <w:tc>
          <w:tcPr>
            <w:tcW w:w="9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金亚洪</w:t>
            </w:r>
          </w:p>
        </w:tc>
        <w:tc>
          <w:tcPr>
            <w:tcW w:w="2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3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董事、总经理</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2023年09月21日</w:t>
            </w:r>
          </w:p>
        </w:tc>
        <w:tc>
          <w:tcPr>
            <w:tcW w:w="9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吴雅清</w:t>
            </w:r>
          </w:p>
        </w:tc>
        <w:tc>
          <w:tcPr>
            <w:tcW w:w="2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3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董事</w:t>
            </w:r>
          </w:p>
        </w:tc>
        <w:tc>
          <w:tcPr>
            <w:tcW w:w="1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2023年09月21日</w:t>
            </w:r>
          </w:p>
        </w:tc>
        <w:tc>
          <w:tcPr>
            <w:tcW w:w="9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在股东单位任职情况的说明</w:t>
            </w:r>
          </w:p>
        </w:tc>
        <w:tc>
          <w:tcPr>
            <w:tcW w:w="8140"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无。</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在其他单位任职情况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85"/>
        <w:gridCol w:w="2045"/>
        <w:gridCol w:w="1843"/>
        <w:gridCol w:w="1843"/>
        <w:gridCol w:w="1171"/>
        <w:gridCol w:w="1250"/>
      </w:tblGrid>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204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其他单位名称</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在其他单位担任的职务</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171" w:type="dxa"/>
            <w:tcBorders>
              <w:top w:val="single" w:sz="2" w:space="0" w:color="auto"/>
              <w:left w:val="single" w:sz="2" w:space="0" w:color="auto"/>
              <w:bottom w:val="single" w:sz="2" w:space="0" w:color="auto"/>
              <w:right w:val="single" w:sz="2" w:space="0" w:color="auto"/>
            </w:tcBorders>
            <w:shd w:val="clear" w:color="auto" w:fill="D3D3D3"/>
            <w:vAlign w:val="center"/>
          </w:tcPr>
          <w:p w:rsidR="00346A24"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2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在其他单位是否领取报酬津贴</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2021年07月19日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河北华西钢铁有限公司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江阴市龙希国际大酒店有限公司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2021年11月04日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法定代表人</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2021年10月10日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江阴市锜华贸易有限公司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2021年11月11日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中南红文化集团股份有限公司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2021年12月20日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江阴市新国联集团有限公司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2020年04月01日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2017年02月10日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江阴电力投资有限公司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2018年04月04日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江阴市金融投资有限公司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2021年03月25日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江阴新国联融资担保有限公司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2020年12月09日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江阴市金阳融资担保有限公司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2018年06月04日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江阴信联融资担保有限公司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2018年05月07日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江阴国联新能源有限公司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2022年09月05日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江阴燃机热电有限公司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2018年09月14日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江阴天然气高压管网有限公司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2018年09月11日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江苏澄能科技有限公司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2022年07月26日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2018年05月01日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江阴澄东南热力有限责任公司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2020年05月20日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江苏联澄资产管理有限公司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2020年05月21日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江阴热电益达能源有限公司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2017年02月09日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江阴利港发电股份有限公司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副董事长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2017年05月01日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华能江阴燃机热电有限责任公司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副董事长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2017年03月28日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江阴市新国联电力发展有限公司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2018年04月08日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江阴市新国联产业发展有限公司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2018年04月08日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2021年07月19日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国家能源集团宿迁发电有限公司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2020年07月17日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江阴苏龙热电有限公司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2020年06月24日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锡澄中车（无锡）城市轨道交通工程有限公司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2020年01月01日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江苏澄星磷化工股份有限公司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2022年11月07日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江苏利港电力有限公司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副董事长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2024年10月12日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江阴联电能源科技有限公司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2023年12月29日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2021年07月19日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江阴苏龙热电有限公司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2014年07月01日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江苏澄星磷化工股份有限公司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2022年11月07日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2023年05月08日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江苏华澄重工有限公司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2006年12月19日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江苏苏龙能源有限公司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2009年03月13日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江阴澄东热电有限公司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2004年11月04日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吴茂</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2023年08月28日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吴茂</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2020年09月03日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吴茂</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常州纵慧芯光半导体科技有限公司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2016年01月21日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吴茂</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Source</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Photonics Holdings (Cayman)</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Limited</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2021年02月05日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财务负责人</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2022年07月01日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江阴市方宸投资有限公司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2023年09月25日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江阴东华铝材科技有限公司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2023年10月17日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江苏海达科技集团有限公司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2023年12月08日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江阴闽海仓储有限公司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2023年12月12日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江阴龙砂人文园运营管理有限公司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2024年07月09日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江阴市华墅建设投资发展有限公司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2024年04月26日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周凯</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南京大学</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教授、博士生导师</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2005年05月01日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周凯</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江苏江阴农村商业银行股份有限公司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2020年05月27日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周凯</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镇江文化旅游产业集团有限责任公司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2021年12月01日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孙涛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无锡恒元会计师事务所（普通合伙）</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所长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2012年07月06日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孙涛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无锡恒元信用服务有限公司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2016年01月15日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孙涛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江苏苏利精细化工股份有限公司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2018年12月26日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孙涛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江苏怡达化学股份有限公司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2021年10月18日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承军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民生证券股份有限公司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债权融资事业部高级副总裁</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2021年04月02日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承军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江苏宝利国际投资股份有限公司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2019年11月04日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承军</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江阴江化微电子材料股份有限公司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2019年12月25日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江阴市新国联集团有限公司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2023年06月01日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2022年03月01日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江阴文化商业旅游产业集团有限公司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2023年06月09日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江阴市金融投资有限公司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2021年03月25日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江阴电力投资有限公司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2015年07月02日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江阴新国联融资担保有限公司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2020年12月09日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2018年05月11日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江阴市金阳融资担保有限公司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2018年06月04日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江阴信联融资担保有限公司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2018年05月07日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江苏联澄资产管理有限公司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2023年01月01日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江阴霞客私募基金管理有限公司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2022年03月01日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江阴市澄信拍卖有限公司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2024年10月18日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江阴市中天教育发展有限责任公司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2020年03月10日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卢青</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江阴新国联创业投资有限公司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总经理</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施平</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南京审计大学中审学院</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院长</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2016年05月25日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施平</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南京健友生化制药股份</w:t>
            </w:r>
            <w:r>
              <w:rPr>
                <w:rFonts w:ascii="宋体" w:eastAsia="宋体" w:hAnsi="宋体" w:cs="宋体"/>
                <w:sz w:val="18"/>
                <w:szCs w:val="18"/>
              </w:rPr>
              <w:lastRenderedPageBreak/>
              <w:t>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2019年05月16日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施平</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昆山玮硕恒基智能科技股份有限公司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2021年04月14日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施平</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中路交科科技股份有限公司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2022年06月01日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施平</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安徽华晟新能源科技股份有限公司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2023年12月29日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江阴市新国联电力发展有限公司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2010年03月04日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江苏暨阳轮渡有限公司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2011年07月18日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江阴云亭热力有限公司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2014年08月06日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华能江阴燃机热电有限责任公司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2017年03月23日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江阴热电益达能源有限公司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2017年08月24日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2017年08月24日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2018年03月27日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江阴燃机热电有限公司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2018年09月01日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江阴天然气高压管网有限公司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2018年09月14日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江苏利港轮渡有限公司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2019年04月09日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江阴澄东南热力有限责任公司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2020年05月20日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中南红文化集团股份有限公司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2020年06月15日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江阴德晟配售电有限公司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2020年12月02日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江阴市人才发展集团有限公司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江苏智能低碳科技发展有限公司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2022年07月08日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吴雅清</w:t>
            </w:r>
          </w:p>
        </w:tc>
        <w:tc>
          <w:tcPr>
            <w:tcW w:w="20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采纳科技股份有限公司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监事</w:t>
            </w:r>
          </w:p>
        </w:tc>
        <w:tc>
          <w:tcPr>
            <w:tcW w:w="18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2019年05月20日</w:t>
            </w:r>
          </w:p>
        </w:tc>
        <w:tc>
          <w:tcPr>
            <w:tcW w:w="11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rsidP="00F111A0">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在其他单位任职情况的说明</w:t>
            </w:r>
          </w:p>
        </w:tc>
        <w:tc>
          <w:tcPr>
            <w:tcW w:w="8152"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无。</w:t>
            </w:r>
          </w:p>
        </w:tc>
      </w:tr>
    </w:tbl>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公司现任及报告期内离任董事、监事和高级管理人员近三年证券监管机构处罚的情况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69" w:name="_Toc988954"/>
      <w:r>
        <w:rPr>
          <w:rFonts w:ascii="宋体" w:hAnsi="宋体" w:cs="宋体"/>
          <w:b/>
          <w:bCs/>
        </w:rPr>
        <w:t>3、董事、监事、高级管理人员报酬情况</w:t>
      </w:r>
      <w:bookmarkEnd w:id="6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董事、监事、高级管理人员报酬的决策程序、确定依据、实际支付情况</w:t>
      </w:r>
    </w:p>
    <w:p w:rsidR="00A95787" w:rsidRDefault="005D3CC1">
      <w:pPr>
        <w:pStyle w:val="a6"/>
        <w:spacing w:before="0" w:beforeAutospacing="0" w:after="0" w:afterAutospacing="0"/>
        <w:ind w:firstLine="300"/>
        <w:jc w:val="both"/>
      </w:pPr>
      <w:r>
        <w:rPr>
          <w:rFonts w:hint="eastAsia"/>
          <w:sz w:val="18"/>
          <w:szCs w:val="18"/>
        </w:rPr>
        <w:t>董事、监事、高级管理人员报酬的决策程序：公司股东大会审议董事、监事薪酬，公司董事会审议高级管理人员薪酬。</w:t>
      </w:r>
    </w:p>
    <w:p w:rsidR="00A95787" w:rsidRDefault="005D3CC1">
      <w:pPr>
        <w:pStyle w:val="a6"/>
        <w:spacing w:before="0" w:beforeAutospacing="0" w:after="0" w:afterAutospacing="0"/>
        <w:ind w:firstLine="300"/>
        <w:jc w:val="both"/>
      </w:pPr>
      <w:r>
        <w:rPr>
          <w:rFonts w:hint="eastAsia"/>
          <w:sz w:val="18"/>
          <w:szCs w:val="18"/>
        </w:rPr>
        <w:t>报酬确定依据：</w:t>
      </w:r>
    </w:p>
    <w:p w:rsidR="00A95787" w:rsidRDefault="005D3CC1">
      <w:pPr>
        <w:pStyle w:val="a6"/>
        <w:spacing w:before="0" w:beforeAutospacing="0" w:after="0" w:afterAutospacing="0"/>
        <w:ind w:firstLine="300"/>
        <w:jc w:val="both"/>
      </w:pPr>
      <w:r>
        <w:rPr>
          <w:rFonts w:hint="eastAsia"/>
          <w:sz w:val="18"/>
          <w:szCs w:val="18"/>
        </w:rPr>
        <w:lastRenderedPageBreak/>
        <w:t>未在公司担任其他职务的董事、监事，不领取薪酬，兼任公司高级管理人员的董事，按高级管理人员的薪酬标准执行。在公司担任具体职务的职工监事，按照所担任职务领取薪酬。公司高级管理人员薪酬包括基本薪酬和绩效薪酬，绩效考核薪酬根据《公司主要管理人员及技术骨干薪酬考核制度》执行。</w:t>
      </w:r>
    </w:p>
    <w:p w:rsidR="00A95787" w:rsidRDefault="005D3CC1">
      <w:pPr>
        <w:pStyle w:val="a6"/>
        <w:spacing w:before="0" w:beforeAutospacing="0" w:after="0" w:afterAutospacing="0"/>
        <w:ind w:firstLine="300"/>
        <w:jc w:val="both"/>
      </w:pPr>
      <w:r>
        <w:rPr>
          <w:rFonts w:hint="eastAsia"/>
          <w:sz w:val="18"/>
          <w:szCs w:val="18"/>
        </w:rPr>
        <w:t>独立董事的津贴为：每人每年8万元（税前）。独立董事出席公司董事会和股东大会的差旅费及按《公司法》、《公司章程》等有关规定行使职权所需的合理费用，可在公司据实报销。</w:t>
      </w:r>
    </w:p>
    <w:p w:rsidR="00A95787" w:rsidRDefault="005D3CC1">
      <w:pPr>
        <w:pStyle w:val="a6"/>
        <w:spacing w:before="0" w:beforeAutospacing="0" w:after="0" w:afterAutospacing="0"/>
        <w:ind w:firstLine="300"/>
        <w:jc w:val="both"/>
      </w:pPr>
      <w:r>
        <w:rPr>
          <w:rFonts w:hint="eastAsia"/>
          <w:sz w:val="18"/>
          <w:szCs w:val="18"/>
        </w:rPr>
        <w:t>实际支付情况：公司董事、监事、高级管理人员在公司领取的2024年度薪酬总额为382.99万元（税前）。</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公司报告期内董事、监事和高级管理人员报酬情况</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141"/>
        <w:gridCol w:w="1134"/>
        <w:gridCol w:w="1856"/>
        <w:gridCol w:w="1377"/>
        <w:gridCol w:w="1377"/>
        <w:gridCol w:w="1472"/>
      </w:tblGrid>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姓名</w:t>
            </w:r>
          </w:p>
        </w:tc>
        <w:tc>
          <w:tcPr>
            <w:tcW w:w="1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性别</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年龄</w:t>
            </w:r>
          </w:p>
        </w:tc>
        <w:tc>
          <w:tcPr>
            <w:tcW w:w="185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从公司获得的税前报酬总额</w:t>
            </w:r>
          </w:p>
        </w:tc>
        <w:tc>
          <w:tcPr>
            <w:tcW w:w="147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是否在公司关联方获取报酬</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吴协恩</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61</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董事长</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李满良</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60</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董事兼总经理</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120.97</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薛健</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47</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金亚洪</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52</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吴茂</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36</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63.67</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薛丽</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女</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29</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周凯</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56</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孙涛</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46</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承军</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45</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卢青</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48</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施平</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63</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是</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刘蓓</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女</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42</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职工监事</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23.1</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王学良</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38</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副总经理兼董事会秘书</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55</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卜坚</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男</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45</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副总经理</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45</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吴雅清</w:t>
            </w:r>
          </w:p>
        </w:tc>
        <w:tc>
          <w:tcPr>
            <w:tcW w:w="11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女</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56</w:t>
            </w:r>
          </w:p>
        </w:tc>
        <w:tc>
          <w:tcPr>
            <w:tcW w:w="185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财务总监</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51.25</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否</w:t>
            </w:r>
          </w:p>
        </w:tc>
      </w:tr>
      <w:tr w:rsidR="00A95787" w:rsidTr="00346A24">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合计</w:t>
            </w:r>
          </w:p>
        </w:tc>
        <w:tc>
          <w:tcPr>
            <w:tcW w:w="1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w:t>
            </w:r>
          </w:p>
        </w:tc>
        <w:tc>
          <w:tcPr>
            <w:tcW w:w="185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382.99</w:t>
            </w:r>
          </w:p>
        </w:tc>
        <w:tc>
          <w:tcPr>
            <w:tcW w:w="147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其他情况说明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70" w:name="_Toc988955"/>
      <w:r>
        <w:rPr>
          <w:rFonts w:ascii="宋体" w:eastAsia="宋体" w:hAnsi="宋体" w:cs="宋体"/>
          <w:b/>
          <w:bCs/>
          <w:sz w:val="24"/>
          <w:szCs w:val="24"/>
        </w:rPr>
        <w:t>六、报告期内董事履行职责的情况</w:t>
      </w:r>
      <w:bookmarkEnd w:id="70"/>
    </w:p>
    <w:p w:rsidR="00A95787" w:rsidRDefault="005D3CC1">
      <w:pPr>
        <w:pStyle w:val="3"/>
        <w:spacing w:line="280" w:lineRule="exact"/>
        <w:jc w:val="left"/>
        <w:rPr>
          <w:rFonts w:ascii="宋体" w:hAnsi="宋体" w:cs="宋体"/>
          <w:b/>
          <w:bCs/>
        </w:rPr>
      </w:pPr>
      <w:bookmarkStart w:id="71" w:name="_Toc988956"/>
      <w:r>
        <w:rPr>
          <w:rFonts w:ascii="宋体" w:hAnsi="宋体" w:cs="宋体"/>
          <w:b/>
          <w:bCs/>
        </w:rPr>
        <w:t>1、本报告期董事会情况</w:t>
      </w:r>
      <w:bookmarkEnd w:id="71"/>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00"/>
        <w:gridCol w:w="1952"/>
        <w:gridCol w:w="2410"/>
        <w:gridCol w:w="2976"/>
      </w:tblGrid>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9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9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第九届董事会第二次会议</w:t>
            </w:r>
          </w:p>
        </w:tc>
        <w:tc>
          <w:tcPr>
            <w:tcW w:w="1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2024年04月28日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2024年04月30日</w:t>
            </w:r>
          </w:p>
        </w:tc>
        <w:tc>
          <w:tcPr>
            <w:tcW w:w="29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2023年度总经理工作报告》《2023年度董事会工作报告》《2023年度财务决算报告》《2023年度利润分配预案》《2023年度报告全文及摘要》《关于2024年度日常关联交易预计的议案》《2023年度内部控制评价报告》《关于开展期货和衍生品交易的议案》《关于变更公司经营范围的议案》《关于修订〈公司章程〉部分条款的议案》《关于修订部分公司制度的议案》《关于制订&lt;独立董事专门会议工作制度&gt;的议案》《江苏华西集团财务有限公司风险持续评</w:t>
            </w:r>
            <w:r>
              <w:rPr>
                <w:rFonts w:ascii="宋体" w:eastAsia="宋体" w:hAnsi="宋体" w:cs="宋体"/>
                <w:sz w:val="18"/>
                <w:szCs w:val="18"/>
              </w:rPr>
              <w:lastRenderedPageBreak/>
              <w:t>估报告》《关于向银行申请综合授信额度的议案》《关于授权公司管理层处置交易性金融资产的议案》《关于确认公司董事、监事、高级管理人员2023年度薪酬的议案》《未来三年股东回报规划（2024年—2026年）》《关于前期会计差错更正的议案》《2024年第一季度报告》《关于召开2023年度股东大会的议案》。</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第九届董事会第三次会议</w:t>
            </w:r>
          </w:p>
        </w:tc>
        <w:tc>
          <w:tcPr>
            <w:tcW w:w="1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2024年06月23日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2024年06月24日</w:t>
            </w:r>
          </w:p>
        </w:tc>
        <w:tc>
          <w:tcPr>
            <w:tcW w:w="29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会议审议通过了《关于转让参股公司部分股份的议案》《关于董事、监事、高级管理人员年度薪酬方案的议案》《关于召开2024年第一次临时股东大会议案》。</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第九届董事会第四次会议</w:t>
            </w:r>
          </w:p>
        </w:tc>
        <w:tc>
          <w:tcPr>
            <w:tcW w:w="1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2024年07月30日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2024年07月31日</w:t>
            </w:r>
          </w:p>
        </w:tc>
        <w:tc>
          <w:tcPr>
            <w:tcW w:w="29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会议审议通过了《关于拟续聘会计师事务所的议案》。</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第九届董事会第五次会议</w:t>
            </w:r>
          </w:p>
        </w:tc>
        <w:tc>
          <w:tcPr>
            <w:tcW w:w="1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2024年08月29日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2024年08月30日</w:t>
            </w:r>
          </w:p>
        </w:tc>
        <w:tc>
          <w:tcPr>
            <w:tcW w:w="29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2024年半年度报告全文及摘要》《关于2024年半年度利润分配方案的议案》《公司舆情管理制度》《关于修订〈董事、监事和高级管理人员所持本公司股份及其变动管理办法〉的议案》《江苏华西集团财务有限公司风险持续评估报告》。</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第九届董事会第六次会议</w:t>
            </w:r>
          </w:p>
        </w:tc>
        <w:tc>
          <w:tcPr>
            <w:tcW w:w="1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2024年10月30日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2024年10月31日</w:t>
            </w:r>
          </w:p>
        </w:tc>
        <w:tc>
          <w:tcPr>
            <w:tcW w:w="29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会议审议通过了《公司2024年第三季度报告》。</w:t>
            </w:r>
          </w:p>
        </w:tc>
      </w:tr>
    </w:tbl>
    <w:p w:rsidR="00A95787" w:rsidRDefault="005D3CC1">
      <w:pPr>
        <w:pStyle w:val="3"/>
        <w:spacing w:line="280" w:lineRule="exact"/>
        <w:jc w:val="left"/>
        <w:rPr>
          <w:rFonts w:ascii="宋体" w:hAnsi="宋体" w:cs="宋体"/>
          <w:b/>
          <w:bCs/>
        </w:rPr>
      </w:pPr>
      <w:bookmarkStart w:id="72" w:name="_Toc988957"/>
      <w:r>
        <w:rPr>
          <w:rFonts w:ascii="宋体" w:hAnsi="宋体" w:cs="宋体"/>
          <w:b/>
          <w:bCs/>
        </w:rPr>
        <w:t>2、董事出席董事会及股东大会的情况</w:t>
      </w:r>
      <w:bookmarkEnd w:id="72"/>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07"/>
        <w:gridCol w:w="1205"/>
        <w:gridCol w:w="1205"/>
        <w:gridCol w:w="1205"/>
        <w:gridCol w:w="1205"/>
        <w:gridCol w:w="1205"/>
        <w:gridCol w:w="1205"/>
        <w:gridCol w:w="1313"/>
      </w:tblGrid>
      <w:tr w:rsidR="00A95787">
        <w:trPr>
          <w:trHeight w:val="240"/>
        </w:trPr>
        <w:tc>
          <w:tcPr>
            <w:tcW w:w="9650"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董事出席董事会及股东大会的情况</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是否连续两次未亲自参加董事会会议</w:t>
            </w:r>
          </w:p>
        </w:tc>
        <w:tc>
          <w:tcPr>
            <w:tcW w:w="1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出席股东大会次数</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李满良</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薛健</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金亚洪</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吴茂</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薛丽</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周凯</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孙涛</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r w:rsidR="00A95787">
        <w:trPr>
          <w:trHeight w:val="240"/>
        </w:trPr>
        <w:tc>
          <w:tcPr>
            <w:tcW w:w="11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承军</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w:t>
            </w:r>
          </w:p>
        </w:tc>
      </w:tr>
    </w:tbl>
    <w:p w:rsidR="00A95787" w:rsidRDefault="00A95787">
      <w:pPr>
        <w:adjustRightInd w:val="0"/>
        <w:snapToGrid w:val="0"/>
        <w:spacing w:line="240" w:lineRule="exact"/>
        <w:rPr>
          <w:rFonts w:ascii="宋体" w:eastAsia="宋体" w:hAnsi="宋体" w:cs="宋体"/>
          <w:sz w:val="18"/>
          <w:szCs w:val="18"/>
        </w:rPr>
      </w:pPr>
    </w:p>
    <w:p w:rsidR="00A95787" w:rsidRDefault="005D3CC1">
      <w:pPr>
        <w:adjustRightInd w:val="0"/>
        <w:snapToGrid w:val="0"/>
        <w:spacing w:line="360" w:lineRule="auto"/>
        <w:rPr>
          <w:rFonts w:ascii="宋体" w:eastAsia="宋体" w:hAnsi="宋体" w:cs="宋体"/>
          <w:sz w:val="18"/>
          <w:szCs w:val="18"/>
        </w:rPr>
      </w:pPr>
      <w:r>
        <w:rPr>
          <w:rFonts w:ascii="宋体" w:eastAsia="宋体" w:hAnsi="宋体" w:cs="宋体"/>
          <w:sz w:val="18"/>
          <w:szCs w:val="18"/>
        </w:rPr>
        <w:t>连续两次未亲自出席董事会的说明</w:t>
      </w:r>
    </w:p>
    <w:p w:rsidR="00A95787" w:rsidRDefault="005D3CC1">
      <w:pPr>
        <w:pStyle w:val="a6"/>
        <w:adjustRightInd w:val="0"/>
        <w:snapToGrid w:val="0"/>
        <w:spacing w:before="0" w:beforeAutospacing="0" w:after="0" w:afterAutospacing="0" w:line="360" w:lineRule="auto"/>
        <w:ind w:firstLine="408"/>
        <w:rPr>
          <w:sz w:val="18"/>
          <w:szCs w:val="18"/>
        </w:rPr>
      </w:pPr>
      <w:r>
        <w:rPr>
          <w:rFonts w:hint="eastAsia"/>
          <w:sz w:val="18"/>
          <w:szCs w:val="18"/>
        </w:rPr>
        <w:t>不适用。</w:t>
      </w:r>
    </w:p>
    <w:p w:rsidR="00A95787" w:rsidRDefault="005D3CC1">
      <w:pPr>
        <w:pStyle w:val="3"/>
        <w:spacing w:line="280" w:lineRule="exact"/>
        <w:jc w:val="left"/>
        <w:rPr>
          <w:rFonts w:ascii="宋体" w:hAnsi="宋体" w:cs="宋体"/>
          <w:b/>
          <w:bCs/>
        </w:rPr>
      </w:pPr>
      <w:bookmarkStart w:id="73" w:name="_Toc988958"/>
      <w:r>
        <w:rPr>
          <w:rFonts w:ascii="宋体" w:hAnsi="宋体" w:cs="宋体"/>
          <w:b/>
          <w:bCs/>
        </w:rPr>
        <w:t>3、董事对公司有关事项提出异议的情况</w:t>
      </w:r>
      <w:bookmarkEnd w:id="7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董事对公司有关事项是否提出异议</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报告期内董事对公司有关事项未提出异议。</w:t>
      </w:r>
    </w:p>
    <w:p w:rsidR="00A95787" w:rsidRDefault="005D3CC1">
      <w:pPr>
        <w:pStyle w:val="3"/>
        <w:spacing w:line="280" w:lineRule="exact"/>
        <w:jc w:val="left"/>
        <w:rPr>
          <w:rFonts w:ascii="宋体" w:hAnsi="宋体" w:cs="宋体"/>
          <w:b/>
          <w:bCs/>
        </w:rPr>
      </w:pPr>
      <w:bookmarkStart w:id="74" w:name="_Toc988959"/>
      <w:r>
        <w:rPr>
          <w:rFonts w:ascii="宋体" w:hAnsi="宋体" w:cs="宋体"/>
          <w:b/>
          <w:bCs/>
        </w:rPr>
        <w:lastRenderedPageBreak/>
        <w:t>4、董事履行职责的其他说明</w:t>
      </w:r>
      <w:bookmarkEnd w:id="7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董事对公司有关建议是否被采纳</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95787" w:rsidRDefault="005D3CC1" w:rsidP="00FE0D93">
      <w:pPr>
        <w:spacing w:before="100" w:after="100" w:line="300" w:lineRule="auto"/>
        <w:rPr>
          <w:rFonts w:ascii="宋体" w:eastAsia="宋体" w:hAnsi="宋体" w:cs="宋体"/>
          <w:sz w:val="18"/>
          <w:szCs w:val="18"/>
        </w:rPr>
      </w:pPr>
      <w:r>
        <w:rPr>
          <w:rFonts w:ascii="宋体" w:eastAsia="宋体" w:hAnsi="宋体" w:cs="宋体"/>
          <w:sz w:val="18"/>
          <w:szCs w:val="18"/>
        </w:rPr>
        <w:t>董事对公司有关建议被采纳或未被采纳的说明</w:t>
      </w:r>
    </w:p>
    <w:p w:rsidR="00A95787" w:rsidRDefault="005D3CC1" w:rsidP="00FE0D93">
      <w:pPr>
        <w:pStyle w:val="a6"/>
        <w:spacing w:before="40" w:beforeAutospacing="0" w:after="40" w:afterAutospacing="0" w:line="300" w:lineRule="auto"/>
      </w:pPr>
      <w:r>
        <w:rPr>
          <w:rFonts w:hint="eastAsia"/>
          <w:sz w:val="18"/>
          <w:szCs w:val="18"/>
        </w:rPr>
        <w:t>  报告期内，公司董事严格按照《公司法》《证券法》《深圳证券交易所股票上市规则》等法律法规的要求，出席了公司董事会等相关会议，本着诚信勤勉义务履行职责，对公司审议的各类事项作出科学审慎决策，在公司重大决策方面提出了专业性建议。</w:t>
      </w:r>
    </w:p>
    <w:p w:rsidR="00A95787" w:rsidRDefault="005D3CC1">
      <w:pPr>
        <w:pStyle w:val="2"/>
        <w:spacing w:before="300" w:after="300" w:line="320" w:lineRule="exact"/>
        <w:rPr>
          <w:rFonts w:ascii="宋体" w:eastAsia="宋体" w:hAnsi="宋体" w:cs="宋体"/>
          <w:b/>
          <w:bCs/>
          <w:sz w:val="24"/>
          <w:szCs w:val="24"/>
        </w:rPr>
      </w:pPr>
      <w:bookmarkStart w:id="75" w:name="_Toc988960"/>
      <w:r>
        <w:rPr>
          <w:rFonts w:ascii="宋体" w:eastAsia="宋体" w:hAnsi="宋体" w:cs="宋体"/>
          <w:b/>
          <w:bCs/>
          <w:sz w:val="24"/>
          <w:szCs w:val="24"/>
        </w:rPr>
        <w:t>七、董事会下设专门委员会在报告期内的情况</w:t>
      </w:r>
      <w:bookmarkEnd w:id="75"/>
    </w:p>
    <w:p w:rsidR="00FE0D93" w:rsidRPr="00FE0D93" w:rsidRDefault="00FE0D93" w:rsidP="00FE0D93"/>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07"/>
        <w:gridCol w:w="1280"/>
        <w:gridCol w:w="875"/>
        <w:gridCol w:w="1188"/>
        <w:gridCol w:w="1550"/>
        <w:gridCol w:w="1150"/>
        <w:gridCol w:w="1100"/>
        <w:gridCol w:w="1412"/>
      </w:tblGrid>
      <w:tr w:rsidR="00A95787">
        <w:trPr>
          <w:trHeight w:val="240"/>
        </w:trPr>
        <w:tc>
          <w:tcPr>
            <w:tcW w:w="11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委员会名称</w:t>
            </w:r>
          </w:p>
        </w:tc>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成员情况</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召开会议次数</w:t>
            </w: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召开日期</w:t>
            </w:r>
          </w:p>
        </w:tc>
        <w:tc>
          <w:tcPr>
            <w:tcW w:w="15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会议内容</w:t>
            </w:r>
          </w:p>
        </w:tc>
        <w:tc>
          <w:tcPr>
            <w:tcW w:w="1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提出的重要意见和建议</w:t>
            </w:r>
          </w:p>
        </w:tc>
        <w:tc>
          <w:tcPr>
            <w:tcW w:w="11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其他履行职责的情况</w:t>
            </w:r>
          </w:p>
        </w:tc>
        <w:tc>
          <w:tcPr>
            <w:tcW w:w="14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异议事项具体情况（如有）</w:t>
            </w:r>
          </w:p>
        </w:tc>
      </w:tr>
      <w:tr w:rsidR="00FE0D93" w:rsidTr="00FE0D93">
        <w:trPr>
          <w:trHeight w:val="240"/>
        </w:trPr>
        <w:tc>
          <w:tcPr>
            <w:tcW w:w="1107" w:type="dxa"/>
            <w:vMerge w:val="restart"/>
            <w:tcBorders>
              <w:top w:val="single" w:sz="2" w:space="0" w:color="auto"/>
              <w:left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董事会战略委员会</w:t>
            </w: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吴协恩 薛健 承军</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04月28日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审议《关于2023年度经营情况以及2024年度经营计划的议案》《关于授权公司管理层处置交易性金融资产的议案》《未来三年股东回报规划（2024年—2026年）》</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tcBorders>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吴协恩 薛健 承军</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06月23日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审议《关于转让参股公司部分股份的议案》</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val="restart"/>
            <w:tcBorders>
              <w:top w:val="single" w:sz="2" w:space="0" w:color="auto"/>
              <w:left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董事会审计委员会</w:t>
            </w: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孙涛 周凯 薛丽</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04月28日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审议《2023年度财务报告》《2023年度内部控制评价报告》《关于会计师事务所2023年度履职情况评估报告》《关于前期会计差错更正的议案》《2024年第一季度财务报告》</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tcBorders>
              <w:left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孙涛 周凯 薛丽</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07月30日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审议《关于拟续聘会计师事务所的议案》</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tcBorders>
              <w:left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孙涛 周凯 薛丽</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08月29日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审议《2024年半年度财务报告》</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tcBorders>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孙涛 周凯 薛丽</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10月30日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审议《2024年第三季度财务报告》</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审议通过</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会议事项</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val="restart"/>
            <w:tcBorders>
              <w:top w:val="single" w:sz="2" w:space="0" w:color="auto"/>
              <w:left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lastRenderedPageBreak/>
              <w:t>董事会薪酬与考核委员会</w:t>
            </w: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周凯 孙涛 金亚洪</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04月28日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审议《关于确认董事、监事、高级管理人员2023年度薪酬的议案》</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同意将该议案提交董事会审议</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r w:rsidR="00FE0D93" w:rsidTr="00FE0D93">
        <w:trPr>
          <w:trHeight w:val="240"/>
        </w:trPr>
        <w:tc>
          <w:tcPr>
            <w:tcW w:w="1107" w:type="dxa"/>
            <w:vMerge/>
            <w:tcBorders>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p>
        </w:tc>
        <w:tc>
          <w:tcPr>
            <w:tcW w:w="128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周凯 孙涛 金亚洪</w:t>
            </w:r>
          </w:p>
        </w:tc>
        <w:tc>
          <w:tcPr>
            <w:tcW w:w="875"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1</w:t>
            </w:r>
          </w:p>
        </w:tc>
        <w:tc>
          <w:tcPr>
            <w:tcW w:w="1188"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2024年</w:t>
            </w:r>
          </w:p>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06月23日</w:t>
            </w:r>
          </w:p>
        </w:tc>
        <w:tc>
          <w:tcPr>
            <w:tcW w:w="15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rPr>
                <w:rFonts w:ascii="宋体" w:eastAsia="宋体" w:hAnsi="宋体" w:cs="宋体"/>
                <w:sz w:val="18"/>
                <w:szCs w:val="18"/>
              </w:rPr>
            </w:pPr>
            <w:r>
              <w:rPr>
                <w:rFonts w:ascii="宋体" w:eastAsia="宋体" w:hAnsi="宋体" w:cs="宋体"/>
                <w:sz w:val="18"/>
                <w:szCs w:val="18"/>
              </w:rPr>
              <w:t>审议《关于董事、监事、高级管理人员年度薪酬方案的议案》</w:t>
            </w:r>
          </w:p>
        </w:tc>
        <w:tc>
          <w:tcPr>
            <w:tcW w:w="115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同意将该议案提交董事会审议</w:t>
            </w:r>
          </w:p>
        </w:tc>
        <w:tc>
          <w:tcPr>
            <w:tcW w:w="1100"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c>
          <w:tcPr>
            <w:tcW w:w="1412" w:type="dxa"/>
            <w:tcBorders>
              <w:top w:val="single" w:sz="2" w:space="0" w:color="auto"/>
              <w:left w:val="single" w:sz="2" w:space="0" w:color="auto"/>
              <w:bottom w:val="single" w:sz="2" w:space="0" w:color="auto"/>
              <w:right w:val="single" w:sz="2" w:space="0" w:color="auto"/>
            </w:tcBorders>
            <w:vAlign w:val="center"/>
          </w:tcPr>
          <w:p w:rsidR="00FE0D93" w:rsidRDefault="00FE0D93">
            <w:pPr>
              <w:spacing w:line="260" w:lineRule="exact"/>
              <w:jc w:val="center"/>
              <w:rPr>
                <w:rFonts w:ascii="宋体" w:eastAsia="宋体" w:hAnsi="宋体" w:cs="宋体"/>
                <w:sz w:val="18"/>
                <w:szCs w:val="18"/>
              </w:rPr>
            </w:pPr>
            <w:r>
              <w:rPr>
                <w:rFonts w:ascii="宋体" w:eastAsia="宋体" w:hAnsi="宋体" w:cs="宋体"/>
                <w:sz w:val="18"/>
                <w:szCs w:val="18"/>
              </w:rPr>
              <w:t>无</w:t>
            </w:r>
          </w:p>
        </w:tc>
      </w:tr>
    </w:tbl>
    <w:p w:rsidR="00A95787" w:rsidRDefault="005D3CC1">
      <w:pPr>
        <w:pStyle w:val="2"/>
        <w:spacing w:before="300" w:after="300" w:line="320" w:lineRule="exact"/>
        <w:rPr>
          <w:rFonts w:ascii="宋体" w:eastAsia="宋体" w:hAnsi="宋体" w:cs="宋体"/>
          <w:b/>
          <w:bCs/>
          <w:sz w:val="24"/>
          <w:szCs w:val="24"/>
        </w:rPr>
      </w:pPr>
      <w:bookmarkStart w:id="76" w:name="_Toc988961"/>
      <w:r>
        <w:rPr>
          <w:rFonts w:ascii="宋体" w:eastAsia="宋体" w:hAnsi="宋体" w:cs="宋体"/>
          <w:b/>
          <w:bCs/>
          <w:sz w:val="24"/>
          <w:szCs w:val="24"/>
        </w:rPr>
        <w:t>八、监事会工作情况</w:t>
      </w:r>
      <w:bookmarkEnd w:id="7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监事会在报告期内的监督活动中发现公司是否存在风险</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监事会对报告期内的监督事项无异议。</w:t>
      </w:r>
    </w:p>
    <w:p w:rsidR="00A95787" w:rsidRDefault="005D3CC1">
      <w:pPr>
        <w:pStyle w:val="2"/>
        <w:spacing w:before="300" w:after="300" w:line="320" w:lineRule="exact"/>
        <w:rPr>
          <w:rFonts w:ascii="宋体" w:eastAsia="宋体" w:hAnsi="宋体" w:cs="宋体"/>
          <w:b/>
          <w:bCs/>
          <w:sz w:val="24"/>
          <w:szCs w:val="24"/>
        </w:rPr>
      </w:pPr>
      <w:bookmarkStart w:id="77" w:name="_Toc988962"/>
      <w:r>
        <w:rPr>
          <w:rFonts w:ascii="宋体" w:eastAsia="宋体" w:hAnsi="宋体" w:cs="宋体"/>
          <w:b/>
          <w:bCs/>
          <w:sz w:val="24"/>
          <w:szCs w:val="24"/>
        </w:rPr>
        <w:t>九、公司员工情况</w:t>
      </w:r>
      <w:bookmarkEnd w:id="77"/>
    </w:p>
    <w:p w:rsidR="00A95787" w:rsidRDefault="005D3CC1">
      <w:pPr>
        <w:pStyle w:val="3"/>
        <w:spacing w:line="280" w:lineRule="exact"/>
        <w:jc w:val="left"/>
        <w:rPr>
          <w:rFonts w:ascii="宋体" w:hAnsi="宋体" w:cs="宋体"/>
          <w:b/>
          <w:bCs/>
        </w:rPr>
      </w:pPr>
      <w:bookmarkStart w:id="78" w:name="_Toc988963"/>
      <w:r>
        <w:rPr>
          <w:rFonts w:ascii="宋体" w:hAnsi="宋体" w:cs="宋体"/>
          <w:b/>
          <w:bCs/>
        </w:rPr>
        <w:t>1、员工数量、专业构成及教育程度</w:t>
      </w:r>
      <w:bookmarkEnd w:id="78"/>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38"/>
        <w:gridCol w:w="4412"/>
      </w:tblGrid>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报告期末母公司在职员工的数量（人）</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712</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报告期末主要子公司在职员工的数量（人）</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190</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报告期末在职员工的数量合计（人）</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902</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当期领取薪酬员工总人数（人）</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1,015</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母公司及主要子公司需承担费用的离退休职工人数（人）</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专业构成类别</w:t>
            </w:r>
          </w:p>
        </w:tc>
        <w:tc>
          <w:tcPr>
            <w:tcW w:w="44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专业构成人数（人）</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生产人员</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668</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销售人员</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技术人员</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财务人员</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行政人员</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902</w:t>
            </w:r>
          </w:p>
        </w:tc>
      </w:tr>
      <w:tr w:rsidR="00A95787">
        <w:trPr>
          <w:trHeight w:val="240"/>
        </w:trPr>
        <w:tc>
          <w:tcPr>
            <w:tcW w:w="9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教育程度类别</w:t>
            </w:r>
          </w:p>
        </w:tc>
        <w:tc>
          <w:tcPr>
            <w:tcW w:w="44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数量（人）</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大专以上（含大专）</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209</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高中（含中专）</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高中以下</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458</w:t>
            </w:r>
          </w:p>
        </w:tc>
      </w:tr>
      <w:tr w:rsidR="00A95787">
        <w:trPr>
          <w:trHeight w:val="240"/>
        </w:trPr>
        <w:tc>
          <w:tcPr>
            <w:tcW w:w="52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902</w:t>
            </w:r>
          </w:p>
        </w:tc>
      </w:tr>
    </w:tbl>
    <w:p w:rsidR="00A95787" w:rsidRDefault="005D3CC1">
      <w:pPr>
        <w:pStyle w:val="3"/>
        <w:spacing w:line="280" w:lineRule="exact"/>
        <w:jc w:val="left"/>
        <w:rPr>
          <w:rFonts w:ascii="宋体" w:hAnsi="宋体" w:cs="宋体"/>
          <w:b/>
          <w:bCs/>
        </w:rPr>
      </w:pPr>
      <w:bookmarkStart w:id="79" w:name="_Toc988964"/>
      <w:r>
        <w:rPr>
          <w:rFonts w:ascii="宋体" w:hAnsi="宋体" w:cs="宋体"/>
          <w:b/>
          <w:bCs/>
        </w:rPr>
        <w:t>2、薪酬政策</w:t>
      </w:r>
      <w:bookmarkEnd w:id="79"/>
    </w:p>
    <w:p w:rsidR="00A95787" w:rsidRDefault="005D3CC1">
      <w:pPr>
        <w:pStyle w:val="a6"/>
        <w:jc w:val="both"/>
        <w:rPr>
          <w:rFonts w:ascii="Times New Roman" w:hAnsi="Times New Roman" w:cs="Times New Roman"/>
        </w:rPr>
      </w:pPr>
      <w:r>
        <w:rPr>
          <w:rFonts w:cs="Times New Roman" w:hint="eastAsia"/>
          <w:sz w:val="18"/>
          <w:szCs w:val="18"/>
        </w:rPr>
        <w:t>  公司根据市场薪酬标准，建立薪酬基本框架并结合年度经营计划和经营目标的完成情况，确定员工年度绩效分配方案。在工资分配形式上主要实行年薪制、岗位技能工资制等形式。</w:t>
      </w:r>
    </w:p>
    <w:p w:rsidR="00A95787" w:rsidRDefault="005D3CC1">
      <w:pPr>
        <w:pStyle w:val="3"/>
        <w:spacing w:line="280" w:lineRule="exact"/>
        <w:jc w:val="left"/>
        <w:rPr>
          <w:rFonts w:ascii="宋体" w:hAnsi="宋体" w:cs="宋体"/>
          <w:b/>
          <w:bCs/>
        </w:rPr>
      </w:pPr>
      <w:bookmarkStart w:id="80" w:name="_Toc988965"/>
      <w:r>
        <w:rPr>
          <w:rFonts w:ascii="宋体" w:hAnsi="宋体" w:cs="宋体"/>
          <w:b/>
          <w:bCs/>
        </w:rPr>
        <w:lastRenderedPageBreak/>
        <w:t>3、培训计划</w:t>
      </w:r>
      <w:bookmarkEnd w:id="80"/>
    </w:p>
    <w:p w:rsidR="00A95787" w:rsidRDefault="005D3CC1">
      <w:pPr>
        <w:pStyle w:val="a6"/>
        <w:ind w:firstLine="360"/>
        <w:jc w:val="both"/>
        <w:rPr>
          <w:rFonts w:ascii="Times New Roman" w:hAnsi="Times New Roman" w:cs="Times New Roman"/>
        </w:rPr>
      </w:pPr>
      <w:r>
        <w:rPr>
          <w:rFonts w:cs="Times New Roman" w:hint="eastAsia"/>
          <w:sz w:val="18"/>
          <w:szCs w:val="18"/>
        </w:rPr>
        <w:t>公司通过制订具体的年度培训计划和培训预算，由人力资源部负责执行落实和跟踪考评，培训方式采用外部培训、内部培训等方式，多层次加强员工知识体系和专业能力的提升。报告期内，公司多次组织内部培训，员工各项能力得到提升。</w:t>
      </w:r>
    </w:p>
    <w:p w:rsidR="00A95787" w:rsidRDefault="005D3CC1">
      <w:pPr>
        <w:pStyle w:val="3"/>
        <w:spacing w:line="280" w:lineRule="exact"/>
        <w:jc w:val="left"/>
        <w:rPr>
          <w:rFonts w:ascii="宋体" w:hAnsi="宋体" w:cs="宋体"/>
          <w:b/>
          <w:bCs/>
        </w:rPr>
      </w:pPr>
      <w:bookmarkStart w:id="81" w:name="_Toc988966"/>
      <w:r>
        <w:rPr>
          <w:rFonts w:ascii="宋体" w:hAnsi="宋体" w:cs="宋体"/>
          <w:b/>
          <w:bCs/>
        </w:rPr>
        <w:t>4、劳务外包情况</w:t>
      </w:r>
      <w:bookmarkEnd w:id="8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82" w:name="_Toc988967"/>
      <w:r>
        <w:rPr>
          <w:rFonts w:ascii="宋体" w:eastAsia="宋体" w:hAnsi="宋体" w:cs="宋体"/>
          <w:b/>
          <w:bCs/>
          <w:sz w:val="24"/>
          <w:szCs w:val="24"/>
        </w:rPr>
        <w:t>十、公司利润分配及资本公积金转增股本情况</w:t>
      </w:r>
      <w:bookmarkEnd w:id="82"/>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报告期内利润分配政策，特别是现金分红政策的制定、执行或调整情况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40" w:beforeAutospacing="0" w:after="40" w:afterAutospacing="0"/>
        <w:ind w:firstLine="346"/>
        <w:jc w:val="both"/>
      </w:pPr>
      <w:r>
        <w:rPr>
          <w:rFonts w:hint="eastAsia"/>
          <w:sz w:val="18"/>
          <w:szCs w:val="18"/>
        </w:rPr>
        <w:t>（1）分红政策制度</w:t>
      </w:r>
    </w:p>
    <w:p w:rsidR="00A95787" w:rsidRDefault="005D3CC1">
      <w:pPr>
        <w:pStyle w:val="a6"/>
        <w:spacing w:before="40" w:beforeAutospacing="0" w:after="40" w:afterAutospacing="0"/>
        <w:ind w:firstLine="346"/>
        <w:jc w:val="both"/>
      </w:pPr>
      <w:r>
        <w:rPr>
          <w:rFonts w:hint="eastAsia"/>
          <w:sz w:val="18"/>
          <w:szCs w:val="18"/>
        </w:rPr>
        <w:t>根据中国证监会《上市公司监管指引第3号</w:t>
      </w:r>
      <w:r>
        <w:rPr>
          <w:rFonts w:ascii="Times New Roman" w:hAnsi="Times New Roman" w:cs="Times New Roman"/>
          <w:sz w:val="18"/>
          <w:szCs w:val="18"/>
        </w:rPr>
        <w:t>—</w:t>
      </w:r>
      <w:r>
        <w:rPr>
          <w:rFonts w:hint="eastAsia"/>
          <w:sz w:val="18"/>
          <w:szCs w:val="18"/>
        </w:rPr>
        <w:t>上市公司现金分红》等的要求，《公司章程》中对利润分配政策的原则、形式、现金分红条件和比例，利润分配决策程序和调整程序等作了明确的规定。同时，明确指出独立董事应尽责履职并发挥应有的作用，中小股东具有充分表达意见和诉求的机会，维护中小股东的合法权益。</w:t>
      </w:r>
    </w:p>
    <w:p w:rsidR="00A95787" w:rsidRDefault="005D3CC1">
      <w:pPr>
        <w:pStyle w:val="a6"/>
        <w:spacing w:before="40" w:beforeAutospacing="0" w:after="40" w:afterAutospacing="0"/>
        <w:ind w:firstLine="346"/>
        <w:jc w:val="both"/>
      </w:pPr>
      <w:r>
        <w:rPr>
          <w:rFonts w:hint="eastAsia"/>
          <w:sz w:val="18"/>
          <w:szCs w:val="18"/>
        </w:rPr>
        <w:t>公司高度重视对投资者的回报，在《公司章程》中制定了关于利润分配政策的内容，规定公司保持利润分配政策的连续性与稳定性，提出了现金分红条件及比例：公司在当年盈利且累计未分配利润为正的情况下，现金流满足公司正常生产经营的未来发展的前提下，采取现金方式分配股利，每年以现金方式分配的利润不低于当年实现的可供分配利润的15%。</w:t>
      </w:r>
    </w:p>
    <w:p w:rsidR="00A95787" w:rsidRDefault="005D3CC1">
      <w:pPr>
        <w:pStyle w:val="a6"/>
        <w:spacing w:before="40" w:beforeAutospacing="0" w:after="40" w:afterAutospacing="0"/>
        <w:ind w:firstLine="346"/>
        <w:jc w:val="both"/>
      </w:pPr>
      <w:r>
        <w:rPr>
          <w:rFonts w:hint="eastAsia"/>
          <w:sz w:val="18"/>
          <w:szCs w:val="18"/>
        </w:rPr>
        <w:t>（2）执行情况</w:t>
      </w:r>
    </w:p>
    <w:p w:rsidR="00A95787" w:rsidRDefault="005D3CC1">
      <w:pPr>
        <w:pStyle w:val="a6"/>
        <w:spacing w:before="40" w:beforeAutospacing="0" w:after="40" w:afterAutospacing="0"/>
        <w:ind w:firstLine="346"/>
        <w:jc w:val="both"/>
      </w:pPr>
      <w:r>
        <w:rPr>
          <w:rFonts w:hint="eastAsia"/>
          <w:sz w:val="18"/>
          <w:szCs w:val="18"/>
        </w:rPr>
        <w:t>报告期内，公司严格执行《公司章程》确定的现金分红政策以及股东大会审议批准的现金分红具体方案。</w:t>
      </w:r>
    </w:p>
    <w:p w:rsidR="00A95787" w:rsidRDefault="005D3CC1">
      <w:pPr>
        <w:pStyle w:val="a6"/>
        <w:spacing w:before="40" w:beforeAutospacing="0" w:after="40" w:afterAutospacing="0"/>
        <w:ind w:firstLine="360"/>
        <w:jc w:val="both"/>
      </w:pPr>
      <w:r>
        <w:rPr>
          <w:rFonts w:hint="eastAsia"/>
          <w:sz w:val="18"/>
          <w:szCs w:val="18"/>
        </w:rPr>
        <w:t>经公司2023年度股东大会批准，公司实施了2023年度以及2024年中期利润分配方案。详见公司于2024年6月27日、9月19日刊登在《上海证券报》《证券时报》和巨潮资讯网的《2023年度权益分派实施公告》（公告编号：2024-038）、《2024年半年度权益分派实施公告》（公告编号：2024-053）。</w:t>
      </w:r>
    </w:p>
    <w:tbl>
      <w:tblPr>
        <w:tblW w:w="966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52"/>
      </w:tblGrid>
      <w:tr w:rsidR="00A95787">
        <w:trPr>
          <w:trHeight w:val="240"/>
        </w:trPr>
        <w:tc>
          <w:tcPr>
            <w:tcW w:w="96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现金分红政策的专项说明</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是否符合公司章程的规定或股东大会决议的要求：</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分红标准和比例是否明确和清晰：</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相关的决策程序和机制是否完备：</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独立董事是否履职尽责并发挥了应有的作用：</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中小股东是否有充分表达意见和诉求的机会，其合法权益是否得到了充分保护：</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现金分红政策进行调整或变更的，条件及程序是否合规、透明：</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公司报告期内盈利且母公司可供股东分配利润为正但未提出现金红利分配预案</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46A24" w:rsidRDefault="00346A24">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本报告期</w:t>
      </w:r>
      <w:r w:rsidR="00B518A9">
        <w:rPr>
          <w:rFonts w:ascii="宋体" w:eastAsia="宋体" w:hAnsi="宋体" w:cs="宋体"/>
          <w:sz w:val="18"/>
          <w:szCs w:val="18"/>
        </w:rPr>
        <w:t>末</w:t>
      </w:r>
      <w:r>
        <w:rPr>
          <w:rFonts w:ascii="宋体" w:eastAsia="宋体" w:hAnsi="宋体" w:cs="宋体"/>
          <w:sz w:val="18"/>
          <w:szCs w:val="18"/>
        </w:rPr>
        <w:t>利润分配及资本公积金转增股本情况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6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52"/>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lastRenderedPageBreak/>
              <w:t>每10股送红股数（股）</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每10股派息数（元）（含税）</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0.2</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分配预案的股本基数（股）</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886,012,887</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现金分红金额（元）（含税）</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可分配利润（元）</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3,149,708,012.19</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现金分红总额（含其他方式）占利润分配总额的比例</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100%</w:t>
            </w:r>
          </w:p>
        </w:tc>
      </w:tr>
      <w:tr w:rsidR="00A95787">
        <w:trPr>
          <w:trHeight w:val="240"/>
        </w:trPr>
        <w:tc>
          <w:tcPr>
            <w:tcW w:w="96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A95787">
        <w:trPr>
          <w:trHeight w:val="240"/>
        </w:trPr>
        <w:tc>
          <w:tcPr>
            <w:tcW w:w="966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96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利润分配或资本公积金转增预案的详细情况说明</w:t>
            </w:r>
          </w:p>
        </w:tc>
      </w:tr>
      <w:tr w:rsidR="00A95787">
        <w:trPr>
          <w:trHeight w:val="240"/>
        </w:trPr>
        <w:tc>
          <w:tcPr>
            <w:tcW w:w="966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rsidP="00346A24">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 xml:space="preserve">经中兴华会计师事务所（特殊普通合伙）审计，2024年度母公司实现净利润149,730,360.72元，根据《公司法》和《公司章程》的规定，提取法定盈余公积14,973,036.07元，加上年初未分配利润3,050,391,203.02元，减去本年度已分配股利35,440,515.48 元（其中：2023年年度利润分配已分配股利17,720,257.74 元，2024 年半年度利润分配已分配股利17,720,257.74元），本年末共计可供投资者分配的利润为3,149,708,012.19元。 </w:t>
            </w:r>
          </w:p>
          <w:p w:rsidR="00A95787" w:rsidRDefault="005D3CC1" w:rsidP="00346A24">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 xml:space="preserve">根据公司实际经营情况，公司2024年度利润分配方案为：拟以2024年12月31日的总股本886,012,887股为分配基数，向全体股东每10股派发现金红利0.20元（含税），共计派发现金红利总额为17,720,257.74元（含税）。本次分配公司不送红股也不进行资本公积金转增股本。 </w:t>
            </w:r>
          </w:p>
          <w:p w:rsidR="00A95787" w:rsidRDefault="005D3CC1" w:rsidP="00346A24">
            <w:pPr>
              <w:spacing w:line="276" w:lineRule="auto"/>
              <w:ind w:firstLineChars="200" w:firstLine="360"/>
              <w:jc w:val="both"/>
              <w:rPr>
                <w:rFonts w:ascii="宋体" w:eastAsia="宋体" w:hAnsi="宋体" w:cs="宋体"/>
                <w:sz w:val="18"/>
                <w:szCs w:val="18"/>
              </w:rPr>
            </w:pPr>
            <w:r>
              <w:rPr>
                <w:rFonts w:ascii="宋体" w:eastAsia="宋体" w:hAnsi="宋体" w:cs="宋体"/>
                <w:sz w:val="18"/>
                <w:szCs w:val="18"/>
              </w:rPr>
              <w:t>如本次利润分配方案披露之日起至实施权益分派股权登记日期间，公司总股本发生变动的，公司将按照分配比例不变的原则，以分红派息股权登记日股本总数为基数，重新调整分配总额后进行分配。</w:t>
            </w:r>
          </w:p>
        </w:tc>
      </w:tr>
    </w:tbl>
    <w:p w:rsidR="00A95787" w:rsidRDefault="005D3CC1">
      <w:pPr>
        <w:pStyle w:val="2"/>
        <w:spacing w:before="300" w:after="300" w:line="320" w:lineRule="exact"/>
        <w:rPr>
          <w:rFonts w:ascii="宋体" w:eastAsia="宋体" w:hAnsi="宋体" w:cs="宋体"/>
          <w:b/>
          <w:bCs/>
          <w:sz w:val="24"/>
          <w:szCs w:val="24"/>
        </w:rPr>
      </w:pPr>
      <w:bookmarkStart w:id="83" w:name="_Toc988968"/>
      <w:r>
        <w:rPr>
          <w:rFonts w:ascii="宋体" w:eastAsia="宋体" w:hAnsi="宋体" w:cs="宋体"/>
          <w:b/>
          <w:bCs/>
          <w:sz w:val="24"/>
          <w:szCs w:val="24"/>
        </w:rPr>
        <w:t>十一、公司股权激励计划、员工持股计划或其他员工激励措施的实施情况</w:t>
      </w:r>
      <w:bookmarkEnd w:id="83"/>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A95787" w:rsidRDefault="005D3CC1">
      <w:pPr>
        <w:pStyle w:val="2"/>
        <w:spacing w:before="300" w:after="300" w:line="320" w:lineRule="exact"/>
        <w:rPr>
          <w:rFonts w:ascii="宋体" w:eastAsia="宋体" w:hAnsi="宋体" w:cs="宋体"/>
          <w:b/>
          <w:bCs/>
          <w:sz w:val="24"/>
          <w:szCs w:val="24"/>
        </w:rPr>
      </w:pPr>
      <w:bookmarkStart w:id="84" w:name="_Toc988969"/>
      <w:r>
        <w:rPr>
          <w:rFonts w:ascii="宋体" w:eastAsia="宋体" w:hAnsi="宋体" w:cs="宋体"/>
          <w:b/>
          <w:bCs/>
          <w:sz w:val="24"/>
          <w:szCs w:val="24"/>
        </w:rPr>
        <w:t>十二、报告期内的内部控制制度建设及实施情况</w:t>
      </w:r>
      <w:bookmarkEnd w:id="84"/>
    </w:p>
    <w:p w:rsidR="00A95787" w:rsidRDefault="005D3CC1">
      <w:pPr>
        <w:pStyle w:val="3"/>
        <w:spacing w:line="280" w:lineRule="exact"/>
        <w:jc w:val="left"/>
        <w:rPr>
          <w:rFonts w:ascii="宋体" w:hAnsi="宋体" w:cs="宋体"/>
          <w:b/>
          <w:bCs/>
        </w:rPr>
      </w:pPr>
      <w:bookmarkStart w:id="85" w:name="_Toc988970"/>
      <w:r>
        <w:rPr>
          <w:rFonts w:ascii="宋体" w:hAnsi="宋体" w:cs="宋体"/>
          <w:b/>
          <w:bCs/>
        </w:rPr>
        <w:t>1、内部控制建设及实施情况</w:t>
      </w:r>
      <w:bookmarkEnd w:id="85"/>
    </w:p>
    <w:p w:rsidR="00A95787" w:rsidRDefault="005D3CC1">
      <w:pPr>
        <w:pStyle w:val="a6"/>
        <w:spacing w:before="0" w:beforeAutospacing="0" w:after="0" w:afterAutospacing="0"/>
        <w:ind w:firstLine="405"/>
        <w:jc w:val="both"/>
      </w:pPr>
      <w:r>
        <w:rPr>
          <w:rFonts w:hint="eastAsia"/>
          <w:sz w:val="18"/>
          <w:szCs w:val="18"/>
        </w:rPr>
        <w:t>公司现行的内部控制体系较为规范、完整，内部控制组织机构完整，人员配备齐全到位，各项内控制度均得到了有效地贯彻执行，能够适应公司现行的管理要求和发展需要，保证了公司经营活动的有序开展，保护了公司全体股东的根本利益。</w:t>
      </w:r>
    </w:p>
    <w:p w:rsidR="00A95787" w:rsidRDefault="005D3CC1">
      <w:pPr>
        <w:pStyle w:val="a6"/>
        <w:spacing w:before="0" w:beforeAutospacing="0" w:after="0" w:afterAutospacing="0"/>
        <w:ind w:firstLine="360"/>
      </w:pPr>
      <w:r>
        <w:rPr>
          <w:rFonts w:hint="eastAsia"/>
          <w:sz w:val="18"/>
          <w:szCs w:val="18"/>
        </w:rPr>
        <w:t>根据公司财务报告内部控制重大缺陷的认定情况，于内部控制评价报告基准日，不存在财务报告内部控制重大缺陷，公司已按照企业内部控制规范体系和相关规定的要求在所有重大方面保持了有效的财务报告内部控制。</w:t>
      </w:r>
    </w:p>
    <w:p w:rsidR="00A95787" w:rsidRDefault="005D3CC1">
      <w:pPr>
        <w:pStyle w:val="a6"/>
        <w:spacing w:before="0" w:beforeAutospacing="0" w:after="0" w:afterAutospacing="0"/>
        <w:ind w:firstLine="360"/>
      </w:pPr>
      <w:r>
        <w:rPr>
          <w:rFonts w:hint="eastAsia"/>
          <w:sz w:val="18"/>
          <w:szCs w:val="18"/>
        </w:rPr>
        <w:t>根据公司非财务报告内部控制重大缺陷认定情况，于内部控制评价报告基准日，公司未发现非财务报告内部控制重大缺陷。</w:t>
      </w:r>
    </w:p>
    <w:p w:rsidR="00A95787" w:rsidRDefault="005D3CC1">
      <w:pPr>
        <w:pStyle w:val="3"/>
        <w:spacing w:line="280" w:lineRule="exact"/>
        <w:jc w:val="left"/>
        <w:rPr>
          <w:rFonts w:ascii="宋体" w:hAnsi="宋体" w:cs="宋体"/>
          <w:b/>
          <w:bCs/>
        </w:rPr>
      </w:pPr>
      <w:bookmarkStart w:id="86" w:name="_Toc988971"/>
      <w:r>
        <w:rPr>
          <w:rFonts w:ascii="宋体" w:hAnsi="宋体" w:cs="宋体"/>
          <w:b/>
          <w:bCs/>
        </w:rPr>
        <w:t>2、报告期内发现的内部控制重大缺陷的具体情况</w:t>
      </w:r>
      <w:bookmarkEnd w:id="8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pStyle w:val="2"/>
        <w:spacing w:before="300" w:after="300" w:line="320" w:lineRule="exact"/>
        <w:rPr>
          <w:rFonts w:ascii="宋体" w:eastAsia="宋体" w:hAnsi="宋体" w:cs="宋体"/>
          <w:b/>
          <w:bCs/>
          <w:sz w:val="24"/>
          <w:szCs w:val="24"/>
        </w:rPr>
      </w:pPr>
      <w:bookmarkStart w:id="87" w:name="_Toc988972"/>
      <w:r>
        <w:rPr>
          <w:rFonts w:ascii="宋体" w:eastAsia="宋体" w:hAnsi="宋体" w:cs="宋体"/>
          <w:b/>
          <w:bCs/>
          <w:sz w:val="24"/>
          <w:szCs w:val="24"/>
        </w:rPr>
        <w:t>十三、公司报告期内对子公司的管理控制情况</w:t>
      </w:r>
      <w:bookmarkEnd w:id="87"/>
    </w:p>
    <w:p w:rsidR="00A95787" w:rsidRDefault="005D3CC1">
      <w:pPr>
        <w:pStyle w:val="a6"/>
        <w:spacing w:before="0" w:beforeAutospacing="0" w:after="0" w:afterAutospacing="0"/>
        <w:ind w:firstLine="360"/>
        <w:rPr>
          <w:sz w:val="18"/>
          <w:szCs w:val="18"/>
        </w:rPr>
      </w:pPr>
      <w:r>
        <w:rPr>
          <w:rFonts w:hint="eastAsia"/>
          <w:sz w:val="18"/>
          <w:szCs w:val="18"/>
        </w:rPr>
        <w:t>不适用。</w:t>
      </w:r>
      <w:bookmarkStart w:id="88" w:name="_Toc988973"/>
    </w:p>
    <w:p w:rsidR="00A95787" w:rsidRDefault="005D3CC1">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lastRenderedPageBreak/>
        <w:t>十四、内部控制评价报告或内部控制审计报告</w:t>
      </w:r>
      <w:bookmarkEnd w:id="88"/>
    </w:p>
    <w:p w:rsidR="00A95787" w:rsidRDefault="005D3CC1">
      <w:pPr>
        <w:pStyle w:val="3"/>
        <w:spacing w:line="280" w:lineRule="exact"/>
        <w:jc w:val="left"/>
        <w:rPr>
          <w:rFonts w:ascii="宋体" w:hAnsi="宋体" w:cs="宋体"/>
          <w:b/>
          <w:bCs/>
        </w:rPr>
      </w:pPr>
      <w:bookmarkStart w:id="89" w:name="_Toc988974"/>
      <w:r>
        <w:rPr>
          <w:rFonts w:ascii="宋体" w:hAnsi="宋体" w:cs="宋体"/>
          <w:b/>
          <w:bCs/>
        </w:rPr>
        <w:t>1、内控评价报告</w:t>
      </w:r>
      <w:bookmarkEnd w:id="89"/>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内部控制评价报告全文披露日期</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2025年04月29日</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内部控制评价报告全文披露索引</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《江苏华西村股份有限公司2024年度内部控制评价报告》，刊登于巨潮资讯网(http://www.cninfo.com.cn)</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纳入评价范围单位资产总额占公司合并财务报表资产总额的比例</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纳入评价范围单位营业收入占公司合并财务报表营业收入的比例</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A95787">
        <w:trPr>
          <w:trHeight w:val="240"/>
        </w:trPr>
        <w:tc>
          <w:tcPr>
            <w:tcW w:w="962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缺陷认定标准</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财务报告</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非财务报告</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具有以下特征的缺陷，应认定为重大缺陷：</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①该缺陷涉及董事、监事和高级管理人员舞弊并给公司造成重要损失和不利影响；</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②更正已经公布的财务报表；</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③注册会计师发现当期财务报表存在重大错报，而内部控制在运行过程中未能发现该错报；</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④企业审计委员会和内部审计机构对内部控制的监督无效。 </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具有以下特征的缺陷，应认定为重要缺陷：</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①未依照会计准则选择和应用会计政策；</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②未建立反舞弊程序和控制程序；</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③对于期末财务报告过程的控制存在一项或多项缺陷且不能合理保证编制的财务报表达到真实、准确的目标；</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④因执行政策偏差、核算错误等，受到处罚或公司形象出现严重负面影响等情况。</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具有以下特征的缺陷，应认定为一般缺陷：未构成重大缺陷、重要缺陷标准的其他内部控制缺陷。</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具有以下特征的缺陷，应认定为重大缺陷：</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①严重违反国家法律、行政法规和规范性文件；</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②涉及公司投资和生产经营的重要业务缺乏制度控制或制度系统失效；</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③信息披露内部控制失效，导致公司被监管部门公开谴责；</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④内部控制评价的结果特别是重大缺陷未得到整改；</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⑤关键岗位管理人员和技术人员流失严重；</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⑥媒体负面报道频现且负面影响一直未消除；</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⑦其他对公司产生重大负面影响的情形。</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具有以下特征的缺陷，应认定为重要缺陷：</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①重要业务制度或系统存在缺陷；</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②内部控制评价的结果特别是重要缺陷未得到整改；</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③关键岗位业务人员流失严重；</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④其他对公司产生较大负面影响的情形。</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具有以下特征的缺陷，应认定为一般缺陷：指除重大缺陷、重要缺陷之外的其他缺陷。</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定量标准</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1、重大缺陷：公司合并报表错报（包括漏报）重要程度的定量标准如下：错报≥净资产1.0%</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2、重要缺陷：净资产的0.5%≤错报＜净资产的1.0%</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3、一般缺陷：错报＜净资产的0.5%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1、重大缺陷：直接财产损失≥净资产的0.8%</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2、重要缺陷：净资产的0.4%≤直接财产损失＜净资产的0.8%</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3、一般缺陷：直接财产损失＜净资产的0.4%</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财务报告重大缺陷数量（个）</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非财务报告重大缺陷数量（个）</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财务报告重要缺陷数量（个）</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非财务报告重要缺陷数量（个）</w:t>
            </w:r>
          </w:p>
        </w:tc>
        <w:tc>
          <w:tcPr>
            <w:tcW w:w="6534"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A95787" w:rsidRDefault="005D3CC1">
      <w:pPr>
        <w:pStyle w:val="3"/>
        <w:spacing w:line="280" w:lineRule="exact"/>
        <w:jc w:val="left"/>
        <w:rPr>
          <w:rFonts w:ascii="宋体" w:hAnsi="宋体" w:cs="宋体"/>
          <w:b/>
          <w:bCs/>
        </w:rPr>
      </w:pPr>
      <w:bookmarkStart w:id="90" w:name="_Toc988975"/>
      <w:r>
        <w:rPr>
          <w:rFonts w:ascii="宋体" w:hAnsi="宋体" w:cs="宋体"/>
          <w:b/>
          <w:bCs/>
        </w:rPr>
        <w:lastRenderedPageBreak/>
        <w:t>2、内部控制审计报告</w:t>
      </w:r>
      <w:bookmarkEnd w:id="9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14"/>
      </w:tblGrid>
      <w:tr w:rsidR="00A95787">
        <w:trPr>
          <w:trHeight w:val="240"/>
        </w:trPr>
        <w:tc>
          <w:tcPr>
            <w:tcW w:w="96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内部控制审计报告中的审议意见段</w:t>
            </w:r>
          </w:p>
        </w:tc>
      </w:tr>
      <w:tr w:rsidR="00A95787">
        <w:trPr>
          <w:trHeight w:val="240"/>
        </w:trPr>
        <w:tc>
          <w:tcPr>
            <w:tcW w:w="9625"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中兴华所认为：公司于2024年12月31日按照《企业内部控制基本规范》和相关规定在所有重大方面保持了有效的财务报告内部控制。</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内控审计报告披露情况</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披露</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内部控制审计报告全文披露日期</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2025年04月29日</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内部控制审计报告全文披露索引</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中兴华所出具了《江苏华西村股份有限公司2024年度内部控制审计报告》，具体内容刊登于巨潮资讯网（http://www.cninfo.com.cn）</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内控审计报告意见类型</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标准无保留意见</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非财务报告是否存在重大缺陷</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会计师事务所是否出具非标准意见的内部控制审计报告</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会计师事务所出具的内部控制审计报告与董事会的自我评价报告意见是否一致</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95787" w:rsidRDefault="005D3CC1">
      <w:pPr>
        <w:pStyle w:val="2"/>
        <w:spacing w:before="300" w:after="300" w:line="320" w:lineRule="exact"/>
        <w:rPr>
          <w:rFonts w:ascii="宋体" w:eastAsia="宋体" w:hAnsi="宋体" w:cs="宋体"/>
          <w:b/>
          <w:bCs/>
          <w:sz w:val="24"/>
          <w:szCs w:val="24"/>
        </w:rPr>
      </w:pPr>
      <w:bookmarkStart w:id="91" w:name="_Toc988976"/>
      <w:r>
        <w:rPr>
          <w:rFonts w:ascii="宋体" w:eastAsia="宋体" w:hAnsi="宋体" w:cs="宋体"/>
          <w:b/>
          <w:bCs/>
          <w:sz w:val="24"/>
          <w:szCs w:val="24"/>
        </w:rPr>
        <w:t>十五、上市公司治理专项行动自查问题整改情况</w:t>
      </w:r>
      <w:bookmarkEnd w:id="91"/>
    </w:p>
    <w:p w:rsidR="00A95787" w:rsidRDefault="005D3CC1">
      <w:pPr>
        <w:pStyle w:val="a6"/>
        <w:rPr>
          <w:sz w:val="18"/>
          <w:szCs w:val="18"/>
        </w:rPr>
      </w:pPr>
      <w:r>
        <w:rPr>
          <w:rFonts w:hint="eastAsia"/>
          <w:sz w:val="18"/>
          <w:szCs w:val="18"/>
        </w:rPr>
        <w:t>不适用。</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92" w:name="_Toc988977"/>
      <w:r>
        <w:rPr>
          <w:rFonts w:ascii="宋体" w:eastAsia="宋体" w:hAnsi="宋体" w:cs="宋体"/>
          <w:b/>
          <w:bCs/>
          <w:sz w:val="32"/>
          <w:szCs w:val="32"/>
        </w:rPr>
        <w:lastRenderedPageBreak/>
        <w:t>第五节 环境和社会责任</w:t>
      </w:r>
      <w:bookmarkEnd w:id="92"/>
    </w:p>
    <w:p w:rsidR="00A95787" w:rsidRDefault="005D3CC1">
      <w:pPr>
        <w:pStyle w:val="2"/>
        <w:spacing w:before="300" w:after="300" w:line="320" w:lineRule="exact"/>
        <w:rPr>
          <w:rFonts w:ascii="宋体" w:eastAsia="宋体" w:hAnsi="宋体" w:cs="宋体"/>
          <w:b/>
          <w:bCs/>
          <w:sz w:val="24"/>
          <w:szCs w:val="24"/>
        </w:rPr>
      </w:pPr>
      <w:bookmarkStart w:id="93" w:name="_Toc988978"/>
      <w:r>
        <w:rPr>
          <w:rFonts w:ascii="宋体" w:eastAsia="宋体" w:hAnsi="宋体" w:cs="宋体"/>
          <w:b/>
          <w:bCs/>
          <w:sz w:val="24"/>
          <w:szCs w:val="24"/>
        </w:rPr>
        <w:t>一、重大环保问题</w:t>
      </w:r>
      <w:bookmarkEnd w:id="9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A95787" w:rsidRDefault="005D3CC1">
      <w:pPr>
        <w:pStyle w:val="a6"/>
        <w:spacing w:before="0" w:beforeAutospacing="0" w:after="0" w:afterAutospacing="0"/>
      </w:pPr>
      <w:r>
        <w:rPr>
          <w:rFonts w:hint="eastAsia"/>
          <w:sz w:val="18"/>
          <w:szCs w:val="18"/>
        </w:rPr>
        <w:t>根据所属行业要求，公司各下属分公司、子公司在自身生产过程中需执行的主要环保政策和行业标准如下：</w:t>
      </w:r>
    </w:p>
    <w:p w:rsidR="00A95787" w:rsidRDefault="005D3CC1">
      <w:pPr>
        <w:pStyle w:val="a6"/>
        <w:spacing w:before="0" w:beforeAutospacing="0" w:after="0" w:afterAutospacing="0"/>
      </w:pPr>
      <w:r>
        <w:rPr>
          <w:rFonts w:hint="eastAsia"/>
          <w:sz w:val="18"/>
          <w:szCs w:val="18"/>
        </w:rPr>
        <w:t>《锅炉大气污染物排放标准》（DB32/4385-2022）</w:t>
      </w:r>
    </w:p>
    <w:p w:rsidR="00A95787" w:rsidRDefault="005D3CC1">
      <w:pPr>
        <w:pStyle w:val="a6"/>
        <w:spacing w:before="0" w:beforeAutospacing="0" w:after="0" w:afterAutospacing="0"/>
      </w:pPr>
      <w:r>
        <w:rPr>
          <w:rFonts w:hint="eastAsia"/>
          <w:sz w:val="18"/>
          <w:szCs w:val="18"/>
        </w:rPr>
        <w:t>《大气污染物综合排放标准》（GB16297-1996)</w:t>
      </w:r>
    </w:p>
    <w:p w:rsidR="00A95787" w:rsidRDefault="005D3CC1">
      <w:pPr>
        <w:pStyle w:val="a6"/>
        <w:spacing w:before="0" w:beforeAutospacing="0" w:after="0" w:afterAutospacing="0"/>
      </w:pPr>
      <w:r>
        <w:rPr>
          <w:rFonts w:hint="eastAsia"/>
          <w:sz w:val="18"/>
          <w:szCs w:val="18"/>
        </w:rPr>
        <w:t>《合成树脂工业污染物排放标准》（GB31572-2015）</w:t>
      </w:r>
    </w:p>
    <w:p w:rsidR="00A95787" w:rsidRDefault="005D3CC1">
      <w:pPr>
        <w:pStyle w:val="a6"/>
        <w:spacing w:before="0" w:beforeAutospacing="0" w:after="0" w:afterAutospacing="0"/>
      </w:pPr>
      <w:r>
        <w:rPr>
          <w:rFonts w:hint="eastAsia"/>
          <w:sz w:val="18"/>
          <w:szCs w:val="18"/>
        </w:rPr>
        <w:t>《江苏省大气污染物综合排放标准》(DB32/4041-2021）</w:t>
      </w:r>
    </w:p>
    <w:p w:rsidR="00A95787" w:rsidRDefault="005D3CC1">
      <w:pPr>
        <w:pStyle w:val="a6"/>
        <w:spacing w:before="0" w:beforeAutospacing="0" w:after="0" w:afterAutospacing="0"/>
      </w:pPr>
      <w:r>
        <w:rPr>
          <w:rFonts w:hint="eastAsia"/>
          <w:sz w:val="18"/>
          <w:szCs w:val="18"/>
        </w:rPr>
        <w:t>《污水排入城镇下水道水质标准》（GB/T 31962-2015）</w:t>
      </w:r>
    </w:p>
    <w:p w:rsidR="00A95787" w:rsidRDefault="005D3CC1">
      <w:pPr>
        <w:pStyle w:val="a6"/>
        <w:spacing w:before="0" w:beforeAutospacing="0" w:after="0" w:afterAutospacing="0"/>
      </w:pPr>
      <w:r>
        <w:rPr>
          <w:rFonts w:hint="eastAsia"/>
          <w:sz w:val="18"/>
          <w:szCs w:val="18"/>
        </w:rPr>
        <w:t>《污水综合排放标准》（GB8978-1996）</w:t>
      </w:r>
    </w:p>
    <w:p w:rsidR="00A95787" w:rsidRDefault="005D3CC1">
      <w:pPr>
        <w:pStyle w:val="a6"/>
        <w:spacing w:before="0" w:beforeAutospacing="0" w:after="0" w:afterAutospacing="0"/>
      </w:pPr>
      <w:r>
        <w:rPr>
          <w:rFonts w:hint="eastAsia"/>
          <w:sz w:val="18"/>
          <w:szCs w:val="18"/>
        </w:rPr>
        <w:t>《工业企业厂界环境噪声排放标准》（GB12348-2008）</w:t>
      </w:r>
    </w:p>
    <w:p w:rsidR="00A95787" w:rsidRDefault="005D3CC1">
      <w:pPr>
        <w:pStyle w:val="a6"/>
        <w:spacing w:before="0" w:beforeAutospacing="0" w:after="0" w:afterAutospacing="0"/>
      </w:pPr>
      <w:r>
        <w:rPr>
          <w:rFonts w:hint="eastAsia"/>
          <w:sz w:val="18"/>
          <w:szCs w:val="18"/>
        </w:rPr>
        <w:t>《聚酯涤纶单位产品能源消耗限额》（GB36889-2018）</w:t>
      </w:r>
    </w:p>
    <w:p w:rsidR="00A95787" w:rsidRDefault="005D3CC1">
      <w:pPr>
        <w:pStyle w:val="a6"/>
        <w:spacing w:before="0" w:beforeAutospacing="0" w:after="0" w:afterAutospacing="0"/>
      </w:pPr>
      <w:r>
        <w:rPr>
          <w:rFonts w:hint="eastAsia"/>
          <w:sz w:val="18"/>
          <w:szCs w:val="18"/>
        </w:rPr>
        <w:t>《合成纤维制造业（聚酯涤纶）清洁生产评价指标体系》</w:t>
      </w:r>
    </w:p>
    <w:p w:rsidR="00A95787" w:rsidRDefault="005D3CC1">
      <w:pPr>
        <w:pStyle w:val="a6"/>
        <w:spacing w:before="0" w:beforeAutospacing="0" w:after="0" w:afterAutospacing="0"/>
      </w:pPr>
      <w:r>
        <w:rPr>
          <w:rFonts w:hint="eastAsia"/>
          <w:sz w:val="18"/>
          <w:szCs w:val="18"/>
        </w:rPr>
        <w:t>《挥发性有机物无组织排放控制标准》（GB37822-2019）</w:t>
      </w:r>
    </w:p>
    <w:p w:rsidR="00A95787" w:rsidRDefault="005D3CC1">
      <w:pPr>
        <w:pStyle w:val="a6"/>
        <w:spacing w:before="0" w:beforeAutospacing="0" w:after="0" w:afterAutospacing="0"/>
      </w:pPr>
      <w:r>
        <w:rPr>
          <w:rFonts w:hint="eastAsia"/>
        </w:rPr>
        <w:t> </w:t>
      </w:r>
    </w:p>
    <w:p w:rsidR="00A95787" w:rsidRDefault="005D3CC1">
      <w:pPr>
        <w:pStyle w:val="a6"/>
        <w:spacing w:before="0" w:beforeAutospacing="0" w:after="0" w:afterAutospacing="0"/>
        <w:rPr>
          <w:sz w:val="18"/>
          <w:szCs w:val="18"/>
        </w:rPr>
      </w:pPr>
      <w:r>
        <w:rPr>
          <w:sz w:val="18"/>
          <w:szCs w:val="18"/>
        </w:rPr>
        <w:t>环境保护行政许可情况</w:t>
      </w:r>
    </w:p>
    <w:p w:rsidR="00A95787" w:rsidRDefault="005D3CC1">
      <w:pPr>
        <w:pStyle w:val="a6"/>
        <w:spacing w:before="0" w:beforeAutospacing="0" w:after="0" w:afterAutospacing="0"/>
        <w:rPr>
          <w:sz w:val="18"/>
          <w:szCs w:val="18"/>
        </w:rPr>
      </w:pPr>
      <w:r>
        <w:rPr>
          <w:rFonts w:hint="eastAsia"/>
          <w:sz w:val="18"/>
          <w:szCs w:val="18"/>
        </w:rPr>
        <w:t>化纤厂已取得排污许可证，证书编号：913202817241961689001Q，发证主体：无锡市生态环境局，发证日期：2023年11月，有效期至2028年11月。</w:t>
      </w:r>
    </w:p>
    <w:p w:rsidR="00A95787" w:rsidRDefault="005D3CC1">
      <w:pPr>
        <w:pStyle w:val="a6"/>
        <w:spacing w:before="0" w:beforeAutospacing="0" w:after="0" w:afterAutospacing="0"/>
        <w:rPr>
          <w:sz w:val="18"/>
          <w:szCs w:val="18"/>
        </w:rPr>
      </w:pPr>
      <w:r>
        <w:rPr>
          <w:rFonts w:hint="eastAsia"/>
          <w:sz w:val="18"/>
          <w:szCs w:val="18"/>
        </w:rPr>
        <w:t>华西码头已取得固定污染源排放登记，登记编号：913202817357138107001Z，发证机构：中华人民共和国生态环境部，发证日期：2020年4月，有效期至2025年4月。</w:t>
      </w:r>
    </w:p>
    <w:p w:rsidR="00A95787" w:rsidRDefault="00A95787">
      <w:pPr>
        <w:pStyle w:val="a6"/>
        <w:spacing w:before="0" w:beforeAutospacing="0" w:after="0" w:afterAutospacing="0"/>
        <w:rPr>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8"/>
        <w:gridCol w:w="877"/>
        <w:gridCol w:w="877"/>
        <w:gridCol w:w="876"/>
        <w:gridCol w:w="876"/>
        <w:gridCol w:w="876"/>
        <w:gridCol w:w="876"/>
        <w:gridCol w:w="876"/>
        <w:gridCol w:w="876"/>
        <w:gridCol w:w="876"/>
        <w:gridCol w:w="971"/>
      </w:tblGrid>
      <w:tr w:rsidR="00A95787">
        <w:trPr>
          <w:trHeight w:val="240"/>
        </w:trPr>
        <w:tc>
          <w:tcPr>
            <w:tcW w:w="7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排放浓度/强度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9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70" w:lineRule="exact"/>
              <w:jc w:val="center"/>
              <w:rPr>
                <w:rFonts w:ascii="宋体" w:eastAsia="宋体" w:hAnsi="宋体" w:cs="宋体"/>
                <w:sz w:val="18"/>
                <w:szCs w:val="18"/>
              </w:rPr>
            </w:pPr>
            <w:r>
              <w:rPr>
                <w:rFonts w:ascii="宋体" w:eastAsia="宋体" w:hAnsi="宋体" w:cs="宋体"/>
                <w:sz w:val="18"/>
                <w:szCs w:val="18"/>
              </w:rPr>
              <w:t>超标排放情况</w:t>
            </w:r>
          </w:p>
        </w:tc>
      </w:tr>
      <w:tr w:rsidR="00A95787">
        <w:trPr>
          <w:trHeight w:val="240"/>
        </w:trPr>
        <w:tc>
          <w:tcPr>
            <w:tcW w:w="7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废气</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锅炉废气：颗粒物 氮氧化物 二氧化硫  烟气黑度</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低氮燃烧处理后直接排放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烟尘≤50㎎/Nm3；氮氧化物≤50㎎/Nm3；二氧化硫≤35㎎/Nm3；烟气黑度 1级</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《锅炉大气污染物排放标准》DB32/4385-2022</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全年排放氮氧化物10.5232吨</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氮氧化物全年总量20.845吨</w:t>
            </w:r>
          </w:p>
        </w:tc>
        <w:tc>
          <w:tcPr>
            <w:tcW w:w="9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70" w:lineRule="exact"/>
              <w:rPr>
                <w:rFonts w:ascii="宋体" w:eastAsia="宋体" w:hAnsi="宋体" w:cs="宋体"/>
                <w:sz w:val="18"/>
                <w:szCs w:val="18"/>
              </w:rPr>
            </w:pPr>
            <w:r>
              <w:rPr>
                <w:rFonts w:ascii="宋体" w:eastAsia="宋体" w:hAnsi="宋体" w:cs="宋体"/>
                <w:sz w:val="18"/>
                <w:szCs w:val="18"/>
              </w:rPr>
              <w:t>未超标</w:t>
            </w:r>
          </w:p>
        </w:tc>
      </w:tr>
      <w:tr w:rsidR="00A95787">
        <w:trPr>
          <w:trHeight w:val="240"/>
        </w:trPr>
        <w:tc>
          <w:tcPr>
            <w:tcW w:w="7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lastRenderedPageBreak/>
              <w:t>江苏华西村股份有限公司特种化纤厂</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废气</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车间废气：挥发性有机物 颗粒物</w:t>
            </w:r>
          </w:p>
          <w:p w:rsidR="00A95787" w:rsidRDefault="005D3CC1">
            <w:pPr>
              <w:spacing w:line="248" w:lineRule="exact"/>
              <w:rPr>
                <w:rFonts w:ascii="宋体" w:eastAsia="宋体" w:hAnsi="宋体" w:cs="宋体"/>
                <w:sz w:val="18"/>
                <w:szCs w:val="18"/>
              </w:rPr>
            </w:pPr>
            <w:r>
              <w:rPr>
                <w:rFonts w:ascii="宋体" w:eastAsia="宋体" w:hAnsi="宋体" w:cs="宋体"/>
                <w:sz w:val="18"/>
                <w:szCs w:val="18"/>
              </w:rPr>
              <w:t>乙醛</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挥发性有机物≤60㎎/Nm3；颗粒物≤20㎎/Nm3</w:t>
            </w:r>
          </w:p>
          <w:p w:rsidR="00A95787" w:rsidRDefault="005D3CC1">
            <w:pPr>
              <w:spacing w:line="248" w:lineRule="exact"/>
              <w:rPr>
                <w:rFonts w:ascii="宋体" w:eastAsia="宋体" w:hAnsi="宋体" w:cs="宋体"/>
                <w:sz w:val="18"/>
                <w:szCs w:val="18"/>
              </w:rPr>
            </w:pPr>
            <w:r>
              <w:rPr>
                <w:rFonts w:ascii="宋体" w:eastAsia="宋体" w:hAnsi="宋体" w:cs="宋体"/>
                <w:sz w:val="18"/>
                <w:szCs w:val="18"/>
              </w:rPr>
              <w:t>；乙醛≤20㎎/Nm3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《合成树脂工业污染物排放标准》GB31572-2015</w:t>
            </w:r>
          </w:p>
          <w:p w:rsidR="00A95787" w:rsidRDefault="005D3CC1">
            <w:pPr>
              <w:spacing w:line="248" w:lineRule="exact"/>
              <w:rPr>
                <w:rFonts w:ascii="宋体" w:eastAsia="宋体" w:hAnsi="宋体" w:cs="宋体"/>
                <w:sz w:val="18"/>
                <w:szCs w:val="18"/>
              </w:rPr>
            </w:pPr>
            <w:r>
              <w:rPr>
                <w:rFonts w:ascii="宋体" w:eastAsia="宋体" w:hAnsi="宋体" w:cs="宋体"/>
                <w:sz w:val="18"/>
                <w:szCs w:val="18"/>
              </w:rPr>
              <w:t>《大气污染物综合排放标准》GB16297-1996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全年排放VOC量0.0224吨</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VOC全年总量0.90017吨</w:t>
            </w:r>
          </w:p>
        </w:tc>
        <w:tc>
          <w:tcPr>
            <w:tcW w:w="9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未超标</w:t>
            </w:r>
          </w:p>
        </w:tc>
      </w:tr>
      <w:tr w:rsidR="00A95787">
        <w:trPr>
          <w:trHeight w:val="240"/>
        </w:trPr>
        <w:tc>
          <w:tcPr>
            <w:tcW w:w="7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废水</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排放口在厂区污水站区</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总磷≤8㎎/L；化学需氧量≤500㎎/L；石油类≤30㎎/L；PH值6-9；氨氮≤20㎎/L；总氮 ≤70㎎/L；悬浮物≤400㎎/L</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 xml:space="preserve">《污水排入城镇下水道水质标准》GB/T31962-2015  </w:t>
            </w:r>
          </w:p>
          <w:p w:rsidR="00A95787" w:rsidRDefault="005D3CC1">
            <w:pPr>
              <w:spacing w:line="248"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全年排放废水31,720吨</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废水全年排放总量89,190吨</w:t>
            </w:r>
          </w:p>
        </w:tc>
        <w:tc>
          <w:tcPr>
            <w:tcW w:w="9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未超标</w:t>
            </w:r>
          </w:p>
        </w:tc>
      </w:tr>
      <w:tr w:rsidR="00A95787">
        <w:trPr>
          <w:trHeight w:val="240"/>
        </w:trPr>
        <w:tc>
          <w:tcPr>
            <w:tcW w:w="7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废气</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废气：非甲烷总烃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废气处理后直接排放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非甲烷总烃：≤60mg/Nm3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全年排放非甲烷总烃220吨</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非甲烷总烃年排放312.3吨</w:t>
            </w:r>
          </w:p>
        </w:tc>
        <w:tc>
          <w:tcPr>
            <w:tcW w:w="9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未超标</w:t>
            </w:r>
          </w:p>
        </w:tc>
      </w:tr>
      <w:tr w:rsidR="00A95787">
        <w:trPr>
          <w:trHeight w:val="240"/>
        </w:trPr>
        <w:tc>
          <w:tcPr>
            <w:tcW w:w="7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废水</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工艺废水：COD、BOD、氨氮、总磷、总氮、色度、PH值</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经污水预处理站处理后排放到园区光大水务污水处理厂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排放口位于罐区六西侧围墙外</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COD：≤500mg/l；BOD：≤300mg/l；总氮：≤40mg/l；总磷：≤2mg/l；氨氮：≤35mg/l</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全年废水排放量17,100吨</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废水年排放总量：32,860吨</w:t>
            </w:r>
          </w:p>
        </w:tc>
        <w:tc>
          <w:tcPr>
            <w:tcW w:w="9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rPr>
                <w:rFonts w:ascii="宋体" w:eastAsia="宋体" w:hAnsi="宋体" w:cs="宋体"/>
                <w:sz w:val="18"/>
                <w:szCs w:val="18"/>
              </w:rPr>
            </w:pPr>
            <w:r>
              <w:rPr>
                <w:rFonts w:ascii="宋体" w:eastAsia="宋体" w:hAnsi="宋体" w:cs="宋体"/>
                <w:sz w:val="18"/>
                <w:szCs w:val="18"/>
              </w:rPr>
              <w:t>未超标</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对污染物的处理</w:t>
      </w:r>
    </w:p>
    <w:p w:rsidR="00A95787" w:rsidRDefault="005D3CC1">
      <w:pPr>
        <w:pStyle w:val="a6"/>
        <w:spacing w:before="0" w:beforeAutospacing="0" w:after="0" w:afterAutospacing="0" w:line="276" w:lineRule="auto"/>
        <w:jc w:val="both"/>
      </w:pPr>
      <w:r>
        <w:rPr>
          <w:rFonts w:hint="eastAsia"/>
          <w:sz w:val="18"/>
          <w:szCs w:val="18"/>
        </w:rPr>
        <w:t>  化纤厂对污染物的处理：</w:t>
      </w:r>
    </w:p>
    <w:p w:rsidR="00A95787" w:rsidRDefault="005D3CC1">
      <w:pPr>
        <w:pStyle w:val="a6"/>
        <w:spacing w:before="0" w:beforeAutospacing="0" w:after="0" w:afterAutospacing="0" w:line="276" w:lineRule="auto"/>
        <w:jc w:val="both"/>
      </w:pPr>
      <w:r>
        <w:rPr>
          <w:rFonts w:hint="eastAsia"/>
          <w:sz w:val="18"/>
          <w:szCs w:val="18"/>
        </w:rPr>
        <w:t>  聚酯废气采用喷淋+过滤+催化燃烧方式处置后达标排放；</w:t>
      </w:r>
    </w:p>
    <w:p w:rsidR="00A95787" w:rsidRDefault="005D3CC1">
      <w:pPr>
        <w:pStyle w:val="a6"/>
        <w:spacing w:before="0" w:beforeAutospacing="0" w:after="0" w:afterAutospacing="0" w:line="276" w:lineRule="auto"/>
        <w:jc w:val="both"/>
      </w:pPr>
      <w:r>
        <w:rPr>
          <w:rFonts w:hint="eastAsia"/>
          <w:sz w:val="18"/>
          <w:szCs w:val="18"/>
        </w:rPr>
        <w:t>  纺丝废气采用喷淋除雾+高压静电方式处置后达标排放；</w:t>
      </w:r>
    </w:p>
    <w:p w:rsidR="00A95787" w:rsidRDefault="005D3CC1">
      <w:pPr>
        <w:pStyle w:val="a6"/>
        <w:spacing w:before="0" w:beforeAutospacing="0" w:after="0" w:afterAutospacing="0" w:line="276" w:lineRule="auto"/>
        <w:jc w:val="both"/>
      </w:pPr>
      <w:r>
        <w:rPr>
          <w:rFonts w:hint="eastAsia"/>
          <w:sz w:val="18"/>
          <w:szCs w:val="18"/>
        </w:rPr>
        <w:t>  污水处理站废气采用废气收集+双碱喷淋+生物除臭方式处置后达标排放；</w:t>
      </w:r>
    </w:p>
    <w:p w:rsidR="00A95787" w:rsidRDefault="005D3CC1">
      <w:pPr>
        <w:pStyle w:val="a6"/>
        <w:spacing w:before="0" w:beforeAutospacing="0" w:after="0" w:afterAutospacing="0" w:line="276" w:lineRule="auto"/>
        <w:jc w:val="both"/>
      </w:pPr>
      <w:r>
        <w:rPr>
          <w:rFonts w:hint="eastAsia"/>
          <w:sz w:val="18"/>
          <w:szCs w:val="18"/>
        </w:rPr>
        <w:t>  生产废水采用集水池调节+气浮+分配池+厌氧+活性污泥+二沉池方式处置后进清水池，部分清水采用中水回用系统产合格水，用于生产水补充，剩余清水接管污水厂处置。</w:t>
      </w:r>
    </w:p>
    <w:p w:rsidR="00A95787" w:rsidRDefault="005D3CC1">
      <w:pPr>
        <w:pStyle w:val="a6"/>
        <w:spacing w:before="0" w:beforeAutospacing="0" w:after="0" w:afterAutospacing="0" w:line="276" w:lineRule="auto"/>
        <w:jc w:val="both"/>
      </w:pPr>
      <w:r>
        <w:rPr>
          <w:rFonts w:hint="eastAsia"/>
          <w:sz w:val="18"/>
          <w:szCs w:val="18"/>
        </w:rPr>
        <w:t> </w:t>
      </w:r>
    </w:p>
    <w:p w:rsidR="00A95787" w:rsidRDefault="005D3CC1">
      <w:pPr>
        <w:pStyle w:val="a6"/>
        <w:spacing w:before="0" w:beforeAutospacing="0" w:after="0" w:afterAutospacing="0" w:line="276" w:lineRule="auto"/>
      </w:pPr>
      <w:r>
        <w:rPr>
          <w:rFonts w:hint="eastAsia"/>
          <w:sz w:val="18"/>
          <w:szCs w:val="18"/>
        </w:rPr>
        <w:t>  华西码头对污染物的处理：</w:t>
      </w:r>
    </w:p>
    <w:p w:rsidR="00A95787" w:rsidRDefault="005D3CC1" w:rsidP="00346A24">
      <w:pPr>
        <w:pStyle w:val="a6"/>
        <w:spacing w:before="0" w:beforeAutospacing="0" w:after="0" w:afterAutospacing="0" w:line="276" w:lineRule="auto"/>
        <w:jc w:val="both"/>
      </w:pPr>
      <w:r>
        <w:rPr>
          <w:rFonts w:hint="eastAsia"/>
          <w:sz w:val="18"/>
          <w:szCs w:val="18"/>
        </w:rPr>
        <w:t>  华西码头建有污水处理装置一套，对生产污水进行厌氧和好氧处理后，排放到园区指定污水处理站，污水管线上安装自动切断阀，在线监测仪等相关设备设施。</w:t>
      </w:r>
    </w:p>
    <w:p w:rsidR="00A95787" w:rsidRDefault="005D3CC1" w:rsidP="00346A24">
      <w:pPr>
        <w:pStyle w:val="a6"/>
        <w:spacing w:before="0" w:beforeAutospacing="0" w:after="0" w:afterAutospacing="0" w:line="276" w:lineRule="auto"/>
        <w:ind w:firstLine="360"/>
        <w:jc w:val="both"/>
        <w:rPr>
          <w:sz w:val="18"/>
          <w:szCs w:val="18"/>
        </w:rPr>
      </w:pPr>
      <w:r>
        <w:rPr>
          <w:rFonts w:hint="eastAsia"/>
          <w:sz w:val="18"/>
          <w:szCs w:val="18"/>
        </w:rPr>
        <w:t>华西码头建有冷凝装置两座，一套树脂装置。一套冷凝装置为装卸车台及码头服务，另一套为罐区服务。罐区、发货台和码头的装卸货废气通过密闭管线收集到冷凝装置，经过冷凝后进入树脂装置进行吸附后排放。</w:t>
      </w:r>
    </w:p>
    <w:p w:rsidR="00A95787" w:rsidRDefault="00A95787">
      <w:pPr>
        <w:pStyle w:val="a6"/>
        <w:spacing w:before="0" w:beforeAutospacing="0" w:after="0" w:afterAutospacing="0" w:line="276" w:lineRule="auto"/>
        <w:ind w:firstLine="360"/>
      </w:pPr>
    </w:p>
    <w:p w:rsidR="00A95787" w:rsidRDefault="005D3CC1">
      <w:pPr>
        <w:pStyle w:val="a6"/>
        <w:spacing w:before="0" w:beforeAutospacing="0" w:after="0" w:afterAutospacing="0" w:line="276" w:lineRule="auto"/>
        <w:ind w:firstLine="360"/>
        <w:rPr>
          <w:sz w:val="18"/>
          <w:szCs w:val="18"/>
        </w:rPr>
      </w:pPr>
      <w:r>
        <w:rPr>
          <w:sz w:val="18"/>
          <w:szCs w:val="18"/>
        </w:rPr>
        <w:t>突发环境事件应急预案：</w:t>
      </w:r>
    </w:p>
    <w:p w:rsidR="00A95787" w:rsidRDefault="005D3CC1" w:rsidP="00346A24">
      <w:pPr>
        <w:pStyle w:val="a6"/>
        <w:spacing w:before="0" w:beforeAutospacing="0" w:after="0" w:afterAutospacing="0" w:line="276" w:lineRule="auto"/>
        <w:ind w:firstLine="360"/>
        <w:jc w:val="both"/>
        <w:rPr>
          <w:sz w:val="18"/>
          <w:szCs w:val="18"/>
        </w:rPr>
      </w:pPr>
      <w:r>
        <w:rPr>
          <w:rFonts w:hint="eastAsia"/>
          <w:sz w:val="18"/>
          <w:szCs w:val="18"/>
        </w:rPr>
        <w:t>化纤厂已编制《突发环境事件应急预案》，并在江阴市环境应急与事故调查中心通过备案，备案编号：320281-2022-521-L。</w:t>
      </w:r>
    </w:p>
    <w:p w:rsidR="00A95787" w:rsidRDefault="005D3CC1">
      <w:pPr>
        <w:pStyle w:val="a6"/>
        <w:spacing w:before="0" w:beforeAutospacing="0" w:after="0" w:afterAutospacing="0" w:line="276" w:lineRule="auto"/>
        <w:ind w:firstLine="360"/>
        <w:rPr>
          <w:sz w:val="18"/>
          <w:szCs w:val="18"/>
        </w:rPr>
      </w:pPr>
      <w:r>
        <w:rPr>
          <w:rFonts w:hint="eastAsia"/>
          <w:sz w:val="18"/>
          <w:szCs w:val="18"/>
        </w:rPr>
        <w:t>华西码头已编制《突发环境事件应急预案》，并在江阴市环境应急与事故调查中心通过备案，备案编号：320281-2022-254-H。</w:t>
      </w:r>
    </w:p>
    <w:p w:rsidR="00A95787" w:rsidRDefault="00A95787">
      <w:pPr>
        <w:pStyle w:val="a6"/>
        <w:spacing w:before="0" w:beforeAutospacing="0" w:after="0" w:afterAutospacing="0" w:line="276" w:lineRule="auto"/>
        <w:ind w:firstLine="360"/>
        <w:rPr>
          <w:sz w:val="18"/>
          <w:szCs w:val="18"/>
        </w:rPr>
      </w:pPr>
    </w:p>
    <w:p w:rsidR="00A95787" w:rsidRDefault="005D3CC1">
      <w:pPr>
        <w:pStyle w:val="a6"/>
        <w:spacing w:before="0" w:beforeAutospacing="0" w:after="0" w:afterAutospacing="0" w:line="276" w:lineRule="auto"/>
        <w:ind w:firstLine="360"/>
        <w:rPr>
          <w:sz w:val="18"/>
          <w:szCs w:val="18"/>
        </w:rPr>
      </w:pPr>
      <w:r>
        <w:rPr>
          <w:sz w:val="18"/>
          <w:szCs w:val="18"/>
        </w:rPr>
        <w:t>环境自行监测方案：</w:t>
      </w:r>
    </w:p>
    <w:p w:rsidR="00A95787" w:rsidRDefault="005D3CC1" w:rsidP="00346A24">
      <w:pPr>
        <w:pStyle w:val="a6"/>
        <w:spacing w:before="0" w:beforeAutospacing="0" w:after="0" w:afterAutospacing="0" w:line="276" w:lineRule="auto"/>
        <w:ind w:firstLine="360"/>
        <w:jc w:val="both"/>
        <w:rPr>
          <w:sz w:val="18"/>
          <w:szCs w:val="18"/>
        </w:rPr>
      </w:pPr>
      <w:r>
        <w:rPr>
          <w:rFonts w:hint="eastAsia"/>
          <w:sz w:val="18"/>
          <w:szCs w:val="18"/>
        </w:rPr>
        <w:t>公司依据《排污单位自行监测技术指南 总则》（HJ819-2017）、企业建设项目自查评估报告等，每年制定自行监测方案，并报属地生态环境管理部门。</w:t>
      </w:r>
    </w:p>
    <w:p w:rsidR="00A95787" w:rsidRDefault="00A95787">
      <w:pPr>
        <w:pStyle w:val="a6"/>
        <w:spacing w:before="0" w:beforeAutospacing="0" w:after="0" w:afterAutospacing="0" w:line="276" w:lineRule="auto"/>
        <w:ind w:firstLine="360"/>
        <w:rPr>
          <w:sz w:val="18"/>
          <w:szCs w:val="18"/>
        </w:rPr>
      </w:pPr>
    </w:p>
    <w:p w:rsidR="00A95787" w:rsidRDefault="005D3CC1">
      <w:pPr>
        <w:pStyle w:val="a6"/>
        <w:spacing w:before="0" w:beforeAutospacing="0" w:after="0" w:afterAutospacing="0" w:line="276" w:lineRule="auto"/>
        <w:ind w:firstLine="360"/>
        <w:rPr>
          <w:sz w:val="18"/>
          <w:szCs w:val="18"/>
        </w:rPr>
      </w:pPr>
      <w:r>
        <w:rPr>
          <w:sz w:val="18"/>
          <w:szCs w:val="18"/>
        </w:rPr>
        <w:t>环境治理和保护的投入及缴纳环境保护税的相关情况：</w:t>
      </w:r>
    </w:p>
    <w:p w:rsidR="00A95787" w:rsidRDefault="005D3CC1" w:rsidP="00346A24">
      <w:pPr>
        <w:pStyle w:val="a6"/>
        <w:spacing w:before="0" w:beforeAutospacing="0" w:after="0" w:afterAutospacing="0" w:line="276" w:lineRule="auto"/>
        <w:ind w:firstLine="360"/>
        <w:jc w:val="both"/>
        <w:rPr>
          <w:sz w:val="18"/>
          <w:szCs w:val="18"/>
        </w:rPr>
      </w:pPr>
      <w:r>
        <w:rPr>
          <w:rFonts w:hint="eastAsia"/>
          <w:sz w:val="18"/>
          <w:szCs w:val="18"/>
        </w:rPr>
        <w:t>面对现有环保形势，公司始终站在可持续发展的高度，重视环境保护工作。报告期内，化纤厂依据《排污许可证管理办法（试行）》及相关文件等，对生产设施产生的排放污染源进行收集治理，按排污许可证要求安装在线监控，并与环保平台联网，实时上传数据。2024年度化纤厂环保共计投入约660万元。</w:t>
      </w:r>
    </w:p>
    <w:p w:rsidR="00A95787" w:rsidRDefault="005D3CC1" w:rsidP="00346A24">
      <w:pPr>
        <w:pStyle w:val="a6"/>
        <w:spacing w:before="0" w:beforeAutospacing="0" w:after="0" w:afterAutospacing="0" w:line="276" w:lineRule="auto"/>
        <w:ind w:firstLine="360"/>
        <w:jc w:val="both"/>
        <w:rPr>
          <w:sz w:val="18"/>
          <w:szCs w:val="18"/>
        </w:rPr>
      </w:pPr>
      <w:r>
        <w:rPr>
          <w:rFonts w:hint="eastAsia"/>
          <w:sz w:val="18"/>
          <w:szCs w:val="18"/>
        </w:rPr>
        <w:t>报告期内，华西码头根据环保法律法规的要求，积极对库区应急池进行建新改旧，目前库区应急池已达3,300立方米；对库区雨排口进行升级改造，安装了COD、挥发酚、PH等在线监测仪，并将监测数据接入属地化工园区监管平台。2024年度华西码头环保投入金额达500多万元。</w:t>
      </w:r>
    </w:p>
    <w:p w:rsidR="00A95787" w:rsidRDefault="005D3CC1">
      <w:pPr>
        <w:pStyle w:val="a6"/>
        <w:spacing w:before="0" w:beforeAutospacing="0" w:after="0" w:afterAutospacing="0" w:line="276" w:lineRule="auto"/>
        <w:ind w:firstLine="360"/>
        <w:rPr>
          <w:sz w:val="18"/>
          <w:szCs w:val="18"/>
        </w:rPr>
      </w:pPr>
      <w:r>
        <w:rPr>
          <w:rFonts w:hint="eastAsia"/>
          <w:sz w:val="18"/>
          <w:szCs w:val="18"/>
        </w:rPr>
        <w:t>报告期公司实际缴纳环境保护税3.79万元。</w:t>
      </w:r>
    </w:p>
    <w:p w:rsidR="00A95787" w:rsidRDefault="00A95787">
      <w:pPr>
        <w:pStyle w:val="a6"/>
        <w:spacing w:before="0" w:beforeAutospacing="0" w:after="0" w:afterAutospacing="0" w:line="276" w:lineRule="auto"/>
        <w:ind w:firstLine="360"/>
        <w:rPr>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hint="eastAsia"/>
          <w:sz w:val="18"/>
          <w:szCs w:val="18"/>
        </w:rPr>
        <w:t>报告期内，公司没有因环保问题受到行政处罚的情况。</w:t>
      </w:r>
    </w:p>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其他应当公开的环境信息</w:t>
      </w:r>
    </w:p>
    <w:p w:rsidR="00A95787" w:rsidRDefault="005D3CC1">
      <w:pPr>
        <w:pStyle w:val="a6"/>
        <w:rPr>
          <w:sz w:val="18"/>
          <w:szCs w:val="18"/>
        </w:rPr>
      </w:pPr>
      <w:r>
        <w:rPr>
          <w:rFonts w:hint="eastAsia"/>
          <w:sz w:val="18"/>
          <w:szCs w:val="18"/>
        </w:rPr>
        <w:t>无。</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A95787" w:rsidRDefault="005D3CC1">
      <w:pPr>
        <w:pStyle w:val="a6"/>
        <w:rPr>
          <w:sz w:val="18"/>
          <w:szCs w:val="18"/>
        </w:rPr>
      </w:pPr>
      <w:r>
        <w:rPr>
          <w:rFonts w:hint="eastAsia"/>
          <w:sz w:val="18"/>
          <w:szCs w:val="18"/>
        </w:rPr>
        <w:t>无。</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上市公司发生环境事故的相关情况</w:t>
      </w:r>
    </w:p>
    <w:p w:rsidR="00A95787" w:rsidRDefault="005D3CC1">
      <w:pPr>
        <w:pStyle w:val="a6"/>
        <w:rPr>
          <w:sz w:val="18"/>
          <w:szCs w:val="18"/>
        </w:rPr>
      </w:pPr>
      <w:r>
        <w:rPr>
          <w:rFonts w:hint="eastAsia"/>
          <w:sz w:val="18"/>
          <w:szCs w:val="18"/>
        </w:rPr>
        <w:t>报告期内，公司未发生重大环境污染事故，没有因环保问题受到行政处罚的情形。</w:t>
      </w:r>
    </w:p>
    <w:p w:rsidR="00A95787" w:rsidRDefault="005D3CC1">
      <w:pPr>
        <w:pStyle w:val="2"/>
        <w:spacing w:before="300" w:after="300" w:line="320" w:lineRule="exact"/>
        <w:rPr>
          <w:rFonts w:ascii="宋体" w:eastAsia="宋体" w:hAnsi="宋体" w:cs="宋体"/>
          <w:b/>
          <w:bCs/>
          <w:sz w:val="24"/>
          <w:szCs w:val="24"/>
        </w:rPr>
      </w:pPr>
      <w:bookmarkStart w:id="94" w:name="_Toc988979"/>
      <w:r>
        <w:rPr>
          <w:rFonts w:ascii="宋体" w:eastAsia="宋体" w:hAnsi="宋体" w:cs="宋体"/>
          <w:b/>
          <w:bCs/>
          <w:sz w:val="24"/>
          <w:szCs w:val="24"/>
        </w:rPr>
        <w:t>二、社会责任情况</w:t>
      </w:r>
      <w:bookmarkEnd w:id="94"/>
    </w:p>
    <w:p w:rsidR="00A95787" w:rsidRDefault="005D3CC1">
      <w:pPr>
        <w:pStyle w:val="a6"/>
        <w:spacing w:before="0" w:beforeAutospacing="0" w:after="0" w:afterAutospacing="0" w:line="300" w:lineRule="auto"/>
        <w:ind w:firstLine="289"/>
        <w:jc w:val="both"/>
      </w:pPr>
      <w:r>
        <w:rPr>
          <w:rFonts w:hint="eastAsia"/>
          <w:sz w:val="18"/>
          <w:szCs w:val="18"/>
        </w:rPr>
        <w:t>报告期内，公司严格按照《公司法》《证券法》《深圳证券交易所股票上市规则》等法律法规、部门规章和《公司章程》的规定，规范公司治理结构和建立健全内部控制制度。公司将履行社会责任与日常经营活动紧密结合，重视保护股东、职工、供应商和客户等的合法权益，积极参与环境保护等工作，努力实现经济效益、社会效益和环境效益共赢，促进公司与社会的协调、和谐发展。</w:t>
      </w:r>
    </w:p>
    <w:p w:rsidR="00A95787" w:rsidRDefault="005D3CC1">
      <w:pPr>
        <w:pStyle w:val="a6"/>
        <w:spacing w:before="0" w:beforeAutospacing="0" w:after="0" w:afterAutospacing="0" w:line="300" w:lineRule="auto"/>
        <w:ind w:firstLine="289"/>
        <w:jc w:val="both"/>
      </w:pPr>
      <w:r>
        <w:rPr>
          <w:rFonts w:hint="eastAsia"/>
          <w:sz w:val="18"/>
          <w:szCs w:val="18"/>
        </w:rPr>
        <w:t>（1）股东权益保护</w:t>
      </w:r>
    </w:p>
    <w:p w:rsidR="00A95787" w:rsidRDefault="005D3CC1">
      <w:pPr>
        <w:pStyle w:val="a6"/>
        <w:spacing w:before="0" w:beforeAutospacing="0" w:after="0" w:afterAutospacing="0" w:line="300" w:lineRule="auto"/>
        <w:ind w:firstLine="289"/>
        <w:jc w:val="both"/>
      </w:pPr>
      <w:r>
        <w:rPr>
          <w:rFonts w:hint="eastAsia"/>
          <w:sz w:val="18"/>
          <w:szCs w:val="18"/>
        </w:rPr>
        <w:t>公司严格按照《公司法》《证券法》等相关法律、法规的要求，结合公司的实际情况，不断健全、完善公司法人治理结构和内部控制制度，充分保障投资者的各项权益。公司已建立了较为完善的内控体系，形成了以股东大会、董事会、监事会及管理层为主体结构的决策与经营体系，规范公司运作；公司严格按照相关法律、法规、规范性文件及公司制度的规定，认真履行信息披露义务，通过指定媒体向广大投资者披露公司重大信息，确保广大投资者能够全面了解公司的运营情况，做出合理的投资决策。公司还为投资者提供了多元化的沟通渠道，通过热线电话、电子邮件、深交所互动易平台、网上业绩说明会、现场调研等方式保持与广大投资者良性互动。</w:t>
      </w:r>
    </w:p>
    <w:p w:rsidR="00A95787" w:rsidRDefault="005D3CC1">
      <w:pPr>
        <w:pStyle w:val="a6"/>
        <w:spacing w:before="0" w:beforeAutospacing="0" w:after="0" w:afterAutospacing="0" w:line="300" w:lineRule="auto"/>
        <w:ind w:firstLine="289"/>
        <w:jc w:val="both"/>
      </w:pPr>
      <w:r>
        <w:rPr>
          <w:rFonts w:hint="eastAsia"/>
          <w:sz w:val="18"/>
          <w:szCs w:val="18"/>
        </w:rPr>
        <w:t>建立合理的分红政策，是公司回报股东的重要方式。报告期内，公司根据自身的发展需要和经营状况，制定并实施了年度及半年度分红计划，确保股东能够分享公司发展的成果。</w:t>
      </w:r>
    </w:p>
    <w:p w:rsidR="00A95787" w:rsidRDefault="005D3CC1">
      <w:pPr>
        <w:pStyle w:val="a6"/>
        <w:spacing w:before="0" w:beforeAutospacing="0" w:after="0" w:afterAutospacing="0" w:line="300" w:lineRule="auto"/>
        <w:ind w:firstLine="289"/>
        <w:jc w:val="both"/>
      </w:pPr>
      <w:r>
        <w:rPr>
          <w:rFonts w:hint="eastAsia"/>
          <w:sz w:val="18"/>
          <w:szCs w:val="18"/>
        </w:rPr>
        <w:t>（2）职工权益保护</w:t>
      </w:r>
    </w:p>
    <w:p w:rsidR="00A95787" w:rsidRDefault="005D3CC1">
      <w:pPr>
        <w:pStyle w:val="a6"/>
        <w:spacing w:before="0" w:beforeAutospacing="0" w:after="0" w:afterAutospacing="0" w:line="300" w:lineRule="auto"/>
        <w:ind w:firstLine="289"/>
        <w:jc w:val="both"/>
      </w:pPr>
      <w:r>
        <w:rPr>
          <w:rFonts w:hint="eastAsia"/>
          <w:sz w:val="18"/>
          <w:szCs w:val="18"/>
        </w:rPr>
        <w:t>公司严格遵守国家劳动法律法规，与职工签订劳动合同，明确双方的权利和义务。公司已建立了较为完善的薪酬考核体系，将员工的收入与贡献有效结合，提升了员工的工作积极性；公司积极开展员工职业技能培训，提升员工职业发展空间；公司围绕落实安全生产责任，强化安全生产管理，努力为职工创造良好的工作环境。</w:t>
      </w:r>
    </w:p>
    <w:p w:rsidR="00A95787" w:rsidRDefault="005D3CC1">
      <w:pPr>
        <w:pStyle w:val="a6"/>
        <w:spacing w:before="0" w:beforeAutospacing="0" w:after="0" w:afterAutospacing="0" w:line="300" w:lineRule="auto"/>
        <w:ind w:firstLine="289"/>
        <w:jc w:val="both"/>
      </w:pPr>
      <w:r>
        <w:rPr>
          <w:rFonts w:hint="eastAsia"/>
          <w:sz w:val="18"/>
          <w:szCs w:val="18"/>
        </w:rPr>
        <w:t>（3）供应商及客户权益保护</w:t>
      </w:r>
    </w:p>
    <w:p w:rsidR="00A95787" w:rsidRDefault="005D3CC1">
      <w:pPr>
        <w:pStyle w:val="a6"/>
        <w:spacing w:before="0" w:beforeAutospacing="0" w:after="0" w:afterAutospacing="0" w:line="300" w:lineRule="auto"/>
        <w:ind w:firstLine="289"/>
        <w:jc w:val="both"/>
      </w:pPr>
      <w:r>
        <w:rPr>
          <w:rFonts w:hint="eastAsia"/>
          <w:sz w:val="18"/>
          <w:szCs w:val="18"/>
        </w:rPr>
        <w:t>公司始终坚持诚信经营的原则，与客户和供应商建立长期稳定、互利共赢的合作关系。在合作过程中，遵守合同约定，按时履行义务，确保交易的公平、公正、公开。</w:t>
      </w:r>
    </w:p>
    <w:p w:rsidR="00A95787" w:rsidRDefault="005D3CC1">
      <w:pPr>
        <w:pStyle w:val="a6"/>
        <w:spacing w:before="0" w:beforeAutospacing="0" w:after="0" w:afterAutospacing="0" w:line="300" w:lineRule="auto"/>
        <w:ind w:firstLine="289"/>
        <w:jc w:val="both"/>
      </w:pPr>
      <w:r>
        <w:rPr>
          <w:rFonts w:hint="eastAsia"/>
          <w:sz w:val="18"/>
          <w:szCs w:val="18"/>
        </w:rPr>
        <w:t>公司高度重视产品质量和服务水平的提升，满足客户的需求和期望。建立完善的质量管理体系，加强对产品生产、销售、售后等全过程的质量控制，确保产品质量安全可靠。同时，优化服务流程，提高服务效率，及时解决客户的问题和投诉，提升客户满意度。报告期内，公司获评质量信誉AA级企业。</w:t>
      </w:r>
    </w:p>
    <w:p w:rsidR="00A95787" w:rsidRDefault="005D3CC1">
      <w:pPr>
        <w:pStyle w:val="a6"/>
        <w:spacing w:before="0" w:beforeAutospacing="0" w:after="0" w:afterAutospacing="0" w:line="300" w:lineRule="auto"/>
        <w:ind w:firstLine="289"/>
        <w:jc w:val="both"/>
      </w:pPr>
      <w:r>
        <w:rPr>
          <w:rFonts w:hint="eastAsia"/>
          <w:sz w:val="18"/>
          <w:szCs w:val="18"/>
        </w:rPr>
        <w:t>（4）环境保护与可持续发展</w:t>
      </w:r>
    </w:p>
    <w:p w:rsidR="00A95787" w:rsidRDefault="005D3CC1">
      <w:pPr>
        <w:pStyle w:val="a6"/>
        <w:spacing w:before="0" w:beforeAutospacing="0" w:after="0" w:afterAutospacing="0" w:line="300" w:lineRule="auto"/>
        <w:ind w:firstLine="289"/>
        <w:jc w:val="both"/>
        <w:rPr>
          <w:sz w:val="18"/>
          <w:szCs w:val="18"/>
        </w:rPr>
      </w:pPr>
      <w:r>
        <w:rPr>
          <w:rFonts w:hint="eastAsia"/>
          <w:sz w:val="18"/>
          <w:szCs w:val="18"/>
        </w:rPr>
        <w:lastRenderedPageBreak/>
        <w:t>当前，国内环保政策的导向是加强生态文明建设、推进绿色低碳发展。公司将环境保护纳入日常运营中，通过加大对环保技术研发和设备改造等投入，减少污染物排放，降低能源消耗，推动经济、社会和环境的协调发展。报告期内，公司通过了Ecovadis企业社会责任银牌认证。</w:t>
      </w:r>
    </w:p>
    <w:p w:rsidR="00A95787" w:rsidRDefault="00A95787">
      <w:pPr>
        <w:pStyle w:val="a6"/>
        <w:spacing w:before="0" w:beforeAutospacing="0" w:after="0" w:afterAutospacing="0" w:line="276" w:lineRule="auto"/>
        <w:ind w:firstLine="288"/>
        <w:jc w:val="both"/>
      </w:pPr>
    </w:p>
    <w:p w:rsidR="00A95787" w:rsidRDefault="005D3CC1">
      <w:pPr>
        <w:spacing w:before="100" w:after="100" w:line="276" w:lineRule="auto"/>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a6"/>
        <w:spacing w:line="276" w:lineRule="auto"/>
        <w:rPr>
          <w:sz w:val="18"/>
          <w:szCs w:val="18"/>
        </w:rPr>
      </w:pPr>
      <w:r>
        <w:rPr>
          <w:rFonts w:hint="eastAsia"/>
          <w:sz w:val="18"/>
          <w:szCs w:val="18"/>
        </w:rPr>
        <w:t>  报告期内，公司安全管理相关内部控制制度建设完善，运行情况良好，没有发生重大安全事故。</w:t>
      </w:r>
    </w:p>
    <w:p w:rsidR="00A95787" w:rsidRDefault="005D3CC1">
      <w:pPr>
        <w:pStyle w:val="2"/>
        <w:spacing w:before="300" w:after="300" w:line="320" w:lineRule="exact"/>
        <w:rPr>
          <w:rFonts w:ascii="宋体" w:eastAsia="宋体" w:hAnsi="宋体" w:cs="宋体"/>
          <w:b/>
          <w:bCs/>
          <w:sz w:val="24"/>
          <w:szCs w:val="24"/>
        </w:rPr>
      </w:pPr>
      <w:bookmarkStart w:id="95" w:name="_Toc988980"/>
      <w:r>
        <w:rPr>
          <w:rFonts w:ascii="宋体" w:eastAsia="宋体" w:hAnsi="宋体" w:cs="宋体"/>
          <w:b/>
          <w:bCs/>
          <w:sz w:val="24"/>
          <w:szCs w:val="24"/>
        </w:rPr>
        <w:t>三、巩固拓展脱贫攻坚成果、乡村振兴的情况</w:t>
      </w:r>
      <w:bookmarkEnd w:id="95"/>
    </w:p>
    <w:p w:rsidR="00A95787" w:rsidRDefault="005D3CC1">
      <w:pPr>
        <w:pStyle w:val="a6"/>
        <w:rPr>
          <w:sz w:val="18"/>
          <w:szCs w:val="18"/>
        </w:rPr>
      </w:pPr>
      <w:r>
        <w:rPr>
          <w:rFonts w:hint="eastAsia"/>
          <w:sz w:val="18"/>
          <w:szCs w:val="18"/>
        </w:rPr>
        <w:t>无。</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96" w:name="_Toc988981"/>
      <w:r>
        <w:rPr>
          <w:rFonts w:ascii="宋体" w:eastAsia="宋体" w:hAnsi="宋体" w:cs="宋体"/>
          <w:b/>
          <w:bCs/>
          <w:sz w:val="32"/>
          <w:szCs w:val="32"/>
        </w:rPr>
        <w:lastRenderedPageBreak/>
        <w:t>第六节 重要事项</w:t>
      </w:r>
      <w:bookmarkEnd w:id="96"/>
    </w:p>
    <w:p w:rsidR="00A95787" w:rsidRDefault="005D3CC1">
      <w:pPr>
        <w:pStyle w:val="2"/>
        <w:spacing w:before="300" w:after="300" w:line="320" w:lineRule="exact"/>
        <w:rPr>
          <w:rFonts w:ascii="宋体" w:eastAsia="宋体" w:hAnsi="宋体" w:cs="宋体"/>
          <w:b/>
          <w:bCs/>
          <w:sz w:val="24"/>
          <w:szCs w:val="24"/>
        </w:rPr>
      </w:pPr>
      <w:bookmarkStart w:id="97" w:name="_Toc988982"/>
      <w:r>
        <w:rPr>
          <w:rFonts w:ascii="宋体" w:eastAsia="宋体" w:hAnsi="宋体" w:cs="宋体"/>
          <w:b/>
          <w:bCs/>
          <w:sz w:val="24"/>
          <w:szCs w:val="24"/>
        </w:rPr>
        <w:t>一、承诺事项履行情况</w:t>
      </w:r>
      <w:bookmarkEnd w:id="97"/>
    </w:p>
    <w:p w:rsidR="00A95787" w:rsidRDefault="005D3CC1">
      <w:pPr>
        <w:pStyle w:val="3"/>
        <w:spacing w:line="280" w:lineRule="exact"/>
        <w:jc w:val="left"/>
        <w:rPr>
          <w:rFonts w:ascii="宋体" w:hAnsi="宋体" w:cs="宋体"/>
          <w:b/>
          <w:bCs/>
        </w:rPr>
      </w:pPr>
      <w:bookmarkStart w:id="98" w:name="_Toc988983"/>
      <w:r>
        <w:rPr>
          <w:rFonts w:ascii="宋体" w:hAnsi="宋体" w:cs="宋体"/>
          <w:b/>
          <w:bCs/>
        </w:rPr>
        <w:t>1、公司实际控制人、股东、关联方、收购人以及公司等承诺相关方在报告期内履行完毕及截至报告期末尚未履行完毕的承诺事项</w:t>
      </w:r>
      <w:bookmarkEnd w:id="9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75"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93"/>
        <w:gridCol w:w="999"/>
        <w:gridCol w:w="1134"/>
        <w:gridCol w:w="2410"/>
        <w:gridCol w:w="1134"/>
        <w:gridCol w:w="1208"/>
        <w:gridCol w:w="1497"/>
      </w:tblGrid>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承诺事由</w:t>
            </w:r>
          </w:p>
        </w:tc>
        <w:tc>
          <w:tcPr>
            <w:tcW w:w="99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承诺类型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承诺时间</w:t>
            </w:r>
          </w:p>
        </w:tc>
        <w:tc>
          <w:tcPr>
            <w:tcW w:w="12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承诺期限</w:t>
            </w:r>
          </w:p>
        </w:tc>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jc w:val="center"/>
              <w:rPr>
                <w:rFonts w:ascii="宋体" w:eastAsia="宋体" w:hAnsi="宋体" w:cs="宋体"/>
                <w:sz w:val="18"/>
                <w:szCs w:val="18"/>
              </w:rPr>
            </w:pPr>
            <w:r>
              <w:rPr>
                <w:rFonts w:ascii="宋体" w:eastAsia="宋体" w:hAnsi="宋体" w:cs="宋体"/>
                <w:sz w:val="18"/>
                <w:szCs w:val="18"/>
              </w:rPr>
              <w:t>履行情况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t>收购报告书或权益变动报告书中所作承诺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江阴市国资办</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避免同业竞争承诺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1、截至本承诺函出具日，收购人及收购人的关联方不存在以任何形式参与或从事与上市公司及其子公司构成或可能构成直接或间接竞争关系的生产经营业务或活动。</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收购人作为上市公司实际控制人期间，将依法采取必要及可能的措施来避免发生与上市公司主营业务有同业竞争及利益冲突的业务或活动，并促使收购人除上市公司及其子公司以外其他下属公司避免发生与上市公司主营业务有同业竞争及利益冲突的业务或活动。</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3、如收购人违反本承诺函而给上市公司及其控制企业造成实际损失的，由收购人承担赔偿责任。</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2024年10月24日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t>收购报告书或权益变动报告书中所作承诺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江阴市国资办</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规范关联交易的承诺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1、除已经披露的收购人及其关联方与上市公司及其控制、参股公司之间的交易外，不存在其他关联交易。</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收购人及其关联方将尽量避免与上市公司及其控制、参股公司之间产生关联交易事项；对于不可避免发生的关联业务往来或交易，将在平等、自愿的基础上，按照公平、公允和等价有偿的原则进行，交易价格按照市场公认的合理价格确定。</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3、收购人将严格遵守上市公司公司章程等规范性文件中关于关联交易事项的回避规定，所涉及的关联交易均将按照规定的决策程序进</w:t>
            </w:r>
            <w:r>
              <w:rPr>
                <w:rFonts w:ascii="宋体" w:eastAsia="宋体" w:hAnsi="宋体" w:cs="宋体"/>
                <w:sz w:val="18"/>
                <w:szCs w:val="18"/>
              </w:rPr>
              <w:lastRenderedPageBreak/>
              <w:t>行，并将履行合法程序，及时对关联交易事项进行信息披露；不利用关联交易转移、输送利益、损害上市公司及其他股东的合法权益。</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4、如收购人违反本承诺函而给上市公司及其控制企业造成实际损失的，由收购人承担赔偿责任。</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lastRenderedPageBreak/>
              <w:t>2024年10月24日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lastRenderedPageBreak/>
              <w:t>收购报告书或权益变动报告书中所作承诺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江阴市国资办</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保证公司独立性的承诺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一、保证上市公司人员独立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1、保证上市公司的总经理、副总经理、财务总监、董事会秘书等高级管理人员在上市公司专职工作并领取薪酬，不在收购人及收购人控制的其他企业中担任除董事、监事以外的职务。</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2、保证上市公司保持完整且独立的劳动、人事及薪酬管理体系，该等体系与收购人及收购人控制的其他企业之间完全独立。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二、保证上市公司资产独立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1、保证上市公司的资产全部处于上市公司的控制之下，并为上市公司独立拥有和运营，收购人及收购人控制的其他企业不以任何方式违法违规占用上市公司的资金、资产及其他资源。</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2、保证不以上市公司的资产为收购人及收购人控制的其他企业的债务违规提供担保。</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三、保证上市公司财务独立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1、保证上市公司建立独立的财务部门和独立的财务核算体系。</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2、保证上市公司具有规范、独立的财务会计制度。</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3、保证上市公司独立在银行开户，不与收购人共用银行账户。</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4、保证上市公司的财务人员独立，不在收购人及收购人控制的其他企业中兼职或领取报酬。</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5、保证上市公司依法独立纳税。</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6、保证上市公司能够独立作出财务决策，收购人及收</w:t>
            </w:r>
            <w:r>
              <w:rPr>
                <w:rFonts w:ascii="宋体" w:eastAsia="宋体" w:hAnsi="宋体" w:cs="宋体"/>
                <w:sz w:val="18"/>
                <w:szCs w:val="18"/>
              </w:rPr>
              <w:lastRenderedPageBreak/>
              <w:t>购人控制的其他企业不通过违法违规的方式干预上市公司的资金使用。</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四、保证上市公司机构独立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1、保证上市公司依法建立健全股份公司法人治理结构，拥有独立、完整的组织机构。</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2、保证上市公司的股东大会、董事会、独立董事、监事会、高级管理人员等依照法律、法规和公司章程独立行使职权。</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3、保证上市公司拥有独立、完整的组织机构，与收购人及收购人控制的其他企业间不存在机构混同的情形。</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五、保证上市公司业务独立</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1、保证上市公司拥有独立开展经营活动的资产、人员、资质和能力，具有面向市场独立自主持续经营的能力。</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2、收购人除通过行使股东权利之外，不对上市公司的业务活动进行干预。</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3、收购人及收购人控制的其他企业不从事与上市公司构成实质性同业竞争的业务和经营。</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4、保证规范管理上市公司之间的关联交易。对于无法避免或有合理原因及正常经营所需而发生的关联交易则按照公开、公平、公正的原则依法进行。</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lastRenderedPageBreak/>
              <w:t>2024年10月24日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lastRenderedPageBreak/>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华西集团</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避免同业竞争承诺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作为拟建立的江苏华西村股份有限公司的控股股东，本集团公司（含本集团公司全资、控股企业）保证不从事该股份公司的现有业务和该股份公司将从事的业务，不从事其他与该股份公司有直接和间接竞争之业务。</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1998年12月31日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华西集团</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避免同业竞争、减少关联交易承诺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A、本集团公司与贵公司不存在同业竞争。保证在今后的业务中，避免与贵公司同业竞争，即本集团公司包括本集团公司的全资和控股公司及本集团公司具有实际控</w:t>
            </w:r>
            <w:r>
              <w:rPr>
                <w:rFonts w:ascii="宋体" w:eastAsia="宋体" w:hAnsi="宋体" w:cs="宋体"/>
                <w:sz w:val="18"/>
                <w:szCs w:val="18"/>
              </w:rPr>
              <w:lastRenderedPageBreak/>
              <w:t>制权的公司不会以任何形式从事与贵公司相同或相似的业务。</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B、本集团公司如从事新的业务，则有义务就新业务通知贵公司。如该新业务可能构成与贵公司的同业竞争，本集团公司在贵公司提出异议后，即应终止该业务。如贵公司认为该新业务有利于贵公司发展，则本集团公司同意无条件将该业务转给贵公司经营。</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C、如贵公司认定本集团公司现有业务与贵公司存在同业竞争，则本集团公司承诺，本集团公司将在贵公司提出异议后及时转让或终止上述业务。如贵公司提出受让请求，则本集团公司应无条件按经有证券从业资格的中介机构评估后的公允价格将上述业务和资产优先转让给贵公司。</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D、在贵公司认定是否与本集团公司存在同业竞争的董事会或股东会上，本集团公司承诺，本集团公司及与本集团公司有关的董事将予回避，不参与表决。</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E、本集团公司应尽量减少与贵公司的关联交易，对于无法避免的任何业务往来交易均应按照公平、公允和等价有偿的原则进行，交易价格应按市场原则确定。在贵公司董事会和股东会就关联交易进行审议表决时，本集团公司及与本集团公司有关的董事将予回避。</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lastRenderedPageBreak/>
              <w:t>2001年09月11日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0C3681">
            <w:pPr>
              <w:spacing w:before="40" w:after="40" w:line="276" w:lineRule="auto"/>
              <w:rPr>
                <w:rFonts w:ascii="宋体" w:eastAsia="宋体" w:hAnsi="宋体" w:cs="宋体"/>
                <w:sz w:val="18"/>
                <w:szCs w:val="18"/>
              </w:rPr>
            </w:pPr>
            <w:r>
              <w:rPr>
                <w:rFonts w:ascii="宋体" w:eastAsia="宋体" w:hAnsi="宋体" w:cs="宋体"/>
                <w:sz w:val="18"/>
                <w:szCs w:val="18"/>
              </w:rPr>
              <w:lastRenderedPageBreak/>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华西集团</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避免同业竞争承诺</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1、本集团公司及控制的下属企业自本承诺函出具之日起，未来不会从事并购投资、私募股权投资和资产管理业务。对于华西股份战略性投资的行业或标的，本集团公司及控制的下属企业未来不会从事投资同一行业领域、同一标的企业或同一项目的情形；对于华西股份财务性投资的标的，本集团公</w:t>
            </w:r>
            <w:r>
              <w:rPr>
                <w:rFonts w:ascii="宋体" w:eastAsia="宋体" w:hAnsi="宋体" w:cs="宋体"/>
                <w:sz w:val="18"/>
                <w:szCs w:val="18"/>
              </w:rPr>
              <w:lastRenderedPageBreak/>
              <w:t>司及控制的下属企业未来不会从事投资同一标的企业或同一项目的情形。</w:t>
            </w:r>
          </w:p>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2、自本承诺函出具之日起，上市公司如因本集团公司违反本承诺任何条款而遭受或产生的损失或开支，本集团公司将予以全额赔偿。本承诺函在上市公司合法有效存续且本集团公司作为上市公司控股股东（直接或间接）或实际控制人期间持续有效。</w:t>
            </w:r>
          </w:p>
        </w:tc>
        <w:tc>
          <w:tcPr>
            <w:tcW w:w="1134"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lastRenderedPageBreak/>
              <w:t>2020年05月29日</w:t>
            </w:r>
          </w:p>
        </w:tc>
        <w:tc>
          <w:tcPr>
            <w:tcW w:w="1208"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长期有效</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rsidP="000C3681">
            <w:pPr>
              <w:spacing w:line="276" w:lineRule="auto"/>
              <w:rPr>
                <w:rFonts w:ascii="宋体" w:eastAsia="宋体" w:hAnsi="宋体" w:cs="宋体"/>
                <w:sz w:val="18"/>
                <w:szCs w:val="18"/>
              </w:rPr>
            </w:pPr>
            <w:r>
              <w:rPr>
                <w:rFonts w:ascii="宋体" w:eastAsia="宋体" w:hAnsi="宋体" w:cs="宋体"/>
                <w:sz w:val="18"/>
                <w:szCs w:val="18"/>
              </w:rPr>
              <w:t>正在履行，无违反承诺情况</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承诺是否按时履行</w:t>
            </w:r>
          </w:p>
        </w:tc>
        <w:tc>
          <w:tcPr>
            <w:tcW w:w="8382" w:type="dxa"/>
            <w:gridSpan w:val="6"/>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如承诺超期未履行完毕的，应当详细说明未完成履行的具体原因及下一步的工作计划</w:t>
            </w:r>
          </w:p>
        </w:tc>
        <w:tc>
          <w:tcPr>
            <w:tcW w:w="8382" w:type="dxa"/>
            <w:gridSpan w:val="6"/>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A95787" w:rsidRDefault="005D3CC1">
      <w:pPr>
        <w:pStyle w:val="3"/>
        <w:spacing w:line="280" w:lineRule="exact"/>
        <w:jc w:val="left"/>
        <w:rPr>
          <w:rFonts w:ascii="宋体" w:hAnsi="宋体" w:cs="宋体"/>
          <w:b/>
          <w:bCs/>
        </w:rPr>
      </w:pPr>
      <w:bookmarkStart w:id="99" w:name="_Toc988984"/>
      <w:r>
        <w:rPr>
          <w:rFonts w:ascii="宋体" w:hAnsi="宋体" w:cs="宋体"/>
          <w:b/>
          <w:bCs/>
        </w:rPr>
        <w:t>2、公司资产或项目存在盈利预测，且报告期仍处在盈利预测期间，公司就资产或项目达到原盈利预测及其原因做出说明</w:t>
      </w:r>
      <w:bookmarkEnd w:id="9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00" w:name="_Toc988985"/>
      <w:r>
        <w:rPr>
          <w:rFonts w:ascii="宋体" w:eastAsia="宋体" w:hAnsi="宋体" w:cs="宋体"/>
          <w:b/>
          <w:bCs/>
          <w:sz w:val="24"/>
          <w:szCs w:val="24"/>
        </w:rPr>
        <w:t>二、控股股东及其他关联方对上市公司的非经营性占用资金情况</w:t>
      </w:r>
      <w:bookmarkEnd w:id="10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A95787" w:rsidRDefault="005D3CC1">
      <w:pPr>
        <w:pStyle w:val="2"/>
        <w:spacing w:before="300" w:after="300" w:line="320" w:lineRule="exact"/>
        <w:rPr>
          <w:rFonts w:ascii="宋体" w:eastAsia="宋体" w:hAnsi="宋体" w:cs="宋体"/>
          <w:b/>
          <w:bCs/>
          <w:sz w:val="24"/>
          <w:szCs w:val="24"/>
        </w:rPr>
      </w:pPr>
      <w:bookmarkStart w:id="101" w:name="_Toc988986"/>
      <w:r>
        <w:rPr>
          <w:rFonts w:ascii="宋体" w:eastAsia="宋体" w:hAnsi="宋体" w:cs="宋体"/>
          <w:b/>
          <w:bCs/>
          <w:sz w:val="24"/>
          <w:szCs w:val="24"/>
        </w:rPr>
        <w:t>三、违规对外担保情况</w:t>
      </w:r>
      <w:bookmarkEnd w:id="101"/>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A95787" w:rsidRDefault="005D3CC1">
      <w:pPr>
        <w:pStyle w:val="2"/>
        <w:spacing w:before="300" w:after="300" w:line="320" w:lineRule="exact"/>
        <w:rPr>
          <w:rFonts w:ascii="宋体" w:eastAsia="宋体" w:hAnsi="宋体" w:cs="宋体"/>
          <w:b/>
          <w:bCs/>
          <w:sz w:val="24"/>
          <w:szCs w:val="24"/>
        </w:rPr>
      </w:pPr>
      <w:bookmarkStart w:id="102" w:name="_Toc988987"/>
      <w:r>
        <w:rPr>
          <w:rFonts w:ascii="宋体" w:eastAsia="宋体" w:hAnsi="宋体" w:cs="宋体"/>
          <w:b/>
          <w:bCs/>
          <w:sz w:val="24"/>
          <w:szCs w:val="24"/>
        </w:rPr>
        <w:t>四、董事会对最近一期“非标准审计报告”相关情况的说明</w:t>
      </w:r>
      <w:bookmarkEnd w:id="10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03" w:name="_Toc988988"/>
      <w:r>
        <w:rPr>
          <w:rFonts w:ascii="宋体" w:eastAsia="宋体" w:hAnsi="宋体" w:cs="宋体"/>
          <w:b/>
          <w:bCs/>
          <w:sz w:val="24"/>
          <w:szCs w:val="24"/>
        </w:rPr>
        <w:t>五、董事会、监事会、独立董事（如有）对会计师事务所本报告期“非标准审计报告”的说明</w:t>
      </w:r>
      <w:bookmarkEnd w:id="10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04" w:name="_Toc988989"/>
      <w:r>
        <w:rPr>
          <w:rFonts w:ascii="宋体" w:eastAsia="宋体" w:hAnsi="宋体" w:cs="宋体"/>
          <w:b/>
          <w:bCs/>
          <w:sz w:val="24"/>
          <w:szCs w:val="24"/>
        </w:rPr>
        <w:lastRenderedPageBreak/>
        <w:t xml:space="preserve">六、与上年度财务报告相比，会计政策、会计估计变更或重大会计差错更正的情况说明 </w:t>
      </w:r>
      <w:bookmarkEnd w:id="10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0" w:beforeAutospacing="0" w:after="0" w:afterAutospacing="0" w:line="276" w:lineRule="auto"/>
        <w:ind w:firstLine="360"/>
        <w:jc w:val="both"/>
        <w:rPr>
          <w:rFonts w:ascii="Calibri" w:hAnsi="Calibri" w:cs="Calibri"/>
          <w:sz w:val="20"/>
          <w:szCs w:val="20"/>
        </w:rPr>
      </w:pPr>
      <w:r>
        <w:rPr>
          <w:rFonts w:cs="Calibri" w:hint="eastAsia"/>
          <w:color w:val="000000"/>
          <w:sz w:val="18"/>
          <w:szCs w:val="18"/>
        </w:rPr>
        <w:t>2023年10月，财政部发布了《企业会计准则解释第17号》，规定了“关于流动负债与非流动负债的划分”、“关于供应商融资安排的披露”、“关于售后租回交易的会计处理”的相关内容，本公司自2024年1月1日起执行该规定。 </w:t>
      </w:r>
    </w:p>
    <w:p w:rsidR="00A95787" w:rsidRDefault="005D3CC1">
      <w:pPr>
        <w:pStyle w:val="a6"/>
        <w:spacing w:before="0" w:beforeAutospacing="0" w:after="0" w:afterAutospacing="0" w:line="276" w:lineRule="auto"/>
        <w:ind w:firstLine="360"/>
        <w:jc w:val="both"/>
        <w:rPr>
          <w:rFonts w:ascii="Calibri" w:hAnsi="Calibri" w:cs="Calibri"/>
          <w:sz w:val="20"/>
          <w:szCs w:val="20"/>
        </w:rPr>
      </w:pPr>
      <w:r>
        <w:rPr>
          <w:rFonts w:cs="Calibri" w:hint="eastAsia"/>
          <w:color w:val="000000"/>
          <w:sz w:val="18"/>
          <w:szCs w:val="18"/>
        </w:rPr>
        <w:t>2024年12月，财政部发布了《企业会计准则解释第18号》，规定对不属于单项履约义务的保证类质量保证产生的预计负债，应当按确定的金额计入“主营业务成本”和“其他业务成本”等科目，本公司自印发之日起执行该规定。</w:t>
      </w:r>
    </w:p>
    <w:p w:rsidR="00A95787" w:rsidRDefault="005D3CC1">
      <w:pPr>
        <w:pStyle w:val="a6"/>
        <w:spacing w:before="0" w:beforeAutospacing="0" w:after="0" w:afterAutospacing="0" w:line="276" w:lineRule="auto"/>
        <w:ind w:firstLine="360"/>
        <w:jc w:val="both"/>
        <w:rPr>
          <w:rFonts w:ascii="Calibri" w:hAnsi="Calibri" w:cs="Calibri"/>
          <w:sz w:val="20"/>
          <w:szCs w:val="20"/>
        </w:rPr>
      </w:pPr>
      <w:r>
        <w:rPr>
          <w:rFonts w:cs="Calibri" w:hint="eastAsia"/>
          <w:sz w:val="18"/>
          <w:szCs w:val="18"/>
        </w:rPr>
        <w:t>上述会计政策变更未对本报告期财务报表产生重大影响。</w:t>
      </w:r>
    </w:p>
    <w:p w:rsidR="00A95787" w:rsidRDefault="005D3CC1">
      <w:pPr>
        <w:pStyle w:val="2"/>
        <w:spacing w:before="300" w:after="300" w:line="320" w:lineRule="exact"/>
        <w:rPr>
          <w:rFonts w:ascii="宋体" w:eastAsia="宋体" w:hAnsi="宋体" w:cs="宋体"/>
          <w:b/>
          <w:bCs/>
          <w:sz w:val="24"/>
          <w:szCs w:val="24"/>
        </w:rPr>
      </w:pPr>
      <w:bookmarkStart w:id="105" w:name="_Toc988990"/>
      <w:r>
        <w:rPr>
          <w:rFonts w:ascii="宋体" w:eastAsia="宋体" w:hAnsi="宋体" w:cs="宋体"/>
          <w:b/>
          <w:bCs/>
          <w:sz w:val="24"/>
          <w:szCs w:val="24"/>
        </w:rPr>
        <w:t>七、与上年度财务报告相比，合并报表范围发生变化的情况说明</w:t>
      </w:r>
      <w:bookmarkEnd w:id="10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公司报告期无合并报表范围发生变化的情况。</w:t>
      </w:r>
    </w:p>
    <w:p w:rsidR="00A95787" w:rsidRDefault="005D3CC1">
      <w:pPr>
        <w:pStyle w:val="2"/>
        <w:spacing w:before="300" w:after="300" w:line="320" w:lineRule="exact"/>
        <w:rPr>
          <w:rFonts w:ascii="宋体" w:eastAsia="宋体" w:hAnsi="宋体" w:cs="宋体"/>
          <w:b/>
          <w:bCs/>
          <w:sz w:val="24"/>
          <w:szCs w:val="24"/>
        </w:rPr>
      </w:pPr>
      <w:bookmarkStart w:id="106" w:name="_Toc988991"/>
      <w:r>
        <w:rPr>
          <w:rFonts w:ascii="宋体" w:eastAsia="宋体" w:hAnsi="宋体" w:cs="宋体"/>
          <w:b/>
          <w:bCs/>
          <w:sz w:val="24"/>
          <w:szCs w:val="24"/>
        </w:rPr>
        <w:t>八、聘任、解聘会计师事务所情况</w:t>
      </w:r>
      <w:bookmarkEnd w:id="10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现聘任的会计师事务所</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14"/>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境内会计师事务所名称</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境内会计师事务所报酬（万元）</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92</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境内会计师事务所审计服务的连续年限</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3年</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境内会计师事务所注册会计师姓名</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卓丹  苏寒天</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境内会计师事务所注册会计师审计服务的连续年限</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当期是否改聘会计师事务所</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聘请内部控制审计会计师事务所、财务顾问或保荐人情况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jc w:val="both"/>
        <w:rPr>
          <w:rFonts w:ascii="Times New Roman" w:hAnsi="Times New Roman" w:cs="Times New Roman"/>
        </w:rPr>
      </w:pPr>
      <w:r>
        <w:rPr>
          <w:rFonts w:cs="Times New Roman" w:hint="eastAsia"/>
          <w:color w:val="000000"/>
          <w:sz w:val="18"/>
          <w:szCs w:val="18"/>
        </w:rPr>
        <w:t>报告期内，公司续聘中兴华所为公司内部控制审计机构，2024年度财务报表、内部控制审计费用合计为92万元，其中内部控制审计费用为20万元。</w:t>
      </w:r>
    </w:p>
    <w:p w:rsidR="00A95787" w:rsidRDefault="005D3CC1">
      <w:pPr>
        <w:pStyle w:val="2"/>
        <w:spacing w:before="300" w:after="300" w:line="320" w:lineRule="exact"/>
        <w:rPr>
          <w:rFonts w:ascii="宋体" w:eastAsia="宋体" w:hAnsi="宋体" w:cs="宋体"/>
          <w:b/>
          <w:bCs/>
          <w:sz w:val="24"/>
          <w:szCs w:val="24"/>
        </w:rPr>
      </w:pPr>
      <w:bookmarkStart w:id="107" w:name="_Toc988992"/>
      <w:r>
        <w:rPr>
          <w:rFonts w:ascii="宋体" w:eastAsia="宋体" w:hAnsi="宋体" w:cs="宋体"/>
          <w:b/>
          <w:bCs/>
          <w:sz w:val="24"/>
          <w:szCs w:val="24"/>
        </w:rPr>
        <w:t>九、年度报告披露后面临退市情况</w:t>
      </w:r>
      <w:bookmarkEnd w:id="10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08" w:name="_Toc988993"/>
      <w:r>
        <w:rPr>
          <w:rFonts w:ascii="宋体" w:eastAsia="宋体" w:hAnsi="宋体" w:cs="宋体"/>
          <w:b/>
          <w:bCs/>
          <w:sz w:val="24"/>
          <w:szCs w:val="24"/>
        </w:rPr>
        <w:t>十、破产重整相关事项</w:t>
      </w:r>
      <w:bookmarkEnd w:id="10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A95787" w:rsidRDefault="005D3CC1">
      <w:pPr>
        <w:pStyle w:val="2"/>
        <w:spacing w:before="300" w:after="300" w:line="320" w:lineRule="exact"/>
        <w:rPr>
          <w:rFonts w:ascii="宋体" w:eastAsia="宋体" w:hAnsi="宋体" w:cs="宋体"/>
          <w:b/>
          <w:bCs/>
          <w:sz w:val="24"/>
          <w:szCs w:val="24"/>
        </w:rPr>
      </w:pPr>
      <w:bookmarkStart w:id="109" w:name="_Toc988994"/>
      <w:r>
        <w:rPr>
          <w:rFonts w:ascii="宋体" w:eastAsia="宋体" w:hAnsi="宋体" w:cs="宋体"/>
          <w:b/>
          <w:bCs/>
          <w:sz w:val="24"/>
          <w:szCs w:val="24"/>
        </w:rPr>
        <w:t>十一、重大诉讼、仲裁事项</w:t>
      </w:r>
      <w:bookmarkEnd w:id="10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A95787" w:rsidRDefault="005D3CC1">
      <w:pPr>
        <w:pStyle w:val="2"/>
        <w:spacing w:before="300" w:after="300" w:line="320" w:lineRule="exact"/>
        <w:rPr>
          <w:rFonts w:ascii="宋体" w:eastAsia="宋体" w:hAnsi="宋体" w:cs="宋体"/>
          <w:b/>
          <w:bCs/>
          <w:sz w:val="24"/>
          <w:szCs w:val="24"/>
        </w:rPr>
      </w:pPr>
      <w:bookmarkStart w:id="110" w:name="_Toc988995"/>
      <w:r>
        <w:rPr>
          <w:rFonts w:ascii="宋体" w:eastAsia="宋体" w:hAnsi="宋体" w:cs="宋体"/>
          <w:b/>
          <w:bCs/>
          <w:sz w:val="24"/>
          <w:szCs w:val="24"/>
        </w:rPr>
        <w:lastRenderedPageBreak/>
        <w:t>十二、处罚及整改情况</w:t>
      </w:r>
      <w:bookmarkEnd w:id="11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A95787" w:rsidRDefault="005D3CC1">
      <w:pPr>
        <w:pStyle w:val="2"/>
        <w:spacing w:before="300" w:after="300" w:line="320" w:lineRule="exact"/>
        <w:rPr>
          <w:rFonts w:ascii="宋体" w:eastAsia="宋体" w:hAnsi="宋体" w:cs="宋体"/>
          <w:b/>
          <w:bCs/>
          <w:sz w:val="24"/>
          <w:szCs w:val="24"/>
        </w:rPr>
      </w:pPr>
      <w:bookmarkStart w:id="111" w:name="_Toc988996"/>
      <w:r>
        <w:rPr>
          <w:rFonts w:ascii="宋体" w:eastAsia="宋体" w:hAnsi="宋体" w:cs="宋体"/>
          <w:b/>
          <w:bCs/>
          <w:sz w:val="24"/>
          <w:szCs w:val="24"/>
        </w:rPr>
        <w:t>十三、公司及其控股股东、实际控制人的诚信状况</w:t>
      </w:r>
      <w:bookmarkEnd w:id="11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12" w:name="_Toc988997"/>
      <w:r>
        <w:rPr>
          <w:rFonts w:ascii="宋体" w:eastAsia="宋体" w:hAnsi="宋体" w:cs="宋体"/>
          <w:b/>
          <w:bCs/>
          <w:sz w:val="24"/>
          <w:szCs w:val="24"/>
        </w:rPr>
        <w:t>十四、重大关联交易</w:t>
      </w:r>
      <w:bookmarkEnd w:id="112"/>
    </w:p>
    <w:p w:rsidR="00A95787" w:rsidRDefault="005D3CC1">
      <w:pPr>
        <w:pStyle w:val="3"/>
        <w:spacing w:line="280" w:lineRule="exact"/>
        <w:jc w:val="left"/>
        <w:rPr>
          <w:rFonts w:ascii="宋体" w:hAnsi="宋体" w:cs="宋体"/>
          <w:b/>
          <w:bCs/>
        </w:rPr>
      </w:pPr>
      <w:bookmarkStart w:id="113" w:name="_Toc988998"/>
      <w:r>
        <w:rPr>
          <w:rFonts w:ascii="宋体" w:hAnsi="宋体" w:cs="宋体"/>
          <w:b/>
          <w:bCs/>
        </w:rPr>
        <w:t>1、与日常经营相关的关联交易</w:t>
      </w:r>
      <w:bookmarkEnd w:id="11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公司报告期未发生与日常经营相关的重大关联交易。</w:t>
      </w:r>
    </w:p>
    <w:p w:rsidR="00A95787" w:rsidRDefault="005D3CC1">
      <w:pPr>
        <w:pStyle w:val="3"/>
        <w:spacing w:line="280" w:lineRule="exact"/>
        <w:jc w:val="left"/>
        <w:rPr>
          <w:rFonts w:ascii="宋体" w:hAnsi="宋体" w:cs="宋体"/>
          <w:b/>
          <w:bCs/>
        </w:rPr>
      </w:pPr>
      <w:bookmarkStart w:id="114" w:name="_Toc988999"/>
      <w:r>
        <w:rPr>
          <w:rFonts w:ascii="宋体" w:hAnsi="宋体" w:cs="宋体"/>
          <w:b/>
          <w:bCs/>
        </w:rPr>
        <w:t>2、资产或股权收购、出售发生的关联交易</w:t>
      </w:r>
      <w:bookmarkEnd w:id="11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A95787" w:rsidRDefault="005D3CC1">
      <w:pPr>
        <w:pStyle w:val="3"/>
        <w:spacing w:line="280" w:lineRule="exact"/>
        <w:jc w:val="left"/>
        <w:rPr>
          <w:rFonts w:ascii="宋体" w:hAnsi="宋体" w:cs="宋体"/>
          <w:b/>
          <w:bCs/>
        </w:rPr>
      </w:pPr>
      <w:bookmarkStart w:id="115" w:name="_Toc989000"/>
      <w:r>
        <w:rPr>
          <w:rFonts w:ascii="宋体" w:hAnsi="宋体" w:cs="宋体"/>
          <w:b/>
          <w:bCs/>
        </w:rPr>
        <w:t>3、共同对外投资的关联交易</w:t>
      </w:r>
      <w:bookmarkEnd w:id="11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A95787" w:rsidRDefault="005D3CC1">
      <w:pPr>
        <w:pStyle w:val="3"/>
        <w:spacing w:line="280" w:lineRule="exact"/>
        <w:jc w:val="left"/>
        <w:rPr>
          <w:rFonts w:ascii="宋体" w:hAnsi="宋体" w:cs="宋体"/>
          <w:b/>
          <w:bCs/>
        </w:rPr>
      </w:pPr>
      <w:bookmarkStart w:id="116" w:name="_Toc989001"/>
      <w:r>
        <w:rPr>
          <w:rFonts w:ascii="宋体" w:hAnsi="宋体" w:cs="宋体"/>
          <w:b/>
          <w:bCs/>
        </w:rPr>
        <w:t>4、关联债权债务往来</w:t>
      </w:r>
      <w:bookmarkEnd w:id="11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A95787" w:rsidRDefault="005D3CC1">
      <w:pPr>
        <w:pStyle w:val="3"/>
        <w:spacing w:line="280" w:lineRule="exact"/>
        <w:jc w:val="left"/>
        <w:rPr>
          <w:rFonts w:ascii="宋体" w:hAnsi="宋体" w:cs="宋体"/>
          <w:b/>
          <w:bCs/>
        </w:rPr>
      </w:pPr>
      <w:bookmarkStart w:id="117" w:name="_Toc989002"/>
      <w:r>
        <w:rPr>
          <w:rFonts w:ascii="宋体" w:hAnsi="宋体" w:cs="宋体"/>
          <w:b/>
          <w:bCs/>
        </w:rPr>
        <w:t>5、与存在关联关系的财务公司的往来情况</w:t>
      </w:r>
      <w:bookmarkEnd w:id="11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50"/>
        <w:gridCol w:w="875"/>
        <w:gridCol w:w="1280"/>
        <w:gridCol w:w="1270"/>
        <w:gridCol w:w="1088"/>
        <w:gridCol w:w="1362"/>
        <w:gridCol w:w="1388"/>
        <w:gridCol w:w="1025"/>
      </w:tblGrid>
      <w:tr w:rsidR="00A95787">
        <w:trPr>
          <w:trHeight w:val="240"/>
        </w:trPr>
        <w:tc>
          <w:tcPr>
            <w:tcW w:w="13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关联方</w:t>
            </w:r>
          </w:p>
        </w:tc>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关联</w:t>
            </w:r>
            <w:r>
              <w:rPr>
                <w:rFonts w:ascii="宋体" w:eastAsia="宋体" w:hAnsi="宋体" w:cs="宋体" w:hint="eastAsia"/>
                <w:sz w:val="18"/>
                <w:szCs w:val="18"/>
              </w:rPr>
              <w:t xml:space="preserve">   </w:t>
            </w:r>
            <w:r>
              <w:rPr>
                <w:rFonts w:ascii="宋体" w:eastAsia="宋体" w:hAnsi="宋体" w:cs="宋体"/>
                <w:sz w:val="18"/>
                <w:szCs w:val="18"/>
              </w:rPr>
              <w:t>关系</w:t>
            </w:r>
          </w:p>
        </w:tc>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2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存款利率范围</w:t>
            </w:r>
          </w:p>
        </w:tc>
        <w:tc>
          <w:tcPr>
            <w:tcW w:w="10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期初余额（万元）</w:t>
            </w:r>
          </w:p>
        </w:tc>
        <w:tc>
          <w:tcPr>
            <w:tcW w:w="27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本期发生额</w:t>
            </w:r>
          </w:p>
        </w:tc>
        <w:tc>
          <w:tcPr>
            <w:tcW w:w="10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期末余额（万元）</w:t>
            </w:r>
          </w:p>
        </w:tc>
      </w:tr>
      <w:tr w:rsidR="00A95787">
        <w:trPr>
          <w:trHeight w:val="240"/>
        </w:trPr>
        <w:tc>
          <w:tcPr>
            <w:tcW w:w="13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27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08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3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3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0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r>
      <w:tr w:rsidR="00A95787">
        <w:trPr>
          <w:trHeight w:val="240"/>
        </w:trPr>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同一</w:t>
            </w:r>
            <w:r>
              <w:rPr>
                <w:rFonts w:ascii="宋体" w:eastAsia="宋体" w:hAnsi="宋体" w:cs="宋体" w:hint="eastAsia"/>
                <w:sz w:val="18"/>
                <w:szCs w:val="18"/>
              </w:rPr>
              <w:t xml:space="preserve">  </w:t>
            </w:r>
            <w:r>
              <w:rPr>
                <w:rFonts w:ascii="宋体" w:eastAsia="宋体" w:hAnsi="宋体" w:cs="宋体"/>
                <w:sz w:val="18"/>
                <w:szCs w:val="18"/>
              </w:rPr>
              <w:t>母公司</w:t>
            </w:r>
          </w:p>
        </w:tc>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80,000</w:t>
            </w:r>
          </w:p>
        </w:tc>
        <w:tc>
          <w:tcPr>
            <w:tcW w:w="12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center"/>
              <w:rPr>
                <w:rFonts w:ascii="宋体" w:eastAsia="宋体" w:hAnsi="宋体" w:cs="宋体"/>
                <w:sz w:val="18"/>
                <w:szCs w:val="18"/>
              </w:rPr>
            </w:pPr>
            <w:r>
              <w:rPr>
                <w:rFonts w:ascii="宋体" w:eastAsia="宋体" w:hAnsi="宋体" w:cs="宋体"/>
                <w:sz w:val="18"/>
                <w:szCs w:val="18"/>
              </w:rPr>
              <w:t>0.35%-1.15%</w:t>
            </w:r>
          </w:p>
        </w:tc>
        <w:tc>
          <w:tcPr>
            <w:tcW w:w="10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113,286.85</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113,286.85</w:t>
            </w:r>
          </w:p>
        </w:tc>
        <w:tc>
          <w:tcPr>
            <w:tcW w:w="1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w:t>
            </w:r>
          </w:p>
        </w:tc>
      </w:tr>
    </w:tbl>
    <w:p w:rsidR="00A95787" w:rsidRDefault="005D3CC1">
      <w:pPr>
        <w:pStyle w:val="3"/>
        <w:spacing w:line="280" w:lineRule="exact"/>
        <w:jc w:val="left"/>
        <w:rPr>
          <w:rFonts w:ascii="宋体" w:hAnsi="宋体" w:cs="宋体"/>
          <w:b/>
          <w:bCs/>
        </w:rPr>
      </w:pPr>
      <w:bookmarkStart w:id="118" w:name="_Toc989003"/>
      <w:r>
        <w:rPr>
          <w:rFonts w:ascii="宋体" w:hAnsi="宋体" w:cs="宋体"/>
          <w:b/>
          <w:bCs/>
        </w:rPr>
        <w:t>6、公司控股的财务公司与关联方的往来情况</w:t>
      </w:r>
      <w:bookmarkEnd w:id="11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adjustRightInd w:val="0"/>
        <w:snapToGrid w:val="0"/>
        <w:spacing w:line="280" w:lineRule="exact"/>
        <w:jc w:val="left"/>
        <w:rPr>
          <w:rFonts w:ascii="宋体" w:hAnsi="宋体" w:cs="宋体"/>
          <w:b/>
          <w:bCs/>
        </w:rPr>
      </w:pPr>
      <w:bookmarkStart w:id="119" w:name="_Toc989004"/>
      <w:r>
        <w:rPr>
          <w:rFonts w:ascii="宋体" w:hAnsi="宋体" w:cs="宋体"/>
          <w:b/>
          <w:bCs/>
        </w:rPr>
        <w:lastRenderedPageBreak/>
        <w:t>7、其他重大关联交易</w:t>
      </w:r>
      <w:bookmarkEnd w:id="119"/>
    </w:p>
    <w:p w:rsidR="00A95787" w:rsidRDefault="005D3CC1">
      <w:pPr>
        <w:adjustRightInd w:val="0"/>
        <w:snapToGrid w:val="0"/>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pPr>
      <w:r>
        <w:rPr>
          <w:rFonts w:hint="eastAsia"/>
          <w:sz w:val="18"/>
          <w:szCs w:val="18"/>
        </w:rPr>
        <w:t>报告期内，公司与关联方发生的与日常经营相关等关联交易详见“第十节 财务报告”之“十三、关联方及关联交易”。 </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33"/>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关于2024年度日常关联交易预计公告（公告编号：2024-009）</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rsidP="004804B3">
            <w:pPr>
              <w:spacing w:line="240" w:lineRule="exact"/>
              <w:jc w:val="center"/>
              <w:rPr>
                <w:rFonts w:ascii="宋体" w:eastAsia="宋体" w:hAnsi="宋体" w:cs="宋体"/>
                <w:sz w:val="18"/>
                <w:szCs w:val="18"/>
              </w:rPr>
            </w:pPr>
            <w:r>
              <w:rPr>
                <w:rFonts w:ascii="宋体" w:eastAsia="宋体" w:hAnsi="宋体" w:cs="宋体"/>
                <w:sz w:val="18"/>
                <w:szCs w:val="18"/>
              </w:rPr>
              <w:t>2024年04月30日</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rsidP="004804B3">
            <w:pPr>
              <w:spacing w:line="240" w:lineRule="exact"/>
              <w:jc w:val="center"/>
              <w:rPr>
                <w:rFonts w:ascii="宋体" w:eastAsia="宋体" w:hAnsi="宋体" w:cs="宋体"/>
                <w:sz w:val="18"/>
                <w:szCs w:val="18"/>
              </w:rPr>
            </w:pPr>
            <w:r>
              <w:rPr>
                <w:rFonts w:ascii="宋体" w:eastAsia="宋体" w:hAnsi="宋体" w:cs="宋体"/>
                <w:sz w:val="18"/>
                <w:szCs w:val="18"/>
              </w:rPr>
              <w:t>巨潮资讯网</w:t>
            </w:r>
          </w:p>
        </w:tc>
      </w:tr>
    </w:tbl>
    <w:p w:rsidR="00A95787" w:rsidRDefault="005D3CC1">
      <w:pPr>
        <w:pStyle w:val="2"/>
        <w:spacing w:before="300" w:after="300" w:line="320" w:lineRule="exact"/>
        <w:rPr>
          <w:rFonts w:ascii="宋体" w:eastAsia="宋体" w:hAnsi="宋体" w:cs="宋体"/>
          <w:b/>
          <w:bCs/>
          <w:sz w:val="24"/>
          <w:szCs w:val="24"/>
        </w:rPr>
      </w:pPr>
      <w:bookmarkStart w:id="120" w:name="_Toc989005"/>
      <w:r>
        <w:rPr>
          <w:rFonts w:ascii="宋体" w:eastAsia="宋体" w:hAnsi="宋体" w:cs="宋体"/>
          <w:b/>
          <w:bCs/>
          <w:sz w:val="24"/>
          <w:szCs w:val="24"/>
        </w:rPr>
        <w:t>十五、重大合同及其履行情况</w:t>
      </w:r>
      <w:bookmarkEnd w:id="120"/>
    </w:p>
    <w:p w:rsidR="00A95787" w:rsidRDefault="005D3CC1">
      <w:pPr>
        <w:pStyle w:val="3"/>
        <w:spacing w:line="280" w:lineRule="exact"/>
        <w:jc w:val="left"/>
        <w:rPr>
          <w:rFonts w:ascii="宋体" w:hAnsi="宋体" w:cs="宋体"/>
          <w:b/>
          <w:bCs/>
        </w:rPr>
      </w:pPr>
      <w:bookmarkStart w:id="121" w:name="_Toc989006"/>
      <w:r>
        <w:rPr>
          <w:rFonts w:ascii="宋体" w:hAnsi="宋体" w:cs="宋体"/>
          <w:b/>
          <w:bCs/>
        </w:rPr>
        <w:t>1、托管、承包、租赁事项情况</w:t>
      </w:r>
      <w:bookmarkEnd w:id="121"/>
    </w:p>
    <w:p w:rsidR="00A95787" w:rsidRDefault="005D3CC1">
      <w:pPr>
        <w:keepNext/>
        <w:keepLines/>
        <w:spacing w:before="300" w:after="300" w:line="280" w:lineRule="exact"/>
        <w:outlineLvl w:val="3"/>
        <w:rPr>
          <w:rFonts w:ascii="宋体" w:eastAsia="宋体" w:hAnsi="宋体" w:cs="宋体"/>
          <w:b/>
          <w:bCs/>
          <w:sz w:val="18"/>
          <w:szCs w:val="18"/>
        </w:rPr>
      </w:pPr>
      <w:bookmarkStart w:id="122" w:name="_Toc989007"/>
      <w:r>
        <w:rPr>
          <w:rFonts w:ascii="宋体" w:eastAsia="宋体" w:hAnsi="宋体" w:cs="宋体"/>
          <w:b/>
          <w:bCs/>
          <w:sz w:val="18"/>
          <w:szCs w:val="18"/>
        </w:rPr>
        <w:t>（1） 托管情况</w:t>
      </w:r>
      <w:bookmarkEnd w:id="12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A95787" w:rsidRDefault="005D3CC1">
      <w:pPr>
        <w:keepNext/>
        <w:keepLines/>
        <w:spacing w:before="300" w:after="300" w:line="280" w:lineRule="exact"/>
        <w:outlineLvl w:val="3"/>
        <w:rPr>
          <w:rFonts w:ascii="宋体" w:eastAsia="宋体" w:hAnsi="宋体" w:cs="宋体"/>
          <w:b/>
          <w:bCs/>
          <w:sz w:val="18"/>
          <w:szCs w:val="18"/>
        </w:rPr>
      </w:pPr>
      <w:bookmarkStart w:id="123" w:name="_Toc989008"/>
      <w:r>
        <w:rPr>
          <w:rFonts w:ascii="宋体" w:eastAsia="宋体" w:hAnsi="宋体" w:cs="宋体"/>
          <w:b/>
          <w:bCs/>
          <w:sz w:val="18"/>
          <w:szCs w:val="18"/>
        </w:rPr>
        <w:t>（2） 承包情况</w:t>
      </w:r>
      <w:bookmarkEnd w:id="12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A95787" w:rsidRDefault="005D3CC1">
      <w:pPr>
        <w:keepNext/>
        <w:keepLines/>
        <w:spacing w:before="300" w:after="300" w:line="280" w:lineRule="exact"/>
        <w:outlineLvl w:val="3"/>
        <w:rPr>
          <w:rFonts w:ascii="宋体" w:eastAsia="宋体" w:hAnsi="宋体" w:cs="宋体"/>
          <w:b/>
          <w:bCs/>
          <w:sz w:val="18"/>
          <w:szCs w:val="18"/>
        </w:rPr>
      </w:pPr>
      <w:bookmarkStart w:id="124" w:name="_Toc989009"/>
      <w:r>
        <w:rPr>
          <w:rFonts w:ascii="宋体" w:eastAsia="宋体" w:hAnsi="宋体" w:cs="宋体"/>
          <w:b/>
          <w:bCs/>
          <w:sz w:val="18"/>
          <w:szCs w:val="18"/>
        </w:rPr>
        <w:t>（3） 租赁情况</w:t>
      </w:r>
      <w:bookmarkEnd w:id="12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A95787" w:rsidRDefault="005D3CC1">
      <w:pPr>
        <w:pStyle w:val="3"/>
        <w:spacing w:line="280" w:lineRule="exact"/>
        <w:jc w:val="left"/>
        <w:rPr>
          <w:rFonts w:ascii="宋体" w:hAnsi="宋体" w:cs="宋体"/>
          <w:b/>
          <w:bCs/>
        </w:rPr>
      </w:pPr>
      <w:bookmarkStart w:id="125" w:name="_Toc989010"/>
      <w:r>
        <w:rPr>
          <w:rFonts w:ascii="宋体" w:hAnsi="宋体" w:cs="宋体"/>
          <w:b/>
          <w:bCs/>
        </w:rPr>
        <w:t>2、重大担保</w:t>
      </w:r>
      <w:bookmarkEnd w:id="12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8"/>
        <w:gridCol w:w="877"/>
        <w:gridCol w:w="876"/>
        <w:gridCol w:w="877"/>
        <w:gridCol w:w="876"/>
        <w:gridCol w:w="877"/>
        <w:gridCol w:w="876"/>
        <w:gridCol w:w="876"/>
        <w:gridCol w:w="876"/>
        <w:gridCol w:w="876"/>
        <w:gridCol w:w="985"/>
      </w:tblGrid>
      <w:tr w:rsidR="00A95787">
        <w:trPr>
          <w:trHeight w:val="240"/>
        </w:trPr>
        <w:tc>
          <w:tcPr>
            <w:tcW w:w="9650"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9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4804B3">
        <w:trPr>
          <w:trHeight w:val="240"/>
        </w:trPr>
        <w:tc>
          <w:tcPr>
            <w:tcW w:w="778" w:type="dxa"/>
            <w:vMerge w:val="restart"/>
            <w:tcBorders>
              <w:top w:val="single" w:sz="2" w:space="0" w:color="auto"/>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13DEC" w:rsidRDefault="004804B3">
            <w:pPr>
              <w:spacing w:line="240" w:lineRule="exact"/>
              <w:jc w:val="right"/>
              <w:rPr>
                <w:rFonts w:ascii="宋体" w:eastAsia="宋体" w:hAnsi="宋体" w:cs="宋体"/>
                <w:sz w:val="18"/>
                <w:szCs w:val="18"/>
              </w:rPr>
            </w:pPr>
            <w:r>
              <w:rPr>
                <w:rFonts w:ascii="宋体" w:eastAsia="宋体" w:hAnsi="宋体" w:cs="宋体"/>
                <w:sz w:val="18"/>
                <w:szCs w:val="18"/>
              </w:rPr>
              <w:t>45,000</w:t>
            </w:r>
          </w:p>
          <w:p w:rsidR="004804B3" w:rsidRDefault="00013DEC">
            <w:pPr>
              <w:spacing w:line="240" w:lineRule="exact"/>
              <w:jc w:val="right"/>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2023年07月21日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至2024-01-10</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2023年08月11日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至2024-01-10</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至2024-02-01</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至2024-02-01</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至2024-11-15</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rsidTr="00143177">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至2024-11-15</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rsidTr="00143177">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至2024-12-11</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至2024-12-12</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2024年01月10日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至2025-01-09</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9,950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至2025-01-31</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9,883</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至2025-01-31</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至2025-11-12</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至2025-11-12</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至2025-12-10</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4804B3">
        <w:trPr>
          <w:trHeight w:val="240"/>
        </w:trPr>
        <w:tc>
          <w:tcPr>
            <w:tcW w:w="778" w:type="dxa"/>
            <w:vMerge/>
            <w:tcBorders>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至2025-12-10</w:t>
            </w:r>
          </w:p>
        </w:tc>
        <w:tc>
          <w:tcPr>
            <w:tcW w:w="876"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4804B3" w:rsidRDefault="004804B3">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至2024-10-17</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至2024-09-06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2024年10月17日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至2025-10-17</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2024年09月10日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至2025-09-10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至2024-03-20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2,926.95</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至2025-03-24</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w:t>
            </w:r>
            <w:r>
              <w:rPr>
                <w:rFonts w:ascii="宋体" w:eastAsia="宋体" w:hAnsi="宋体" w:cs="宋体"/>
                <w:sz w:val="18"/>
                <w:szCs w:val="18"/>
              </w:rPr>
              <w:lastRenderedPageBreak/>
              <w:t>公司</w:t>
            </w:r>
          </w:p>
        </w:tc>
        <w:tc>
          <w:tcPr>
            <w:tcW w:w="877" w:type="dxa"/>
            <w:vMerge w:val="restart"/>
            <w:tcBorders>
              <w:top w:val="single" w:sz="2" w:space="0" w:color="auto"/>
              <w:left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2023年04月27日</w:t>
            </w:r>
          </w:p>
        </w:tc>
        <w:tc>
          <w:tcPr>
            <w:tcW w:w="876"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至2024-11-08</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至2024-11-13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2024年11月12日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至2025-11-10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6,495</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至2024-01-26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2024年01月26日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6,490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至2024-07-23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2024年07月23日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6,483</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至2025-01-22</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至2026-03-29</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是</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92,732.95</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报告期末实际对外担保余额合计（A4）</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85,409.95</w:t>
            </w:r>
          </w:p>
        </w:tc>
      </w:tr>
      <w:tr w:rsidR="00A95787">
        <w:trPr>
          <w:trHeight w:val="240"/>
        </w:trPr>
        <w:tc>
          <w:tcPr>
            <w:tcW w:w="9650"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9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c>
          <w:tcPr>
            <w:tcW w:w="9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34,463.07</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50"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9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A95787">
        <w:trPr>
          <w:trHeight w:val="240"/>
        </w:trPr>
        <w:tc>
          <w:tcPr>
            <w:tcW w:w="9650"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127,196.02</w:t>
            </w:r>
          </w:p>
        </w:tc>
      </w:tr>
      <w:tr w:rsidR="00A95787">
        <w:trPr>
          <w:trHeight w:val="240"/>
        </w:trPr>
        <w:tc>
          <w:tcPr>
            <w:tcW w:w="165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报告期末已审批</w:t>
            </w:r>
            <w:r>
              <w:rPr>
                <w:rFonts w:ascii="宋体" w:eastAsia="宋体" w:hAnsi="宋体" w:cs="宋体"/>
                <w:sz w:val="18"/>
                <w:szCs w:val="18"/>
              </w:rPr>
              <w:lastRenderedPageBreak/>
              <w:t>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lastRenderedPageBreak/>
              <w:t>180,000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w:t>
            </w:r>
            <w:r>
              <w:rPr>
                <w:rFonts w:ascii="宋体" w:eastAsia="宋体" w:hAnsi="宋体" w:cs="宋体"/>
                <w:sz w:val="18"/>
                <w:szCs w:val="18"/>
              </w:rPr>
              <w:lastRenderedPageBreak/>
              <w:t>余额合计（A4+B4+C4）</w:t>
            </w:r>
          </w:p>
        </w:tc>
        <w:tc>
          <w:tcPr>
            <w:tcW w:w="4489"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lastRenderedPageBreak/>
              <w:t>85,409.95</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实际担保总额（即A4+B4+C4）占公司净资产的比例</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16.48%</w:t>
            </w:r>
          </w:p>
        </w:tc>
      </w:tr>
      <w:tr w:rsidR="00A95787">
        <w:trPr>
          <w:trHeight w:val="240"/>
        </w:trPr>
        <w:tc>
          <w:tcPr>
            <w:tcW w:w="9650"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85,409.95</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85,409.95</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34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242"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013DEC" w:rsidRDefault="00013DEC">
      <w:pPr>
        <w:spacing w:before="100" w:after="100" w:line="240" w:lineRule="exact"/>
        <w:rPr>
          <w:rFonts w:ascii="宋体" w:eastAsia="宋体" w:hAnsi="宋体" w:cs="宋体"/>
          <w:sz w:val="18"/>
          <w:szCs w:val="18"/>
        </w:rPr>
      </w:pPr>
      <w:r>
        <w:rPr>
          <w:rFonts w:ascii="宋体" w:eastAsia="宋体" w:hAnsi="宋体" w:cs="宋体" w:hint="eastAsia"/>
          <w:sz w:val="18"/>
          <w:szCs w:val="18"/>
        </w:rPr>
        <w:t>注：该项实际担保总额为45,000万元。</w:t>
      </w:r>
    </w:p>
    <w:p w:rsidR="00013DEC" w:rsidRDefault="00013DEC">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A95787" w:rsidRDefault="005D3CC1">
      <w:pPr>
        <w:pStyle w:val="a6"/>
        <w:rPr>
          <w:sz w:val="18"/>
          <w:szCs w:val="18"/>
        </w:rPr>
      </w:pPr>
      <w:r>
        <w:rPr>
          <w:rFonts w:hint="eastAsia"/>
          <w:sz w:val="18"/>
          <w:szCs w:val="18"/>
        </w:rPr>
        <w:t>无。</w:t>
      </w:r>
    </w:p>
    <w:p w:rsidR="00A95787" w:rsidRDefault="005D3CC1">
      <w:pPr>
        <w:pStyle w:val="3"/>
        <w:spacing w:line="280" w:lineRule="exact"/>
        <w:jc w:val="left"/>
        <w:rPr>
          <w:rFonts w:ascii="宋体" w:hAnsi="宋体" w:cs="宋体"/>
          <w:b/>
          <w:bCs/>
        </w:rPr>
      </w:pPr>
      <w:bookmarkStart w:id="126" w:name="_Toc989011"/>
      <w:r>
        <w:rPr>
          <w:rFonts w:ascii="宋体" w:hAnsi="宋体" w:cs="宋体"/>
          <w:b/>
          <w:bCs/>
        </w:rPr>
        <w:t>3、委托他人进行现金资产管理情况</w:t>
      </w:r>
      <w:bookmarkEnd w:id="126"/>
    </w:p>
    <w:p w:rsidR="00A95787" w:rsidRDefault="005D3CC1">
      <w:pPr>
        <w:keepNext/>
        <w:keepLines/>
        <w:spacing w:before="300" w:after="300" w:line="280" w:lineRule="exact"/>
        <w:outlineLvl w:val="3"/>
        <w:rPr>
          <w:rFonts w:ascii="宋体" w:eastAsia="宋体" w:hAnsi="宋体" w:cs="宋体"/>
          <w:b/>
          <w:bCs/>
          <w:sz w:val="18"/>
          <w:szCs w:val="18"/>
        </w:rPr>
      </w:pPr>
      <w:bookmarkStart w:id="127" w:name="_Toc989012"/>
      <w:r>
        <w:rPr>
          <w:rFonts w:ascii="宋体" w:eastAsia="宋体" w:hAnsi="宋体" w:cs="宋体"/>
          <w:b/>
          <w:bCs/>
          <w:sz w:val="18"/>
          <w:szCs w:val="18"/>
        </w:rPr>
        <w:t>（1） 委托理财情况</w:t>
      </w:r>
      <w:bookmarkEnd w:id="12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报告期内委托理财概况</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98"/>
        <w:gridCol w:w="1608"/>
        <w:gridCol w:w="1606"/>
        <w:gridCol w:w="1606"/>
        <w:gridCol w:w="1606"/>
        <w:gridCol w:w="1701"/>
      </w:tblGrid>
      <w:tr w:rsidR="00A95787">
        <w:trPr>
          <w:trHeight w:val="240"/>
        </w:trPr>
        <w:tc>
          <w:tcPr>
            <w:tcW w:w="149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A95787">
        <w:trPr>
          <w:trHeight w:val="240"/>
        </w:trPr>
        <w:tc>
          <w:tcPr>
            <w:tcW w:w="149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其他类</w:t>
            </w:r>
          </w:p>
        </w:tc>
        <w:tc>
          <w:tcPr>
            <w:tcW w:w="16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22,793.69</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1,207.44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149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500</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31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23,293.69</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1,207.44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 w:val="18"/>
          <w:szCs w:val="18"/>
        </w:rPr>
      </w:pPr>
      <w:bookmarkStart w:id="128" w:name="_Toc989013"/>
      <w:r>
        <w:rPr>
          <w:rFonts w:ascii="宋体" w:eastAsia="宋体" w:hAnsi="宋体" w:cs="宋体"/>
          <w:b/>
          <w:bCs/>
          <w:sz w:val="18"/>
          <w:szCs w:val="18"/>
        </w:rPr>
        <w:t>（2） 委托贷款情况</w:t>
      </w:r>
      <w:bookmarkEnd w:id="12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公司报告期不存在委托贷款。</w:t>
      </w:r>
    </w:p>
    <w:p w:rsidR="00A95787" w:rsidRDefault="005D3CC1">
      <w:pPr>
        <w:pStyle w:val="3"/>
        <w:spacing w:line="280" w:lineRule="exact"/>
        <w:jc w:val="left"/>
        <w:rPr>
          <w:rFonts w:ascii="宋体" w:hAnsi="宋体" w:cs="宋体"/>
          <w:b/>
          <w:bCs/>
        </w:rPr>
      </w:pPr>
      <w:bookmarkStart w:id="129" w:name="_Toc989014"/>
      <w:r>
        <w:rPr>
          <w:rFonts w:ascii="宋体" w:hAnsi="宋体" w:cs="宋体"/>
          <w:b/>
          <w:bCs/>
        </w:rPr>
        <w:lastRenderedPageBreak/>
        <w:t>4、其他重大合同</w:t>
      </w:r>
      <w:bookmarkEnd w:id="12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A95787" w:rsidRDefault="005D3CC1">
      <w:pPr>
        <w:pStyle w:val="2"/>
        <w:spacing w:before="300" w:after="300" w:line="320" w:lineRule="exact"/>
        <w:rPr>
          <w:rFonts w:ascii="宋体" w:eastAsia="宋体" w:hAnsi="宋体" w:cs="宋体"/>
          <w:b/>
          <w:bCs/>
          <w:sz w:val="24"/>
          <w:szCs w:val="24"/>
        </w:rPr>
      </w:pPr>
      <w:bookmarkStart w:id="130" w:name="_Toc989015"/>
      <w:r>
        <w:rPr>
          <w:rFonts w:ascii="宋体" w:eastAsia="宋体" w:hAnsi="宋体" w:cs="宋体"/>
          <w:b/>
          <w:bCs/>
          <w:sz w:val="24"/>
          <w:szCs w:val="24"/>
        </w:rPr>
        <w:t>十六、其他重大事项的说明</w:t>
      </w:r>
      <w:bookmarkEnd w:id="13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0" w:beforeAutospacing="0" w:after="0" w:afterAutospacing="0" w:line="276" w:lineRule="auto"/>
        <w:ind w:firstLine="360"/>
      </w:pPr>
      <w:r>
        <w:rPr>
          <w:rFonts w:hint="eastAsia"/>
          <w:sz w:val="18"/>
          <w:szCs w:val="18"/>
        </w:rPr>
        <w:t>1、修订《公司章程》事项</w:t>
      </w:r>
    </w:p>
    <w:p w:rsidR="00A95787" w:rsidRDefault="005D3CC1">
      <w:pPr>
        <w:pStyle w:val="a6"/>
        <w:spacing w:before="0" w:beforeAutospacing="0" w:after="0" w:afterAutospacing="0" w:line="276" w:lineRule="auto"/>
        <w:ind w:firstLine="360"/>
      </w:pPr>
      <w:r>
        <w:rPr>
          <w:rFonts w:hint="eastAsia"/>
          <w:sz w:val="18"/>
          <w:szCs w:val="18"/>
        </w:rPr>
        <w:t>报告期内，根据中国证监会《上市公司监管指引第3号——上市公司现金分红》、深圳证券交易所《上市公司自律监管指引第7号——交易与关联交易》等相关规定，公司结合实际，对《公司章程》部分条款进行了修订，并经公司第九届董事会第二次会议、2023年度股东大会审议通过。详见公司于2024年4月30日、2024年5月25日刊登在《上海证券报》《证券时报》和巨潮资讯网上的《章程修正案》（公告编号：2024-012）、《第九届董事会第二次会议决议公告》（公告编号：2024-023）、《2023年度股东大会决议公告》（公告编号：2024-033）。</w:t>
      </w:r>
    </w:p>
    <w:p w:rsidR="00A95787" w:rsidRDefault="005D3CC1">
      <w:pPr>
        <w:pStyle w:val="a6"/>
        <w:spacing w:before="0" w:beforeAutospacing="0" w:after="0" w:afterAutospacing="0" w:line="276" w:lineRule="auto"/>
        <w:ind w:firstLine="360"/>
      </w:pPr>
      <w:r>
        <w:rPr>
          <w:rFonts w:hint="eastAsia"/>
          <w:sz w:val="18"/>
          <w:szCs w:val="18"/>
        </w:rPr>
        <w:t>2、变更经营范围事项</w:t>
      </w:r>
    </w:p>
    <w:p w:rsidR="00A95787" w:rsidRDefault="005D3CC1">
      <w:pPr>
        <w:pStyle w:val="a6"/>
        <w:spacing w:before="0" w:beforeAutospacing="0" w:after="0" w:afterAutospacing="0" w:line="276" w:lineRule="auto"/>
        <w:ind w:firstLine="360"/>
      </w:pPr>
      <w:r>
        <w:rPr>
          <w:rFonts w:hint="eastAsia"/>
          <w:sz w:val="18"/>
          <w:szCs w:val="18"/>
        </w:rPr>
        <w:t>公司第九届董事会第二次会议、2023年度股东大会审议通过了《关于变更公司经营范围的议案》，详见公司于2024年4月30日、2024年5月25日刊登在《上海证券报》《证券时报》和巨潮资讯网上的《第九届董事会第二次会议决议公告》（公告编号：2024-023）、《2023年度股东大会决议公告》（公告编号：2024-033）。</w:t>
      </w:r>
    </w:p>
    <w:p w:rsidR="00A95787" w:rsidRDefault="005D3CC1" w:rsidP="00346A24">
      <w:pPr>
        <w:pStyle w:val="a6"/>
        <w:spacing w:before="0" w:beforeAutospacing="0" w:after="0" w:afterAutospacing="0" w:line="276" w:lineRule="auto"/>
        <w:ind w:firstLine="360"/>
        <w:jc w:val="both"/>
      </w:pPr>
      <w:r>
        <w:rPr>
          <w:rFonts w:hint="eastAsia"/>
          <w:sz w:val="18"/>
          <w:szCs w:val="18"/>
        </w:rPr>
        <w:t>报告期内，公司完成了经营范围变更的工商登记手续。公司经营范围变更为：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一般项目：普通货物仓储服务（不含危险化学品等需许可审批的项目）（除依法须经批准的项目外，凭营业执照依法自主开展经营活动）。</w:t>
      </w:r>
    </w:p>
    <w:p w:rsidR="00A95787" w:rsidRPr="00B7091D" w:rsidRDefault="005D3CC1">
      <w:pPr>
        <w:pStyle w:val="a6"/>
        <w:spacing w:before="0" w:beforeAutospacing="0" w:after="0" w:afterAutospacing="0" w:line="276" w:lineRule="auto"/>
        <w:ind w:firstLine="360"/>
      </w:pPr>
      <w:r w:rsidRPr="00B7091D">
        <w:rPr>
          <w:rFonts w:hint="eastAsia"/>
          <w:sz w:val="18"/>
          <w:szCs w:val="18"/>
        </w:rPr>
        <w:t>3、与专业投资机构共同投资事项</w:t>
      </w:r>
    </w:p>
    <w:p w:rsidR="00A95787" w:rsidRPr="00B7091D" w:rsidRDefault="005D3CC1">
      <w:pPr>
        <w:pStyle w:val="a6"/>
        <w:spacing w:before="0" w:beforeAutospacing="0" w:after="0" w:afterAutospacing="0" w:line="276" w:lineRule="auto"/>
        <w:ind w:firstLine="360"/>
        <w:jc w:val="both"/>
      </w:pPr>
      <w:r w:rsidRPr="00B7091D">
        <w:rPr>
          <w:rFonts w:hint="eastAsia"/>
          <w:sz w:val="18"/>
          <w:szCs w:val="18"/>
        </w:rPr>
        <w:t>报告期内，公司与无锡国联产业投资私募基金管理有限公司、无锡云商创业投资有限公司共同投资设立无锡锡创联华股权投资合伙企业（有限合伙）（以下简称“锡创联华”），锡创联华主要用于收购一村资本部分股权。截至报告期末，公司已向锡创联华实缴出资16,750万元人民币（占认缴出资的83.75%），锡创联华收购一村资本10.3449%股权事项已完成。详见公司于2024年4月9日、5月10日、5月23日刊登在《上海证券报》《证券时报》和巨潮资讯网上的《关于与专业投资机构共同投资的公告》（公告编号：2024-004、2024-027、2024-032）。</w:t>
      </w:r>
    </w:p>
    <w:p w:rsidR="00A95787" w:rsidRPr="00B7091D" w:rsidRDefault="005D3CC1">
      <w:pPr>
        <w:pStyle w:val="a6"/>
        <w:spacing w:before="0" w:beforeAutospacing="0" w:after="0" w:afterAutospacing="0" w:line="276" w:lineRule="auto"/>
        <w:ind w:firstLine="360"/>
        <w:jc w:val="both"/>
      </w:pPr>
      <w:r w:rsidRPr="00B7091D">
        <w:rPr>
          <w:rFonts w:hint="eastAsia"/>
          <w:sz w:val="18"/>
          <w:szCs w:val="18"/>
        </w:rPr>
        <w:t>2024年9月，经锡创联华合伙人决议同意，无锡国联产业投资私募基金管理有限公司将其持有的49%有限合伙份额转让给无锡市创新投资集团有限公司并退出合伙企业。</w:t>
      </w:r>
    </w:p>
    <w:p w:rsidR="00A95787" w:rsidRDefault="005D3CC1">
      <w:pPr>
        <w:pStyle w:val="a6"/>
        <w:spacing w:before="0" w:beforeAutospacing="0" w:after="0" w:afterAutospacing="0" w:line="276" w:lineRule="auto"/>
        <w:ind w:firstLine="360"/>
        <w:jc w:val="both"/>
      </w:pPr>
      <w:r>
        <w:rPr>
          <w:rFonts w:hint="eastAsia"/>
          <w:sz w:val="18"/>
          <w:szCs w:val="18"/>
        </w:rPr>
        <w:t>4、凝秀建设股权无偿划转事项</w:t>
      </w:r>
    </w:p>
    <w:p w:rsidR="00A95787" w:rsidRDefault="005D3CC1">
      <w:pPr>
        <w:pStyle w:val="a6"/>
        <w:spacing w:before="0" w:beforeAutospacing="0" w:after="0" w:afterAutospacing="0" w:line="276" w:lineRule="auto"/>
        <w:ind w:firstLine="360"/>
        <w:jc w:val="both"/>
      </w:pPr>
      <w:r>
        <w:rPr>
          <w:rFonts w:hint="eastAsia"/>
          <w:sz w:val="18"/>
          <w:szCs w:val="18"/>
        </w:rPr>
        <w:t>报告期内，根据江阴市华士镇人民政府出具的《关于同意江阴市凝秀建设投资发展有限公司股权无偿划转的批复》，江阴市华士镇综合服务中心将其持有的凝秀建设51%股权无偿划转至江阴市国资办。本次无偿划转后，江阴市国资办合计可控制公司38.61%的股份。凝秀建设成为控股股东华西集团的一致行动人。本次收购符合《上市公司收购管理办法》规定的可以免于发出要约的情形。详见公司于2024年10月26日、10月31日刊登在《上海证券报》《证券时报》和巨潮资讯网上的《关于江阴市凝秀建设投资发展有限公司股权无偿划转免于发出要约的提示性公告》（公告编号：2024-056）、《江苏华西村股份有限公司收购报告书摘要》《江苏华西村股份有限公司收购报告书》等相关公告。</w:t>
      </w:r>
    </w:p>
    <w:p w:rsidR="00A95787" w:rsidRDefault="005D3CC1">
      <w:pPr>
        <w:pStyle w:val="2"/>
        <w:spacing w:before="300" w:after="300" w:line="320" w:lineRule="exact"/>
        <w:rPr>
          <w:rFonts w:ascii="宋体" w:eastAsia="宋体" w:hAnsi="宋体" w:cs="宋体"/>
          <w:b/>
          <w:bCs/>
          <w:sz w:val="24"/>
          <w:szCs w:val="24"/>
        </w:rPr>
      </w:pPr>
      <w:bookmarkStart w:id="131" w:name="_Toc989016"/>
      <w:r>
        <w:rPr>
          <w:rFonts w:ascii="宋体" w:eastAsia="宋体" w:hAnsi="宋体" w:cs="宋体"/>
          <w:b/>
          <w:bCs/>
          <w:sz w:val="24"/>
          <w:szCs w:val="24"/>
        </w:rPr>
        <w:lastRenderedPageBreak/>
        <w:t>十七、公司子公司重大事项</w:t>
      </w:r>
      <w:bookmarkEnd w:id="13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Autospacing="0" w:afterAutospacing="0" w:line="276" w:lineRule="auto"/>
        <w:ind w:firstLine="360"/>
        <w:jc w:val="both"/>
        <w:rPr>
          <w:rFonts w:ascii="Calibri" w:hAnsi="Calibri" w:cs="Calibri"/>
          <w:sz w:val="21"/>
          <w:szCs w:val="21"/>
        </w:rPr>
      </w:pPr>
      <w:r>
        <w:rPr>
          <w:rFonts w:cs="Calibri" w:hint="eastAsia"/>
          <w:sz w:val="18"/>
          <w:szCs w:val="18"/>
        </w:rPr>
        <w:t>1、转让索尔思光电部分股份事项</w:t>
      </w:r>
    </w:p>
    <w:p w:rsidR="00A95787" w:rsidRDefault="005D3CC1">
      <w:pPr>
        <w:pStyle w:val="a6"/>
        <w:spacing w:before="0" w:beforeAutospacing="0" w:after="0" w:afterAutospacing="0" w:line="276" w:lineRule="auto"/>
        <w:ind w:firstLine="360"/>
        <w:jc w:val="both"/>
        <w:rPr>
          <w:sz w:val="18"/>
          <w:szCs w:val="18"/>
        </w:rPr>
      </w:pPr>
      <w:r>
        <w:rPr>
          <w:rFonts w:hint="eastAsia"/>
          <w:sz w:val="18"/>
          <w:szCs w:val="18"/>
        </w:rPr>
        <w:t>报告期内，公司第九届董事会第三次会议、2024年第一次临时股东大会审议通过了《关于转让参股公司部分股份的议案》，公司控制主体上海启澜拟将其持有的索尔思光电556.03万股股份以及通过Diamond Hill, L.P.持有的2,959.25万股股份转让给北京万通新发展集团股份有限公司（以下简称“万通发展”），合计转让3,515.28万股索尔思光电股份，转让总价款为9,202.66万美元。本次转让完成后，上海启澜通过Diamond Hill, L.P.剩余持有索尔思光电3,034.37万股股份。2024年6月，上海启澜及相关方与万通发展签署了《关于Source Photonics Holdings (Cayman) Limited之股份转让协议》，并分别于2024年9月、10月与12月签署前述股份转让协议之补充协议、补充协议（二）、补充协议（三）。详见公司于2024年6月24日、9月13日、9月24日、9月25日、11月1日、2025年1月2日在《上海证券报》《证券时报》和巨潮资讯网披露的《关于转让参股公司部分股份的公告》（公告编号：2024-035）、《第九届董事会第三次会议决议公告》（公告编号：2024-037）、《2024年第一次临时股东大会决议公告》（公告编号：2024-052）、《关于转让参股公司部分股份的进展公告》（公告编号：2024-054、2024-055、2024-058、2025-001）。</w:t>
      </w:r>
    </w:p>
    <w:p w:rsidR="00A95787" w:rsidRDefault="005D3CC1">
      <w:pPr>
        <w:pStyle w:val="a6"/>
        <w:spacing w:before="0" w:beforeAutospacing="0" w:after="0" w:afterAutospacing="0" w:line="276" w:lineRule="auto"/>
        <w:ind w:firstLine="360"/>
        <w:jc w:val="both"/>
        <w:rPr>
          <w:sz w:val="18"/>
          <w:szCs w:val="18"/>
        </w:rPr>
      </w:pPr>
      <w:r>
        <w:rPr>
          <w:rFonts w:hint="eastAsia"/>
          <w:sz w:val="18"/>
          <w:szCs w:val="18"/>
        </w:rPr>
        <w:t>2025年1月24日，公司转让索尔思光电部分股份事项终止。详见公司于2025年1月27日在《上海证券报》《证券时报》和巨潮资讯网披露的《关于终止转让参股公司部分股份的公告》（公告编号：2025-003）。 </w:t>
      </w:r>
    </w:p>
    <w:p w:rsidR="00A95787" w:rsidRDefault="005D3CC1">
      <w:pPr>
        <w:pStyle w:val="a6"/>
        <w:spacing w:before="0" w:beforeAutospacing="0" w:after="0" w:afterAutospacing="0" w:line="360" w:lineRule="auto"/>
        <w:ind w:firstLine="360"/>
        <w:jc w:val="both"/>
      </w:pPr>
      <w:r>
        <w:rPr>
          <w:rFonts w:hint="eastAsia"/>
        </w:rPr>
        <w:t> </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132" w:name="_Toc989017"/>
      <w:r>
        <w:rPr>
          <w:rFonts w:ascii="宋体" w:eastAsia="宋体" w:hAnsi="宋体" w:cs="宋体"/>
          <w:b/>
          <w:bCs/>
          <w:sz w:val="32"/>
          <w:szCs w:val="32"/>
        </w:rPr>
        <w:lastRenderedPageBreak/>
        <w:t>第七节 股份变动及股东情况</w:t>
      </w:r>
      <w:bookmarkEnd w:id="132"/>
    </w:p>
    <w:p w:rsidR="00A95787" w:rsidRDefault="005D3CC1">
      <w:pPr>
        <w:pStyle w:val="2"/>
        <w:spacing w:before="300" w:after="300" w:line="320" w:lineRule="exact"/>
        <w:rPr>
          <w:rFonts w:ascii="宋体" w:eastAsia="宋体" w:hAnsi="宋体" w:cs="宋体"/>
          <w:b/>
          <w:bCs/>
          <w:sz w:val="24"/>
          <w:szCs w:val="24"/>
        </w:rPr>
      </w:pPr>
      <w:bookmarkStart w:id="133" w:name="_Toc989018"/>
      <w:r>
        <w:rPr>
          <w:rFonts w:ascii="宋体" w:eastAsia="宋体" w:hAnsi="宋体" w:cs="宋体"/>
          <w:b/>
          <w:bCs/>
          <w:sz w:val="24"/>
          <w:szCs w:val="24"/>
        </w:rPr>
        <w:t>一、股份变动情况</w:t>
      </w:r>
      <w:bookmarkEnd w:id="133"/>
    </w:p>
    <w:p w:rsidR="00A95787" w:rsidRDefault="005D3CC1">
      <w:pPr>
        <w:pStyle w:val="3"/>
        <w:spacing w:line="280" w:lineRule="exact"/>
        <w:jc w:val="left"/>
        <w:rPr>
          <w:rFonts w:ascii="宋体" w:hAnsi="宋体" w:cs="宋体"/>
          <w:b/>
          <w:bCs/>
        </w:rPr>
      </w:pPr>
      <w:bookmarkStart w:id="134" w:name="_Toc989019"/>
      <w:r>
        <w:rPr>
          <w:rFonts w:ascii="宋体" w:hAnsi="宋体" w:cs="宋体"/>
          <w:b/>
          <w:bCs/>
        </w:rPr>
        <w:t>1、股份变动情况</w:t>
      </w:r>
      <w:bookmarkEnd w:id="13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1"/>
        <w:gridCol w:w="964"/>
        <w:gridCol w:w="964"/>
        <w:gridCol w:w="964"/>
        <w:gridCol w:w="964"/>
        <w:gridCol w:w="964"/>
        <w:gridCol w:w="964"/>
        <w:gridCol w:w="964"/>
        <w:gridCol w:w="964"/>
        <w:gridCol w:w="1084"/>
      </w:tblGrid>
      <w:tr w:rsidR="00A95787">
        <w:trPr>
          <w:trHeight w:val="240"/>
        </w:trPr>
        <w:tc>
          <w:tcPr>
            <w:tcW w:w="8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204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A95787">
        <w:trPr>
          <w:trHeight w:val="240"/>
        </w:trPr>
        <w:tc>
          <w:tcPr>
            <w:tcW w:w="8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4、其他</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10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135" w:name="_Toc989020"/>
      <w:r>
        <w:rPr>
          <w:rFonts w:ascii="宋体" w:hAnsi="宋体" w:cs="宋体"/>
          <w:b/>
          <w:bCs/>
        </w:rPr>
        <w:t>2、限售股份变动情况</w:t>
      </w:r>
      <w:bookmarkEnd w:id="13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8"/>
        <w:gridCol w:w="1377"/>
        <w:gridCol w:w="1377"/>
        <w:gridCol w:w="1377"/>
        <w:gridCol w:w="1377"/>
        <w:gridCol w:w="1377"/>
        <w:gridCol w:w="1497"/>
      </w:tblGrid>
      <w:tr w:rsidR="00A95787">
        <w:trPr>
          <w:trHeight w:val="240"/>
        </w:trPr>
        <w:tc>
          <w:tcPr>
            <w:tcW w:w="12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董事任期内</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王宏宇</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2024-01-15</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吴文通</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不适用</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2024-01-15</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pStyle w:val="2"/>
        <w:spacing w:before="300" w:after="300" w:line="320" w:lineRule="exact"/>
        <w:rPr>
          <w:rFonts w:ascii="宋体" w:eastAsia="宋体" w:hAnsi="宋体" w:cs="宋体"/>
          <w:b/>
          <w:bCs/>
          <w:sz w:val="24"/>
          <w:szCs w:val="24"/>
        </w:rPr>
      </w:pPr>
      <w:bookmarkStart w:id="136" w:name="_Toc989021"/>
      <w:r>
        <w:rPr>
          <w:rFonts w:ascii="宋体" w:eastAsia="宋体" w:hAnsi="宋体" w:cs="宋体"/>
          <w:b/>
          <w:bCs/>
          <w:sz w:val="24"/>
          <w:szCs w:val="24"/>
        </w:rPr>
        <w:t>二、证券发行与上市情况</w:t>
      </w:r>
      <w:bookmarkEnd w:id="136"/>
    </w:p>
    <w:p w:rsidR="00A95787" w:rsidRDefault="005D3CC1">
      <w:pPr>
        <w:pStyle w:val="3"/>
        <w:spacing w:line="280" w:lineRule="exact"/>
        <w:jc w:val="left"/>
        <w:rPr>
          <w:rFonts w:ascii="宋体" w:hAnsi="宋体" w:cs="宋体"/>
          <w:b/>
          <w:bCs/>
        </w:rPr>
      </w:pPr>
      <w:bookmarkStart w:id="137" w:name="_Toc989022"/>
      <w:r>
        <w:rPr>
          <w:rFonts w:ascii="宋体" w:hAnsi="宋体" w:cs="宋体"/>
          <w:b/>
          <w:bCs/>
        </w:rPr>
        <w:t>1、报告期内证券发行（不含优先股）情况</w:t>
      </w:r>
      <w:bookmarkEnd w:id="13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138" w:name="_Toc989023"/>
      <w:r>
        <w:rPr>
          <w:rFonts w:ascii="宋体" w:hAnsi="宋体" w:cs="宋体"/>
          <w:b/>
          <w:bCs/>
        </w:rPr>
        <w:t>2、公司股份总数及股东结构的变动、公司资产和负债结构的变动情况说明</w:t>
      </w:r>
      <w:bookmarkEnd w:id="13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139" w:name="_Toc989024"/>
      <w:r>
        <w:rPr>
          <w:rFonts w:ascii="宋体" w:hAnsi="宋体" w:cs="宋体"/>
          <w:b/>
          <w:bCs/>
        </w:rPr>
        <w:t>3、现存的内部职工股情况</w:t>
      </w:r>
      <w:bookmarkEnd w:id="13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40" w:name="_Toc989025"/>
      <w:r>
        <w:rPr>
          <w:rFonts w:ascii="宋体" w:eastAsia="宋体" w:hAnsi="宋体" w:cs="宋体"/>
          <w:b/>
          <w:bCs/>
          <w:sz w:val="24"/>
          <w:szCs w:val="24"/>
        </w:rPr>
        <w:lastRenderedPageBreak/>
        <w:t>三、股东和实际控制人情况</w:t>
      </w:r>
      <w:bookmarkEnd w:id="140"/>
    </w:p>
    <w:p w:rsidR="00A95787" w:rsidRDefault="005D3CC1">
      <w:pPr>
        <w:pStyle w:val="3"/>
        <w:spacing w:line="280" w:lineRule="exact"/>
        <w:jc w:val="left"/>
        <w:rPr>
          <w:rFonts w:ascii="宋体" w:hAnsi="宋体" w:cs="宋体"/>
          <w:b/>
          <w:bCs/>
        </w:rPr>
      </w:pPr>
      <w:bookmarkStart w:id="141" w:name="_Toc989026"/>
      <w:r>
        <w:rPr>
          <w:rFonts w:ascii="宋体" w:hAnsi="宋体" w:cs="宋体"/>
          <w:b/>
          <w:bCs/>
        </w:rPr>
        <w:t>1、公司股东数量及持股情况</w:t>
      </w:r>
      <w:bookmarkEnd w:id="141"/>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2"/>
        <w:gridCol w:w="951"/>
        <w:gridCol w:w="496"/>
        <w:gridCol w:w="441"/>
        <w:gridCol w:w="1238"/>
        <w:gridCol w:w="1325"/>
        <w:gridCol w:w="862"/>
        <w:gridCol w:w="1238"/>
        <w:gridCol w:w="825"/>
        <w:gridCol w:w="1300"/>
      </w:tblGrid>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报告期末普通股股东总数</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93,163</w:t>
            </w:r>
          </w:p>
        </w:tc>
        <w:tc>
          <w:tcPr>
            <w:tcW w:w="93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年度报告披露日前上一月末普通股股东总数</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70,977</w:t>
            </w: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c>
          <w:tcPr>
            <w:tcW w:w="20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年度报告披露日前上一月末表决权恢复的优先股股东总数（如有）</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38"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持股5%以上的股东或前10名股东持股情况（不含通过转融通出借股份）</w:t>
            </w:r>
          </w:p>
        </w:tc>
      </w:tr>
      <w:tr w:rsidR="00A95787">
        <w:trPr>
          <w:trHeight w:val="240"/>
        </w:trPr>
        <w:tc>
          <w:tcPr>
            <w:tcW w:w="9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股东名称</w:t>
            </w:r>
          </w:p>
        </w:tc>
        <w:tc>
          <w:tcPr>
            <w:tcW w:w="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股东性质</w:t>
            </w:r>
          </w:p>
        </w:tc>
        <w:tc>
          <w:tcPr>
            <w:tcW w:w="93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持股</w:t>
            </w:r>
            <w:r>
              <w:rPr>
                <w:rFonts w:ascii="宋体" w:eastAsia="宋体" w:hAnsi="宋体" w:cs="宋体" w:hint="eastAsia"/>
                <w:sz w:val="18"/>
                <w:szCs w:val="18"/>
              </w:rPr>
              <w:t xml:space="preserve"> </w:t>
            </w:r>
            <w:r>
              <w:rPr>
                <w:rFonts w:ascii="宋体" w:eastAsia="宋体" w:hAnsi="宋体" w:cs="宋体"/>
                <w:sz w:val="18"/>
                <w:szCs w:val="18"/>
              </w:rPr>
              <w:t>比例</w:t>
            </w:r>
          </w:p>
        </w:tc>
        <w:tc>
          <w:tcPr>
            <w:tcW w:w="123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报告期末持股数量</w:t>
            </w:r>
          </w:p>
        </w:tc>
        <w:tc>
          <w:tcPr>
            <w:tcW w:w="13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8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123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持有无限售条件的股份数量</w:t>
            </w:r>
          </w:p>
        </w:tc>
        <w:tc>
          <w:tcPr>
            <w:tcW w:w="21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A95787">
        <w:trPr>
          <w:trHeight w:val="240"/>
        </w:trPr>
        <w:tc>
          <w:tcPr>
            <w:tcW w:w="9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93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123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13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8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123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股份</w:t>
            </w:r>
          </w:p>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状态</w:t>
            </w:r>
          </w:p>
        </w:tc>
        <w:tc>
          <w:tcPr>
            <w:tcW w:w="1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数量</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江苏华西集团有限公司</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境内非国有法人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29.34%</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260,000,000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260,000,000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质押</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260,000,000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国有法人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9.27%</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82,129,483</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82,129,483</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质押</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40,000,000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杨光勇</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0.67%</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rsidP="00510725">
            <w:pPr>
              <w:spacing w:line="250" w:lineRule="exact"/>
              <w:jc w:val="right"/>
              <w:rPr>
                <w:rFonts w:ascii="宋体" w:eastAsia="宋体" w:hAnsi="宋体" w:cs="宋体"/>
                <w:sz w:val="18"/>
                <w:szCs w:val="18"/>
              </w:rPr>
            </w:pPr>
            <w:r>
              <w:rPr>
                <w:rFonts w:ascii="宋体" w:eastAsia="宋体" w:hAnsi="宋体" w:cs="宋体"/>
                <w:sz w:val="18"/>
                <w:szCs w:val="18"/>
              </w:rPr>
              <w:t>5,912,311</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-5,009</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5,912,311</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香港中央结算有限公司</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境外法人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0.48%</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4,288,795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895,422</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4,288,795</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陈杏英</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0.45%</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4,000,000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1,500,000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4,000,000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张斌</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0.35%</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3,123,300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1,530,000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3,123,300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唐德香</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0.33%</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2,954,500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2,954,500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2,954,500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林凯铭</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0.28%</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2,482,700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75,200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2,482,700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钱国华</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0.24%</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2,123,500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1,073,500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2,123,500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李晓辉</w:t>
            </w:r>
          </w:p>
        </w:tc>
        <w:tc>
          <w:tcPr>
            <w:tcW w:w="95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境内自然人</w:t>
            </w:r>
          </w:p>
        </w:tc>
        <w:tc>
          <w:tcPr>
            <w:tcW w:w="937"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0.23%</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1,995,000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1,995,000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hint="eastAsia"/>
                <w:sz w:val="18"/>
                <w:szCs w:val="18"/>
              </w:rPr>
              <w:t>0</w:t>
            </w:r>
          </w:p>
        </w:tc>
        <w:tc>
          <w:tcPr>
            <w:tcW w:w="12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1,995,000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19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战略投资者或一般法人因配售新股成为前10名股东的情况（如有）</w:t>
            </w:r>
          </w:p>
        </w:tc>
        <w:tc>
          <w:tcPr>
            <w:tcW w:w="7725" w:type="dxa"/>
            <w:gridSpan w:val="8"/>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19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725" w:type="dxa"/>
            <w:gridSpan w:val="8"/>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江苏华西集团有限公司、江阴市凝秀建设投资发展有限公司受同一实际控制人控制，属于一致行动人。除此之外，公司未知其他股东之间是否存在关联关系，也未知其一致行动情况。</w:t>
            </w:r>
          </w:p>
        </w:tc>
      </w:tr>
      <w:tr w:rsidR="00A95787">
        <w:trPr>
          <w:trHeight w:val="240"/>
        </w:trPr>
        <w:tc>
          <w:tcPr>
            <w:tcW w:w="19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725" w:type="dxa"/>
            <w:gridSpan w:val="8"/>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19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前10名股东中存在回购专户的特别说明（如有）</w:t>
            </w:r>
          </w:p>
        </w:tc>
        <w:tc>
          <w:tcPr>
            <w:tcW w:w="7725" w:type="dxa"/>
            <w:gridSpan w:val="8"/>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不适用</w:t>
            </w:r>
          </w:p>
        </w:tc>
      </w:tr>
      <w:tr w:rsidR="00A95787">
        <w:trPr>
          <w:trHeight w:val="240"/>
        </w:trPr>
        <w:tc>
          <w:tcPr>
            <w:tcW w:w="9638"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lastRenderedPageBreak/>
              <w:t>前10名无限售条件股东持股情况（不含通过转融通出借股份、高管锁定股）</w:t>
            </w:r>
          </w:p>
        </w:tc>
      </w:tr>
      <w:tr w:rsidR="00A95787" w:rsidTr="00346A24">
        <w:trPr>
          <w:trHeight w:val="240"/>
        </w:trPr>
        <w:tc>
          <w:tcPr>
            <w:tcW w:w="2409"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股东名称</w:t>
            </w:r>
          </w:p>
        </w:tc>
        <w:tc>
          <w:tcPr>
            <w:tcW w:w="510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报告期末持有无限售条件股份数量</w:t>
            </w:r>
          </w:p>
        </w:tc>
        <w:tc>
          <w:tcPr>
            <w:tcW w:w="21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股份种类</w:t>
            </w:r>
          </w:p>
        </w:tc>
      </w:tr>
      <w:tr w:rsidR="00A95787" w:rsidTr="00346A24">
        <w:trPr>
          <w:trHeight w:val="240"/>
        </w:trPr>
        <w:tc>
          <w:tcPr>
            <w:tcW w:w="2409"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510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股份种类</w:t>
            </w:r>
          </w:p>
        </w:tc>
        <w:tc>
          <w:tcPr>
            <w:tcW w:w="1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jc w:val="center"/>
              <w:rPr>
                <w:rFonts w:ascii="宋体" w:eastAsia="宋体" w:hAnsi="宋体" w:cs="宋体"/>
                <w:sz w:val="18"/>
                <w:szCs w:val="18"/>
              </w:rPr>
            </w:pPr>
            <w:r>
              <w:rPr>
                <w:rFonts w:ascii="宋体" w:eastAsia="宋体" w:hAnsi="宋体" w:cs="宋体"/>
                <w:sz w:val="18"/>
                <w:szCs w:val="18"/>
              </w:rPr>
              <w:t>数量</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江苏华西集团有限公司</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260,000,00</w:t>
            </w:r>
            <w:r>
              <w:rPr>
                <w:rFonts w:ascii="宋体" w:eastAsia="宋体" w:hAnsi="宋体" w:cs="宋体" w:hint="eastAsia"/>
                <w:sz w:val="18"/>
                <w:szCs w:val="18"/>
              </w:rPr>
              <w:t>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260,000,000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82,129,483</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82,129,483</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杨光勇</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5,912,311</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5,912,311</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香港中央结算有限公司</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4,288,795</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4,288,795</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陈杏英</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4,000,000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4,000,000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张斌</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3,123,300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3,123,300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唐德香</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2,954,500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2,954,500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林凯铭</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2,482,700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2,482,700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钱国华</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2,123,500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2,123,500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李晓辉</w:t>
            </w:r>
          </w:p>
        </w:tc>
        <w:tc>
          <w:tcPr>
            <w:tcW w:w="5104" w:type="dxa"/>
            <w:gridSpan w:val="5"/>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1,995,000</w:t>
            </w:r>
          </w:p>
        </w:tc>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人民币普通股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1,995,000</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前10名无限售流通股股东之间，以及前10名无限售流通股股东和前10名股东之间关联关系或一致行动的说明</w:t>
            </w:r>
          </w:p>
        </w:tc>
        <w:tc>
          <w:tcPr>
            <w:tcW w:w="7229"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江苏华西集团有限公司、江阴市凝秀建设投资发展有限公司受同一实际控制人控制，属于一致行动人。除此之外，公司未知其他股东之间是否存在关联关系，也未知其一致行动情况。</w:t>
            </w:r>
          </w:p>
        </w:tc>
      </w:tr>
      <w:tr w:rsidR="00A95787" w:rsidTr="00346A24">
        <w:trPr>
          <w:trHeight w:val="240"/>
        </w:trPr>
        <w:tc>
          <w:tcPr>
            <w:tcW w:w="240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346A24">
            <w:pPr>
              <w:spacing w:before="40" w:after="40" w:line="250" w:lineRule="exact"/>
              <w:rPr>
                <w:rFonts w:ascii="宋体" w:eastAsia="宋体" w:hAnsi="宋体" w:cs="宋体"/>
                <w:sz w:val="18"/>
                <w:szCs w:val="18"/>
              </w:rPr>
            </w:pPr>
            <w:r>
              <w:rPr>
                <w:rFonts w:ascii="宋体" w:eastAsia="宋体" w:hAnsi="宋体" w:cs="宋体"/>
                <w:sz w:val="18"/>
                <w:szCs w:val="18"/>
              </w:rPr>
              <w:t>前10名普通股股东参与融资融券业务情况说明（如有）</w:t>
            </w:r>
          </w:p>
        </w:tc>
        <w:tc>
          <w:tcPr>
            <w:tcW w:w="7229" w:type="dxa"/>
            <w:gridSpan w:val="7"/>
            <w:tcBorders>
              <w:top w:val="single" w:sz="2" w:space="0" w:color="auto"/>
              <w:left w:val="single" w:sz="2" w:space="0" w:color="auto"/>
              <w:bottom w:val="single" w:sz="2" w:space="0" w:color="auto"/>
              <w:right w:val="single" w:sz="2" w:space="0" w:color="auto"/>
            </w:tcBorders>
            <w:vAlign w:val="center"/>
          </w:tcPr>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股东“杨光勇”通过信用交易担保证券账户持有公司股票5,912,311股。</w:t>
            </w:r>
          </w:p>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股东“陈杏英”通过信用交易担保证券账户持有公司股票4,000,000股。</w:t>
            </w:r>
          </w:p>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股东“张斌”通过普通账户持有公司股票220,800股，信用交易担保证券账户持有公司股票2,902,500股。</w:t>
            </w:r>
          </w:p>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股东“唐德香”通过普通账户持有公司股票20,000股，通过信用担保证券账户持有公司股票2,934,500股。</w:t>
            </w:r>
          </w:p>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股东“林凯铭”通过信用交易担保证券账户持有公司股票2,482,700股。</w:t>
            </w:r>
          </w:p>
          <w:p w:rsidR="00A95787" w:rsidRDefault="005D3CC1" w:rsidP="00346A24">
            <w:pPr>
              <w:spacing w:line="250" w:lineRule="exact"/>
              <w:jc w:val="both"/>
              <w:rPr>
                <w:rFonts w:ascii="宋体" w:eastAsia="宋体" w:hAnsi="宋体" w:cs="宋体"/>
                <w:sz w:val="18"/>
                <w:szCs w:val="18"/>
              </w:rPr>
            </w:pPr>
            <w:r>
              <w:rPr>
                <w:rFonts w:ascii="宋体" w:eastAsia="宋体" w:hAnsi="宋体" w:cs="宋体"/>
                <w:sz w:val="18"/>
                <w:szCs w:val="18"/>
              </w:rPr>
              <w:t>股东“钱国华”通过普通账户持有公司股票23,500股，通过信用交易担保证券账户持有公司股票2,100,000股。</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前10名股东及前10名无限售流通股股东因转融通出借/归还原因导致较上期发生变化</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A95787" w:rsidRDefault="005D3CC1">
      <w:pPr>
        <w:pStyle w:val="3"/>
        <w:spacing w:line="280" w:lineRule="exact"/>
        <w:jc w:val="left"/>
        <w:rPr>
          <w:rFonts w:ascii="宋体" w:hAnsi="宋体" w:cs="宋体"/>
          <w:b/>
          <w:bCs/>
        </w:rPr>
      </w:pPr>
      <w:bookmarkStart w:id="142" w:name="_Toc989027"/>
      <w:r>
        <w:rPr>
          <w:rFonts w:ascii="宋体" w:hAnsi="宋体" w:cs="宋体"/>
          <w:b/>
          <w:bCs/>
        </w:rPr>
        <w:t>2、公司控股股东情况</w:t>
      </w:r>
      <w:bookmarkEnd w:id="14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控股股东性质：地方国有控股</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控股股东类型：法人</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300"/>
        <w:gridCol w:w="1120"/>
        <w:gridCol w:w="1573"/>
        <w:gridCol w:w="3839"/>
      </w:tblGrid>
      <w:tr w:rsidR="00A95787" w:rsidTr="00346A24">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控股股东名称</w:t>
            </w:r>
          </w:p>
        </w:tc>
        <w:tc>
          <w:tcPr>
            <w:tcW w:w="1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12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57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38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A95787" w:rsidTr="00346A24">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吴协恩</w:t>
            </w:r>
          </w:p>
        </w:tc>
        <w:tc>
          <w:tcPr>
            <w:tcW w:w="1120" w:type="dxa"/>
            <w:tcBorders>
              <w:top w:val="single" w:sz="2" w:space="0" w:color="auto"/>
              <w:left w:val="single" w:sz="2" w:space="0" w:color="auto"/>
              <w:bottom w:val="single" w:sz="2" w:space="0" w:color="auto"/>
              <w:right w:val="single" w:sz="2" w:space="0" w:color="auto"/>
            </w:tcBorders>
            <w:vAlign w:val="center"/>
          </w:tcPr>
          <w:p w:rsidR="00A95787" w:rsidRDefault="005D3CC1" w:rsidP="00346A24">
            <w:pPr>
              <w:spacing w:line="240" w:lineRule="exact"/>
              <w:rPr>
                <w:rFonts w:ascii="宋体" w:eastAsia="宋体" w:hAnsi="宋体" w:cs="宋体"/>
                <w:sz w:val="18"/>
                <w:szCs w:val="18"/>
              </w:rPr>
            </w:pPr>
            <w:r>
              <w:rPr>
                <w:rFonts w:ascii="宋体" w:eastAsia="宋体" w:hAnsi="宋体" w:cs="宋体"/>
                <w:sz w:val="18"/>
                <w:szCs w:val="18"/>
              </w:rPr>
              <w:t>1987年04月17日</w:t>
            </w:r>
          </w:p>
        </w:tc>
        <w:tc>
          <w:tcPr>
            <w:tcW w:w="157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91320281142232229Q</w:t>
            </w:r>
          </w:p>
        </w:tc>
        <w:tc>
          <w:tcPr>
            <w:tcW w:w="38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许可项目：房地产开发经营；建设工程施工；水产养殖；发电业务、输电业务、供（配）电业务；烟草制品零售；食品销售；民用机场运营；道路货物运输（不含危险货物）</w:t>
            </w:r>
          </w:p>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一般项目：水果种植；蔬菜种植；香料作物种植；树木种植经营；工程管理服务；财务咨询；税务服务；商务代理代办服务；非居住房地产租赁；住房租赁；社会经济咨询服务；房地产咨询；旅游开发项目策划咨询；会议及展览服务；咨询策划服务；计算机系统服务；软件开发；国内贸易代理；货物进出口；技术进出口；进出口代理；以自有资金从事投资活动；物业管理；服装制造；服饰制造；面料纺织加工；产业用纺织制成品制造；鞋制造；广告设计、代理；广告制作；家用电器销售；珠宝首饰批发；金属材料销售；机械设备销售；针纺织品及原料销售；日用百货销售；日用品销售；母婴用品销售；玩具销售；照相机及器材销售；纺织、服装及家庭用品批发；五金产品批发；电子产品销售；装卸搬运；特种劳动防护用品销售等。</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控股股东报告期内控股和参股的其他境内外上市公司的股权情况</w:t>
            </w:r>
          </w:p>
        </w:tc>
        <w:tc>
          <w:tcPr>
            <w:tcW w:w="7832" w:type="dxa"/>
            <w:gridSpan w:val="4"/>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截至报告期末，华西集团持有海洋王照明科技股份有限公司（股票代码：002724）854.23万股股份，持股比例1.11%。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控股股东报告期内变更</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A95787" w:rsidRDefault="005D3CC1">
      <w:pPr>
        <w:pStyle w:val="3"/>
        <w:spacing w:line="280" w:lineRule="exact"/>
        <w:jc w:val="left"/>
        <w:rPr>
          <w:rFonts w:ascii="宋体" w:hAnsi="宋体" w:cs="宋体"/>
          <w:b/>
          <w:bCs/>
        </w:rPr>
      </w:pPr>
      <w:bookmarkStart w:id="143" w:name="_Toc989028"/>
      <w:r>
        <w:rPr>
          <w:rFonts w:ascii="宋体" w:hAnsi="宋体" w:cs="宋体"/>
          <w:b/>
          <w:bCs/>
        </w:rPr>
        <w:t>3、公司实际控制人及其一致行动人</w:t>
      </w:r>
      <w:bookmarkEnd w:id="14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实际控制人性质：地方国资管理机构</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实际控制人类型：法人</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30"/>
        <w:gridCol w:w="1928"/>
        <w:gridCol w:w="1928"/>
        <w:gridCol w:w="1928"/>
        <w:gridCol w:w="2023"/>
      </w:tblGrid>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实际控制人名称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成立日期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组织机构代码</w:t>
            </w:r>
          </w:p>
        </w:tc>
        <w:tc>
          <w:tcPr>
            <w:tcW w:w="20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主要经营业务</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江阴市人民政府国有资产监督管理办公室</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rsidP="00346A24">
            <w:pPr>
              <w:spacing w:line="300" w:lineRule="exact"/>
              <w:jc w:val="center"/>
              <w:rPr>
                <w:rFonts w:ascii="宋体" w:eastAsia="宋体" w:hAnsi="宋体" w:cs="宋体"/>
                <w:sz w:val="18"/>
                <w:szCs w:val="18"/>
              </w:rPr>
            </w:pPr>
            <w:r>
              <w:rPr>
                <w:rFonts w:ascii="宋体" w:eastAsia="宋体" w:hAnsi="宋体" w:cs="宋体"/>
                <w:sz w:val="18"/>
                <w:szCs w:val="18"/>
              </w:rPr>
              <w:t>王</w:t>
            </w:r>
            <w:r w:rsidR="00346A24">
              <w:rPr>
                <w:rFonts w:ascii="宋体" w:eastAsia="宋体" w:hAnsi="宋体" w:cs="宋体" w:hint="eastAsia"/>
                <w:sz w:val="18"/>
                <w:szCs w:val="18"/>
              </w:rPr>
              <w:t xml:space="preserve">  </w:t>
            </w:r>
            <w:r>
              <w:rPr>
                <w:rFonts w:ascii="宋体" w:eastAsia="宋体" w:hAnsi="宋体" w:cs="宋体"/>
                <w:sz w:val="18"/>
                <w:szCs w:val="18"/>
              </w:rPr>
              <w:t>凯</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2012年01月01日</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11320281MB1A397580</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根据市政府授权，依照《中华人民共和国公司法》等法律和行政法规履行出资人职责。</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实际控制人报告期内控制的其他境内外上市公司的股权情况</w:t>
            </w:r>
          </w:p>
        </w:tc>
        <w:tc>
          <w:tcPr>
            <w:tcW w:w="7807" w:type="dxa"/>
            <w:gridSpan w:val="4"/>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（1）江苏江南水务股份有限公司（以下简称“江南水务”）</w:t>
            </w:r>
          </w:p>
          <w:p w:rsidR="00A95787" w:rsidRDefault="005D3CC1">
            <w:pPr>
              <w:spacing w:line="300" w:lineRule="exact"/>
              <w:rPr>
                <w:rFonts w:ascii="宋体" w:eastAsia="宋体" w:hAnsi="宋体" w:cs="宋体"/>
                <w:sz w:val="18"/>
                <w:szCs w:val="18"/>
              </w:rPr>
            </w:pPr>
            <w:r>
              <w:rPr>
                <w:rFonts w:ascii="宋体" w:eastAsia="宋体" w:hAnsi="宋体" w:cs="宋体"/>
                <w:sz w:val="18"/>
                <w:szCs w:val="18"/>
              </w:rPr>
              <w:t>根据江南水务公开信息，江阴市国资办通过控制的江阴市公有资产经营有限公司、江阴公用事业集团有限公司合计间接持有江南水务54,587.78万股股份，占江南水务股份总数的58.37%。</w:t>
            </w:r>
          </w:p>
          <w:p w:rsidR="00A95787" w:rsidRDefault="005D3CC1">
            <w:pPr>
              <w:spacing w:line="300" w:lineRule="exact"/>
              <w:rPr>
                <w:rFonts w:ascii="宋体" w:eastAsia="宋体" w:hAnsi="宋体" w:cs="宋体"/>
                <w:sz w:val="18"/>
                <w:szCs w:val="18"/>
              </w:rPr>
            </w:pPr>
            <w:r>
              <w:rPr>
                <w:rFonts w:ascii="宋体" w:eastAsia="宋体" w:hAnsi="宋体" w:cs="宋体"/>
                <w:sz w:val="18"/>
                <w:szCs w:val="18"/>
              </w:rPr>
              <w:t>（2）中南红文化集团股份有限公司（以下简称“中南文化”）</w:t>
            </w:r>
          </w:p>
          <w:p w:rsidR="00A95787" w:rsidRDefault="005D3CC1">
            <w:pPr>
              <w:spacing w:line="300" w:lineRule="exact"/>
              <w:rPr>
                <w:rFonts w:ascii="宋体" w:eastAsia="宋体" w:hAnsi="宋体" w:cs="宋体"/>
                <w:sz w:val="18"/>
                <w:szCs w:val="18"/>
              </w:rPr>
            </w:pPr>
            <w:r>
              <w:rPr>
                <w:rFonts w:ascii="宋体" w:eastAsia="宋体" w:hAnsi="宋体" w:cs="宋体"/>
                <w:sz w:val="18"/>
                <w:szCs w:val="18"/>
              </w:rPr>
              <w:t>根据中南文化公开信息，江阴市国资办全资持有的江阴市新国联集团有限公司通过江阴澄邦企业管理发展中心（有限合伙）和江阴市新国联电力发展有限公司合计间接持有中南文化71,679.84万股股份，占中南文化股份总数的29.97%。</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公司报告期实际控制人未发生变更。</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公司与实际控制人之间的产权及控制关系的方框图</w:t>
      </w:r>
    </w:p>
    <w:p w:rsidR="00A95787" w:rsidRDefault="005D3CC1">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5044440" cy="31470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stretch>
                      <a:fillRect/>
                    </a:stretch>
                  </pic:blipFill>
                  <pic:spPr>
                    <a:xfrm>
                      <a:off x="0" y="0"/>
                      <a:ext cx="5046840" cy="3148557"/>
                    </a:xfrm>
                    <a:prstGeom prst="rect">
                      <a:avLst/>
                    </a:prstGeom>
                  </pic:spPr>
                </pic:pic>
              </a:graphicData>
            </a:graphic>
          </wp:inline>
        </w:drawing>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实际控制人通过信托或其他资产管理方式控制公司</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144" w:name="_Toc989029"/>
      <w:r>
        <w:rPr>
          <w:rFonts w:ascii="宋体" w:hAnsi="宋体" w:cs="宋体"/>
          <w:b/>
          <w:bCs/>
        </w:rPr>
        <w:t>4、公司控股股东或第一大股东及其一致行动人累计质押股份数量占其所持公司股份数量比例达到80%</w:t>
      </w:r>
      <w:bookmarkEnd w:id="14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3"/>
        <w:gridCol w:w="1087"/>
        <w:gridCol w:w="1325"/>
        <w:gridCol w:w="1085"/>
        <w:gridCol w:w="1053"/>
        <w:gridCol w:w="1357"/>
        <w:gridCol w:w="1205"/>
        <w:gridCol w:w="1313"/>
      </w:tblGrid>
      <w:tr w:rsidR="00A95787">
        <w:trPr>
          <w:trHeight w:val="240"/>
        </w:trPr>
        <w:tc>
          <w:tcPr>
            <w:tcW w:w="1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名称</w:t>
            </w:r>
          </w:p>
        </w:tc>
        <w:tc>
          <w:tcPr>
            <w:tcW w:w="10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股东类别</w:t>
            </w: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股票质押融资总额（万元）</w:t>
            </w:r>
          </w:p>
        </w:tc>
        <w:tc>
          <w:tcPr>
            <w:tcW w:w="10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具体用途</w:t>
            </w: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偿还期限</w:t>
            </w:r>
          </w:p>
        </w:tc>
        <w:tc>
          <w:tcPr>
            <w:tcW w:w="135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还款资金来源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是否存在偿债或平仓风险</w:t>
            </w:r>
          </w:p>
        </w:tc>
        <w:tc>
          <w:tcPr>
            <w:tcW w:w="1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是否影响公司控制权稳定</w:t>
            </w:r>
          </w:p>
        </w:tc>
      </w:tr>
      <w:tr w:rsidR="00A95787">
        <w:trPr>
          <w:trHeight w:val="240"/>
        </w:trPr>
        <w:tc>
          <w:tcPr>
            <w:tcW w:w="1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江苏华西集团有限公司</w:t>
            </w:r>
          </w:p>
        </w:tc>
        <w:tc>
          <w:tcPr>
            <w:tcW w:w="10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控股股东</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175,340</w:t>
            </w:r>
          </w:p>
        </w:tc>
        <w:tc>
          <w:tcPr>
            <w:tcW w:w="10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融资需求</w:t>
            </w:r>
          </w:p>
        </w:tc>
        <w:tc>
          <w:tcPr>
            <w:tcW w:w="105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center"/>
              <w:rPr>
                <w:rFonts w:ascii="宋体" w:eastAsia="宋体" w:hAnsi="宋体" w:cs="宋体"/>
                <w:sz w:val="18"/>
                <w:szCs w:val="18"/>
              </w:rPr>
            </w:pPr>
          </w:p>
        </w:tc>
        <w:tc>
          <w:tcPr>
            <w:tcW w:w="135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经营性现金流</w:t>
            </w: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否</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否</w:t>
            </w:r>
          </w:p>
        </w:tc>
      </w:tr>
    </w:tbl>
    <w:p w:rsidR="00A95787" w:rsidRDefault="005D3CC1">
      <w:pPr>
        <w:pStyle w:val="3"/>
        <w:spacing w:line="280" w:lineRule="exact"/>
        <w:jc w:val="left"/>
        <w:rPr>
          <w:rFonts w:ascii="宋体" w:hAnsi="宋体" w:cs="宋体"/>
          <w:b/>
          <w:bCs/>
        </w:rPr>
      </w:pPr>
      <w:bookmarkStart w:id="145" w:name="_Toc989030"/>
      <w:r>
        <w:rPr>
          <w:rFonts w:ascii="宋体" w:hAnsi="宋体" w:cs="宋体"/>
          <w:b/>
          <w:bCs/>
        </w:rPr>
        <w:t>5、其他持股在10%以上的法人股东</w:t>
      </w:r>
      <w:bookmarkEnd w:id="14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146" w:name="_Toc989031"/>
      <w:r>
        <w:rPr>
          <w:rFonts w:ascii="宋体" w:hAnsi="宋体" w:cs="宋体"/>
          <w:b/>
          <w:bCs/>
        </w:rPr>
        <w:t>6、控股股东、实际控制人、重组方及其他承诺主体股份限制减持情况</w:t>
      </w:r>
      <w:bookmarkEnd w:id="14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147" w:name="_Toc989032"/>
      <w:r>
        <w:rPr>
          <w:rFonts w:ascii="宋体" w:eastAsia="宋体" w:hAnsi="宋体" w:cs="宋体"/>
          <w:b/>
          <w:bCs/>
          <w:sz w:val="24"/>
          <w:szCs w:val="24"/>
        </w:rPr>
        <w:t>四、股份回购在报告期的具体实施情况</w:t>
      </w:r>
      <w:bookmarkEnd w:id="14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采用集中竞价交易方式减持回购股份的实施进展情况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148" w:name="_Toc989033"/>
      <w:r>
        <w:rPr>
          <w:rFonts w:ascii="宋体" w:eastAsia="宋体" w:hAnsi="宋体" w:cs="宋体"/>
          <w:b/>
          <w:bCs/>
          <w:sz w:val="32"/>
          <w:szCs w:val="32"/>
        </w:rPr>
        <w:lastRenderedPageBreak/>
        <w:t>第八节 优先股相关情况</w:t>
      </w:r>
      <w:bookmarkEnd w:id="14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报告期公司不存在优先股。</w:t>
      </w:r>
    </w:p>
    <w:p w:rsidR="00A95787" w:rsidRDefault="005D3CC1">
      <w:pPr>
        <w:pStyle w:val="headingh1"/>
        <w:spacing w:before="340" w:after="330" w:line="773" w:lineRule="exact"/>
        <w:jc w:val="center"/>
        <w:rPr>
          <w:rFonts w:ascii="宋体" w:eastAsia="宋体" w:hAnsi="宋体" w:cs="宋体"/>
          <w:b/>
          <w:bCs/>
          <w:sz w:val="32"/>
          <w:szCs w:val="32"/>
        </w:rPr>
      </w:pPr>
      <w:bookmarkStart w:id="149" w:name="_Toc989034"/>
      <w:r>
        <w:rPr>
          <w:rFonts w:ascii="宋体" w:eastAsia="宋体" w:hAnsi="宋体" w:cs="宋体"/>
          <w:b/>
          <w:bCs/>
          <w:sz w:val="32"/>
          <w:szCs w:val="32"/>
        </w:rPr>
        <w:t>第九节 债券相关情况</w:t>
      </w:r>
      <w:bookmarkEnd w:id="149"/>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r>
        <w:br w:type="page"/>
      </w:r>
    </w:p>
    <w:p w:rsidR="00A95787" w:rsidRDefault="005D3CC1">
      <w:pPr>
        <w:pStyle w:val="headingh1"/>
        <w:spacing w:before="340" w:after="330" w:line="773" w:lineRule="exact"/>
        <w:jc w:val="center"/>
        <w:rPr>
          <w:rFonts w:ascii="宋体" w:eastAsia="宋体" w:hAnsi="宋体" w:cs="宋体"/>
          <w:b/>
          <w:bCs/>
          <w:sz w:val="32"/>
          <w:szCs w:val="32"/>
        </w:rPr>
      </w:pPr>
      <w:bookmarkStart w:id="150" w:name="_Toc989035"/>
      <w:r>
        <w:rPr>
          <w:rFonts w:ascii="宋体" w:eastAsia="宋体" w:hAnsi="宋体" w:cs="宋体"/>
          <w:b/>
          <w:bCs/>
          <w:sz w:val="32"/>
          <w:szCs w:val="32"/>
        </w:rPr>
        <w:lastRenderedPageBreak/>
        <w:t>第十节 财务报告</w:t>
      </w:r>
      <w:bookmarkEnd w:id="150"/>
    </w:p>
    <w:p w:rsidR="00A95787" w:rsidRDefault="005D3CC1">
      <w:pPr>
        <w:pStyle w:val="2"/>
        <w:spacing w:before="300" w:after="300" w:line="320" w:lineRule="exact"/>
        <w:rPr>
          <w:rFonts w:ascii="宋体" w:eastAsia="宋体" w:hAnsi="宋体" w:cs="宋体"/>
          <w:b/>
          <w:bCs/>
          <w:sz w:val="24"/>
          <w:szCs w:val="24"/>
        </w:rPr>
      </w:pPr>
      <w:bookmarkStart w:id="151" w:name="_Toc989036"/>
      <w:r>
        <w:rPr>
          <w:rFonts w:ascii="宋体" w:eastAsia="宋体" w:hAnsi="宋体" w:cs="宋体"/>
          <w:b/>
          <w:bCs/>
          <w:sz w:val="24"/>
          <w:szCs w:val="24"/>
        </w:rPr>
        <w:t>一、审计报告</w:t>
      </w:r>
      <w:bookmarkEnd w:id="151"/>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39"/>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审计意见类型</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标准的无保留意见</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审计报告签署日期</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2025年04月2</w:t>
            </w:r>
            <w:r>
              <w:rPr>
                <w:rFonts w:ascii="宋体" w:eastAsia="宋体" w:hAnsi="宋体" w:cs="宋体" w:hint="eastAsia"/>
                <w:sz w:val="18"/>
                <w:szCs w:val="18"/>
              </w:rPr>
              <w:t>8</w:t>
            </w:r>
            <w:r>
              <w:rPr>
                <w:rFonts w:ascii="宋体" w:eastAsia="宋体" w:hAnsi="宋体" w:cs="宋体"/>
                <w:sz w:val="18"/>
                <w:szCs w:val="18"/>
              </w:rPr>
              <w:t>日</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审计机构名称</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审计报告文号</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中兴华审字（2025）第020956号</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注册会计师姓名</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卓丹  苏寒天</w:t>
            </w:r>
          </w:p>
        </w:tc>
      </w:tr>
    </w:tbl>
    <w:p w:rsidR="00A95787" w:rsidRDefault="005D3CC1">
      <w:pPr>
        <w:spacing w:before="100" w:after="100" w:line="240" w:lineRule="exact"/>
        <w:jc w:val="center"/>
        <w:rPr>
          <w:rFonts w:ascii="宋体" w:eastAsia="宋体" w:hAnsi="宋体" w:cs="宋体"/>
          <w:sz w:val="18"/>
          <w:szCs w:val="18"/>
        </w:rPr>
      </w:pPr>
      <w:r>
        <w:rPr>
          <w:rFonts w:ascii="宋体" w:eastAsia="宋体" w:hAnsi="宋体" w:cs="宋体"/>
          <w:sz w:val="18"/>
          <w:szCs w:val="18"/>
        </w:rPr>
        <w:t>审计报告正文</w:t>
      </w:r>
    </w:p>
    <w:p w:rsidR="00A95787" w:rsidRDefault="005D3CC1">
      <w:pPr>
        <w:pStyle w:val="a6"/>
        <w:spacing w:before="120" w:beforeAutospacing="0" w:after="0" w:afterAutospacing="0" w:line="360" w:lineRule="auto"/>
        <w:jc w:val="both"/>
        <w:rPr>
          <w:rFonts w:ascii="Times New Roman" w:hAnsi="Times New Roman" w:cs="Times New Roman"/>
          <w:sz w:val="21"/>
          <w:szCs w:val="21"/>
        </w:rPr>
      </w:pPr>
      <w:r>
        <w:rPr>
          <w:rStyle w:val="a7"/>
          <w:rFonts w:cs="Times New Roman" w:hint="eastAsia"/>
          <w:sz w:val="18"/>
          <w:szCs w:val="18"/>
        </w:rPr>
        <w:t>江苏华西村股份有限公司全体股东：</w:t>
      </w:r>
      <w:r>
        <w:rPr>
          <w:rStyle w:val="a7"/>
          <w:rFonts w:ascii="Arial" w:hAnsi="Arial" w:cs="Arial"/>
          <w:sz w:val="18"/>
          <w:szCs w:val="18"/>
        </w:rPr>
        <w:t xml:space="preserve"> </w:t>
      </w:r>
    </w:p>
    <w:p w:rsidR="00A95787" w:rsidRDefault="005D3CC1">
      <w:pPr>
        <w:pStyle w:val="a6"/>
        <w:spacing w:before="120" w:beforeAutospacing="0" w:after="0" w:afterAutospacing="0" w:line="276" w:lineRule="auto"/>
        <w:ind w:left="482"/>
        <w:jc w:val="both"/>
        <w:rPr>
          <w:rFonts w:ascii="Times New Roman" w:hAnsi="Times New Roman" w:cs="Times New Roman"/>
          <w:sz w:val="21"/>
          <w:szCs w:val="21"/>
        </w:rPr>
      </w:pPr>
      <w:r>
        <w:rPr>
          <w:rStyle w:val="a7"/>
          <w:rFonts w:cs="Times New Roman" w:hint="eastAsia"/>
          <w:sz w:val="18"/>
          <w:szCs w:val="18"/>
        </w:rPr>
        <w:t>一、审计意见</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我们审计了江苏华西村股份有限公司（以下简称“华西股份”）财务报表，包括</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日的合并及母公司资产负债表，</w:t>
      </w:r>
      <w:r>
        <w:rPr>
          <w:rFonts w:ascii="Arial" w:hAnsi="Arial" w:cs="Arial"/>
          <w:sz w:val="18"/>
          <w:szCs w:val="18"/>
        </w:rPr>
        <w:t>2024</w:t>
      </w:r>
      <w:r>
        <w:rPr>
          <w:rFonts w:cs="Times New Roman" w:hint="eastAsia"/>
          <w:sz w:val="18"/>
          <w:szCs w:val="18"/>
        </w:rPr>
        <w:t>年度的合并及母公司利润表、合并及母公司现金流量表、合并及母公司股东权益变动表以及相关财务报表附注。</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我们认为，后附的财务报表在所有重大方面按照企业会计准则的规定编制，公允反映了华西股份</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日合并及母公司的财务状况以及</w:t>
      </w:r>
      <w:r>
        <w:rPr>
          <w:rFonts w:ascii="Arial" w:hAnsi="Arial" w:cs="Arial"/>
          <w:sz w:val="18"/>
          <w:szCs w:val="18"/>
        </w:rPr>
        <w:t>2024</w:t>
      </w:r>
      <w:r>
        <w:rPr>
          <w:rFonts w:cs="Times New Roman" w:hint="eastAsia"/>
          <w:sz w:val="18"/>
          <w:szCs w:val="18"/>
        </w:rPr>
        <w:t>年度合并及母公司的经营成果和现金流量。</w:t>
      </w:r>
    </w:p>
    <w:p w:rsidR="00A95787" w:rsidRDefault="005D3CC1">
      <w:pPr>
        <w:pStyle w:val="a6"/>
        <w:spacing w:before="120" w:beforeAutospacing="0" w:after="0" w:afterAutospacing="0" w:line="288" w:lineRule="auto"/>
        <w:ind w:left="482"/>
        <w:jc w:val="both"/>
        <w:rPr>
          <w:rFonts w:ascii="Times New Roman" w:hAnsi="Times New Roman" w:cs="Times New Roman"/>
          <w:sz w:val="21"/>
          <w:szCs w:val="21"/>
        </w:rPr>
      </w:pPr>
      <w:r>
        <w:rPr>
          <w:rStyle w:val="a7"/>
          <w:rFonts w:cs="Times New Roman" w:hint="eastAsia"/>
          <w:sz w:val="18"/>
          <w:szCs w:val="18"/>
        </w:rPr>
        <w:t>二、形成审计意见的基础</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按照中国注册会计师审计准则的规定执行了审计工作。审计报告的“注册会计师对财务报表审计的责任”部分进一步阐述了我们在这些准则下的责任。按照中国注册会计师职业道德守则，我们独立于华西股份，并履行了职业道德方面的其他责任。我们相信，我们获取的审计证据是充分、适当的，为发表审计意见提供了基础。</w:t>
      </w:r>
    </w:p>
    <w:p w:rsidR="00A95787" w:rsidRDefault="005D3CC1">
      <w:pPr>
        <w:pStyle w:val="a6"/>
        <w:spacing w:before="120" w:beforeAutospacing="0" w:after="0" w:afterAutospacing="0" w:line="288" w:lineRule="auto"/>
        <w:ind w:left="482"/>
        <w:jc w:val="both"/>
        <w:rPr>
          <w:rFonts w:ascii="Times New Roman" w:hAnsi="Times New Roman" w:cs="Times New Roman"/>
          <w:sz w:val="21"/>
          <w:szCs w:val="21"/>
        </w:rPr>
      </w:pPr>
      <w:r>
        <w:rPr>
          <w:rStyle w:val="a7"/>
          <w:rFonts w:cs="Times New Roman" w:hint="eastAsia"/>
          <w:sz w:val="18"/>
          <w:szCs w:val="18"/>
        </w:rPr>
        <w:t>三、关键审计事项</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关键审计事项是我们根据职业判断，认为对本期财务报表审计最为重要的事项。这些事项的应对以对财务报表整体进行审计并形成意见为背景，我们不对这些事项单独发表意见。我们确定下列事项是需要在审计报告中沟通的关键审计事项。</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（一）收入确认</w:t>
      </w:r>
    </w:p>
    <w:p w:rsidR="00A95787" w:rsidRDefault="005D3CC1">
      <w:pPr>
        <w:pStyle w:val="a6"/>
        <w:spacing w:before="0" w:beforeAutospacing="0" w:after="0" w:afterAutospacing="0" w:line="288" w:lineRule="auto"/>
        <w:ind w:firstLine="361"/>
        <w:jc w:val="both"/>
        <w:rPr>
          <w:rFonts w:ascii="Times New Roman" w:hAnsi="Times New Roman" w:cs="Times New Roman"/>
          <w:sz w:val="21"/>
          <w:szCs w:val="21"/>
        </w:rPr>
      </w:pPr>
      <w:r>
        <w:rPr>
          <w:rStyle w:val="a7"/>
          <w:rFonts w:ascii="Arial" w:hAnsi="Arial" w:cs="Arial"/>
          <w:sz w:val="18"/>
          <w:szCs w:val="18"/>
        </w:rPr>
        <w:t>1</w:t>
      </w:r>
      <w:r>
        <w:rPr>
          <w:rStyle w:val="a7"/>
          <w:rFonts w:cs="Times New Roman" w:hint="eastAsia"/>
          <w:sz w:val="18"/>
          <w:szCs w:val="18"/>
        </w:rPr>
        <w:t>、事项描述</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华西股份主要从事涤纶短纤维的生产、销售，收入确认相关会计政策见财务报表</w:t>
      </w:r>
      <w:r>
        <w:rPr>
          <w:rFonts w:cs="Times New Roman" w:hint="eastAsia"/>
          <w:sz w:val="18"/>
          <w:szCs w:val="18"/>
          <w:shd w:val="clear" w:color="auto" w:fill="FFFFFF"/>
        </w:rPr>
        <w:t>附注五、</w:t>
      </w:r>
      <w:r>
        <w:rPr>
          <w:rFonts w:ascii="Arial" w:hAnsi="Arial" w:cs="Arial"/>
          <w:sz w:val="18"/>
          <w:szCs w:val="18"/>
          <w:shd w:val="clear" w:color="auto" w:fill="FFFFFF"/>
        </w:rPr>
        <w:t>26</w:t>
      </w:r>
      <w:r>
        <w:rPr>
          <w:rFonts w:cs="Times New Roman" w:hint="eastAsia"/>
          <w:sz w:val="18"/>
          <w:szCs w:val="18"/>
          <w:shd w:val="clear" w:color="auto" w:fill="FFFFFF"/>
        </w:rPr>
        <w:t>。如附注七、</w:t>
      </w:r>
      <w:r>
        <w:rPr>
          <w:rFonts w:ascii="Arial" w:hAnsi="Arial" w:cs="Arial"/>
          <w:sz w:val="18"/>
          <w:szCs w:val="18"/>
          <w:shd w:val="clear" w:color="auto" w:fill="FFFFFF"/>
        </w:rPr>
        <w:t>34</w:t>
      </w:r>
      <w:r>
        <w:rPr>
          <w:rFonts w:cs="Times New Roman" w:hint="eastAsia"/>
          <w:sz w:val="18"/>
          <w:szCs w:val="18"/>
          <w:shd w:val="clear" w:color="auto" w:fill="FFFFFF"/>
        </w:rPr>
        <w:t>所述，</w:t>
      </w:r>
      <w:r>
        <w:rPr>
          <w:rFonts w:cs="Times New Roman" w:hint="eastAsia"/>
          <w:sz w:val="18"/>
          <w:szCs w:val="18"/>
        </w:rPr>
        <w:t xml:space="preserve"> 华西股份本期营业收入为</w:t>
      </w:r>
      <w:r>
        <w:rPr>
          <w:rFonts w:ascii="Arial" w:hAnsi="Arial" w:cs="Arial"/>
          <w:sz w:val="18"/>
          <w:szCs w:val="18"/>
          <w:shd w:val="clear" w:color="auto" w:fill="FFFFFF"/>
        </w:rPr>
        <w:t>326,131.19</w:t>
      </w:r>
      <w:r>
        <w:rPr>
          <w:rFonts w:cs="Times New Roman" w:hint="eastAsia"/>
          <w:sz w:val="18"/>
          <w:szCs w:val="18"/>
          <w:shd w:val="clear" w:color="auto" w:fill="FFFFFF"/>
        </w:rPr>
        <w:t>万元。由</w:t>
      </w:r>
      <w:r>
        <w:rPr>
          <w:rFonts w:cs="Times New Roman" w:hint="eastAsia"/>
          <w:sz w:val="18"/>
          <w:szCs w:val="18"/>
        </w:rPr>
        <w:t>于营业收入是华西股份的关键业绩指标之一，可能存在管理层为了达到特定目标而操纵收入确认的固有风险，因此，我们将收入确认识别为关键审计事项。</w:t>
      </w:r>
    </w:p>
    <w:p w:rsidR="00A95787" w:rsidRDefault="005D3CC1">
      <w:pPr>
        <w:pStyle w:val="a6"/>
        <w:spacing w:before="0" w:beforeAutospacing="0" w:after="0" w:afterAutospacing="0" w:line="288" w:lineRule="auto"/>
        <w:ind w:firstLine="361"/>
        <w:jc w:val="both"/>
        <w:rPr>
          <w:rFonts w:ascii="Times New Roman" w:hAnsi="Times New Roman" w:cs="Times New Roman"/>
          <w:sz w:val="21"/>
          <w:szCs w:val="21"/>
        </w:rPr>
      </w:pPr>
      <w:r>
        <w:rPr>
          <w:rStyle w:val="a7"/>
          <w:rFonts w:ascii="Arial" w:hAnsi="Arial" w:cs="Arial"/>
          <w:sz w:val="18"/>
          <w:szCs w:val="18"/>
        </w:rPr>
        <w:t>2</w:t>
      </w:r>
      <w:r>
        <w:rPr>
          <w:rStyle w:val="a7"/>
          <w:rFonts w:cs="Times New Roman" w:hint="eastAsia"/>
          <w:sz w:val="18"/>
          <w:szCs w:val="18"/>
        </w:rPr>
        <w:t>、审计应对</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针对收入确认，我们实施的审计程序主要包括：</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）了解、评价和测试华西股份与营业收入相关的内部控制的设计合理性和运行有效性；</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）通过抽样检查销售合同（订单），对合同关键条款进行检查，包括但不限于识别合同履约义务、确定商品控制权转移的时点等，评价华西股份收入确认政策、会计处理是否符合企业会计准则的规定；</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）对营业收入及毛利率实施分析性复核程序，识别、分析其是否存在异常波动及异常波动合理性；</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4</w:t>
      </w:r>
      <w:r>
        <w:rPr>
          <w:rFonts w:cs="Times New Roman" w:hint="eastAsia"/>
          <w:sz w:val="18"/>
          <w:szCs w:val="18"/>
        </w:rPr>
        <w:t>）针对资产负债表日前后记录的收入交易，选取样本，核对收发记录、客户确认的结算单及其他支持性文件，以评价收入是否被记录于恰当的会计期间；</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）检查与收入确认相关的支持性文件，包括销售合同、发票、收发记录、客户确认的结算单、资金收付凭证等资料，评价收入确认是否符合企业会计准则的要求；</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）选择重大客户对当期交易额及期末应收账款余额实施函证程序，以确认收入的真实性。</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（二）以公允价值计量的金融资产估值</w:t>
      </w:r>
    </w:p>
    <w:p w:rsidR="00A95787" w:rsidRDefault="005D3CC1">
      <w:pPr>
        <w:pStyle w:val="a6"/>
        <w:spacing w:before="0" w:beforeAutospacing="0" w:after="0" w:afterAutospacing="0" w:line="288" w:lineRule="auto"/>
        <w:ind w:firstLine="361"/>
        <w:jc w:val="both"/>
        <w:rPr>
          <w:rFonts w:ascii="Times New Roman" w:hAnsi="Times New Roman" w:cs="Times New Roman"/>
          <w:sz w:val="21"/>
          <w:szCs w:val="21"/>
        </w:rPr>
      </w:pPr>
      <w:r>
        <w:rPr>
          <w:rStyle w:val="a7"/>
          <w:rFonts w:ascii="Arial" w:hAnsi="Arial" w:cs="Arial"/>
          <w:sz w:val="18"/>
          <w:szCs w:val="18"/>
        </w:rPr>
        <w:t>1</w:t>
      </w:r>
      <w:r>
        <w:rPr>
          <w:rStyle w:val="a7"/>
          <w:rFonts w:cs="Times New Roman" w:hint="eastAsia"/>
          <w:sz w:val="18"/>
          <w:szCs w:val="18"/>
        </w:rPr>
        <w:t>、事项描述</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 如财务报表</w:t>
      </w:r>
      <w:r>
        <w:rPr>
          <w:rFonts w:cs="Times New Roman" w:hint="eastAsia"/>
          <w:sz w:val="18"/>
          <w:szCs w:val="18"/>
          <w:shd w:val="clear" w:color="auto" w:fill="FFFFFF"/>
        </w:rPr>
        <w:t>附注十二、公允价值的披露所述，截止</w:t>
      </w:r>
      <w:r>
        <w:rPr>
          <w:rFonts w:ascii="Arial" w:hAnsi="Arial" w:cs="Arial"/>
          <w:sz w:val="18"/>
          <w:szCs w:val="18"/>
          <w:shd w:val="clear" w:color="auto" w:fill="FFFFFF"/>
        </w:rPr>
        <w:t>2024</w:t>
      </w:r>
      <w:r>
        <w:rPr>
          <w:rFonts w:cs="Times New Roman" w:hint="eastAsia"/>
          <w:sz w:val="18"/>
          <w:szCs w:val="18"/>
          <w:shd w:val="clear" w:color="auto" w:fill="FFFFFF"/>
        </w:rPr>
        <w:t>年</w:t>
      </w:r>
      <w:r>
        <w:rPr>
          <w:rFonts w:ascii="Arial" w:hAnsi="Arial" w:cs="Arial"/>
          <w:sz w:val="18"/>
          <w:szCs w:val="18"/>
          <w:shd w:val="clear" w:color="auto" w:fill="FFFFFF"/>
        </w:rPr>
        <w:t>12</w:t>
      </w:r>
      <w:r>
        <w:rPr>
          <w:rFonts w:cs="Times New Roman" w:hint="eastAsia"/>
          <w:sz w:val="18"/>
          <w:szCs w:val="18"/>
          <w:shd w:val="clear" w:color="auto" w:fill="FFFFFF"/>
        </w:rPr>
        <w:t>月</w:t>
      </w:r>
      <w:r>
        <w:rPr>
          <w:rFonts w:ascii="Arial" w:hAnsi="Arial" w:cs="Arial"/>
          <w:sz w:val="18"/>
          <w:szCs w:val="18"/>
          <w:shd w:val="clear" w:color="auto" w:fill="FFFFFF"/>
        </w:rPr>
        <w:t>31</w:t>
      </w:r>
      <w:r>
        <w:rPr>
          <w:rFonts w:cs="Times New Roman" w:hint="eastAsia"/>
          <w:sz w:val="18"/>
          <w:szCs w:val="18"/>
          <w:shd w:val="clear" w:color="auto" w:fill="FFFFFF"/>
        </w:rPr>
        <w:t>日，华西股份以公允价值计量的交易性金融资产、应收款项融资及其他非流动金融资产等金融资产的余额为</w:t>
      </w:r>
      <w:r>
        <w:rPr>
          <w:rFonts w:ascii="Arial" w:hAnsi="Arial" w:cs="Arial"/>
          <w:sz w:val="18"/>
          <w:szCs w:val="18"/>
          <w:shd w:val="clear" w:color="auto" w:fill="FFFFFF"/>
        </w:rPr>
        <w:t>128,008.68</w:t>
      </w:r>
      <w:r>
        <w:rPr>
          <w:rFonts w:cs="Times New Roman" w:hint="eastAsia"/>
          <w:sz w:val="18"/>
          <w:szCs w:val="18"/>
          <w:shd w:val="clear" w:color="auto" w:fill="FFFFFF"/>
        </w:rPr>
        <w:t>万元。以公允价值计量的金融资产占资产总额的</w:t>
      </w:r>
      <w:r>
        <w:rPr>
          <w:rFonts w:ascii="Arial" w:hAnsi="Arial" w:cs="Arial"/>
          <w:sz w:val="18"/>
          <w:szCs w:val="18"/>
          <w:shd w:val="clear" w:color="auto" w:fill="FFFFFF"/>
        </w:rPr>
        <w:t>19.43%</w:t>
      </w:r>
      <w:r>
        <w:rPr>
          <w:rFonts w:cs="Times New Roman" w:hint="eastAsia"/>
          <w:sz w:val="18"/>
          <w:szCs w:val="18"/>
          <w:shd w:val="clear" w:color="auto" w:fill="FFFFFF"/>
        </w:rPr>
        <w:t>，系公司</w:t>
      </w:r>
      <w:r>
        <w:rPr>
          <w:rFonts w:ascii="Arial" w:hAnsi="Arial" w:cs="Arial"/>
          <w:sz w:val="18"/>
          <w:szCs w:val="18"/>
          <w:shd w:val="clear" w:color="auto" w:fill="FFFFFF"/>
        </w:rPr>
        <w:t>2024</w:t>
      </w:r>
      <w:r>
        <w:rPr>
          <w:rFonts w:cs="Times New Roman" w:hint="eastAsia"/>
          <w:sz w:val="18"/>
          <w:szCs w:val="18"/>
          <w:shd w:val="clear" w:color="auto" w:fill="FFFFFF"/>
        </w:rPr>
        <w:t>年末资产总额重要组成部分，且以公允价值计量的金融资产公允价值变动对公司利润影响重大。华西股份以公允价值计量的金融资产的估值以市</w:t>
      </w:r>
      <w:r>
        <w:rPr>
          <w:rFonts w:cs="Times New Roman" w:hint="eastAsia"/>
          <w:sz w:val="18"/>
          <w:szCs w:val="18"/>
        </w:rPr>
        <w:t>场数据和估值模型为基础，其中估值模型通常需要大量的参数输入，在确定金融资产估值模型及参数的过程中涉及管理层重大判断及估计。</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考虑以公允价值计量的金融资产的余额系公司</w:t>
      </w:r>
      <w:r>
        <w:rPr>
          <w:rFonts w:ascii="Arial" w:hAnsi="Arial" w:cs="Arial"/>
          <w:sz w:val="18"/>
          <w:szCs w:val="18"/>
        </w:rPr>
        <w:t>2024</w:t>
      </w:r>
      <w:r>
        <w:rPr>
          <w:rFonts w:cs="Times New Roman" w:hint="eastAsia"/>
          <w:sz w:val="18"/>
          <w:szCs w:val="18"/>
        </w:rPr>
        <w:t>年末资产总额重要组成部分，其公允价值变动对公司利润影响重大，且在确定金融资产估值模型及参数的过程中涉及管理层重大判断及估计，为此，我们将以公允价值计量的金融资产的估值确定为关键审计事项。</w:t>
      </w:r>
    </w:p>
    <w:p w:rsidR="00A95787" w:rsidRDefault="005D3CC1">
      <w:pPr>
        <w:pStyle w:val="a6"/>
        <w:spacing w:before="0" w:beforeAutospacing="0" w:after="0" w:afterAutospacing="0" w:line="288" w:lineRule="auto"/>
        <w:ind w:firstLine="361"/>
        <w:jc w:val="both"/>
        <w:rPr>
          <w:rFonts w:ascii="Times New Roman" w:hAnsi="Times New Roman" w:cs="Times New Roman"/>
          <w:sz w:val="21"/>
          <w:szCs w:val="21"/>
        </w:rPr>
      </w:pPr>
      <w:r>
        <w:rPr>
          <w:rStyle w:val="a7"/>
          <w:rFonts w:ascii="Arial" w:hAnsi="Arial" w:cs="Arial"/>
          <w:sz w:val="18"/>
          <w:szCs w:val="18"/>
        </w:rPr>
        <w:t>2</w:t>
      </w:r>
      <w:r>
        <w:rPr>
          <w:rStyle w:val="a7"/>
          <w:rFonts w:cs="Times New Roman" w:hint="eastAsia"/>
          <w:sz w:val="18"/>
          <w:szCs w:val="18"/>
        </w:rPr>
        <w:t>、审计应对</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）了解、评价和测试了华西股份与金融资产估值相关的内部控制的设计和执行有效性；</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w:t>
      </w:r>
      <w:r>
        <w:rPr>
          <w:rFonts w:ascii="Arial" w:hAnsi="Arial" w:cs="Arial"/>
          <w:sz w:val="18"/>
          <w:szCs w:val="18"/>
        </w:rPr>
        <w:t xml:space="preserve"> </w:t>
      </w:r>
      <w:r>
        <w:rPr>
          <w:rFonts w:cs="Times New Roman" w:hint="eastAsia"/>
          <w:sz w:val="18"/>
          <w:szCs w:val="18"/>
        </w:rPr>
        <w:t>选取样本，结合行业估值的相关惯例，通过比较华西股份采用的公允价值与公开可获取的市场数据，评价公允价值属于第一层级的金融资产估值；</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选取样本，对金融工具属于第二层级及第三层级的金融资产，获取初始投资文件，复核相关变化，并结合历史经验及行业估值的相关惯例评价参数及估值方法运用的恰当性，将所采用的可观察参数与可获得的外部市场数据进行核对，对相关数据的准确性进行复核；</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）评价财务报表的相关披露，是否符合相关会计准则的披露要求、恰当反映了金融资产估值风险。</w:t>
      </w:r>
    </w:p>
    <w:p w:rsidR="00A95787" w:rsidRDefault="005D3CC1">
      <w:pPr>
        <w:pStyle w:val="a6"/>
        <w:spacing w:before="120" w:beforeAutospacing="0" w:after="0" w:afterAutospacing="0" w:line="288" w:lineRule="auto"/>
        <w:ind w:left="482"/>
        <w:jc w:val="both"/>
        <w:rPr>
          <w:rFonts w:ascii="Times New Roman" w:hAnsi="Times New Roman" w:cs="Times New Roman"/>
          <w:sz w:val="21"/>
          <w:szCs w:val="21"/>
        </w:rPr>
      </w:pPr>
      <w:r>
        <w:rPr>
          <w:rStyle w:val="a7"/>
          <w:rFonts w:cs="Times New Roman" w:hint="eastAsia"/>
          <w:sz w:val="18"/>
          <w:szCs w:val="18"/>
        </w:rPr>
        <w:t>四、其他信息</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华西股份管理层（以下简称“管理层”）对其他信息负责。其他信息包括华西股份</w:t>
      </w:r>
      <w:r>
        <w:rPr>
          <w:rFonts w:ascii="Arial" w:hAnsi="Arial" w:cs="Arial"/>
          <w:sz w:val="18"/>
          <w:szCs w:val="18"/>
        </w:rPr>
        <w:t>2024</w:t>
      </w:r>
      <w:r>
        <w:rPr>
          <w:rFonts w:cs="Times New Roman" w:hint="eastAsia"/>
          <w:sz w:val="18"/>
          <w:szCs w:val="18"/>
        </w:rPr>
        <w:t>年度报告中涵盖的信息，但不包括财务报表和我们的审计报告。</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我们对财务报表发表的审计意见不涵盖其他信息，我们也不对其他信息发表任何形式的鉴证结论。</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结合我们对财务报表的审计，我们的责任是阅读其他信息，在此过程中，考虑其他信息是否与财务报表或我们在审计过程中了解到的情况存在重大不一致或者似乎存在重大错报。</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基于我们已执行的工作，如果我们确定其他信息存在重大错报，我们应当报告该事实。在这方面，我们无任何事项需要报告。</w:t>
      </w:r>
    </w:p>
    <w:p w:rsidR="00A95787" w:rsidRDefault="005D3CC1">
      <w:pPr>
        <w:pStyle w:val="a6"/>
        <w:spacing w:before="120" w:beforeAutospacing="0" w:after="0" w:afterAutospacing="0" w:line="288" w:lineRule="auto"/>
        <w:ind w:left="482"/>
        <w:jc w:val="both"/>
        <w:rPr>
          <w:rFonts w:ascii="Times New Roman" w:hAnsi="Times New Roman" w:cs="Times New Roman"/>
          <w:sz w:val="21"/>
          <w:szCs w:val="21"/>
        </w:rPr>
      </w:pPr>
      <w:r>
        <w:rPr>
          <w:rStyle w:val="a7"/>
          <w:rFonts w:cs="Times New Roman" w:hint="eastAsia"/>
          <w:sz w:val="18"/>
          <w:szCs w:val="18"/>
        </w:rPr>
        <w:t>五、管理层和治理层对财务报表的责任</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管理层负责按照企业会计准则的规定编制财务报表，使其实现公允反映，并设计、执行和维护必要的内部控制，以使财务报表不存在由于舞弊或错误导致的重大错报。</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在编制财务报表时，管理层负责评估华西股份的持续经营能力，披露与持续经营相关的事项（如适用），并运用持续经营假设，除非管理层计划清算华西股份、终止运营或别无其他现实的选择。</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lastRenderedPageBreak/>
        <w:t>治理层负责监督华西股份的财务报告过程。</w:t>
      </w:r>
    </w:p>
    <w:p w:rsidR="00A95787" w:rsidRDefault="005D3CC1">
      <w:pPr>
        <w:pStyle w:val="a6"/>
        <w:spacing w:before="120" w:beforeAutospacing="0" w:after="0" w:afterAutospacing="0" w:line="288" w:lineRule="auto"/>
        <w:ind w:left="482"/>
        <w:jc w:val="both"/>
        <w:rPr>
          <w:rFonts w:ascii="Times New Roman" w:hAnsi="Times New Roman" w:cs="Times New Roman"/>
          <w:sz w:val="21"/>
          <w:szCs w:val="21"/>
        </w:rPr>
      </w:pPr>
      <w:r>
        <w:rPr>
          <w:rStyle w:val="a7"/>
          <w:rFonts w:cs="Times New Roman" w:hint="eastAsia"/>
          <w:sz w:val="18"/>
          <w:szCs w:val="18"/>
        </w:rPr>
        <w:t>六、注册会计师对财务报表审计的责任</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在按照审计准则执行审计的过程中，我们运用了职业判断，保持了职业怀疑。同时，我们也执行以下工作：</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）了解与审计相关的内部控制，以设计恰当的审计程序。</w:t>
      </w:r>
    </w:p>
    <w:p w:rsidR="00A95787" w:rsidRDefault="005D3CC1">
      <w:pPr>
        <w:pStyle w:val="a6"/>
        <w:spacing w:before="0" w:beforeAutospacing="0" w:after="0" w:afterAutospacing="0" w:line="288" w:lineRule="auto"/>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）评价管理层选用会计政策的恰当性和作出会计估计及相关披露的合理性。</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对管理层使用持续经营假设的恰当性得出结论。同时，根据获取的审计证据，就可能导致对华西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华西股份不能持续经营。</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）评价财务报表的总体列报、结构和内容，并评价财务报表是否公允反映相关交易和事项。</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）就华西股份中实体或业务活动的财务信息获取充分、适当的审计证据，以对财务报表发表意见。我们负责指导、监督和执行集团审计。我们对审计意见承担全部责任。</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我们与治理层就计划的审计范围、时间安排和重大审计发现等事项进行沟通，包括沟通我们在审计中识别出的值得关注的内部控制缺陷。</w:t>
      </w:r>
      <w:r>
        <w:rPr>
          <w:rFonts w:ascii="Arial" w:hAnsi="Arial" w:cs="Arial"/>
          <w:sz w:val="18"/>
          <w:szCs w:val="18"/>
        </w:rPr>
        <w:t xml:space="preserve"> </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我们还就已遵守与独立性相关的职业道德要求向治理层提供声明，并与治理层沟通可能被合理认为影响我们独立性的所有关系和其他事项，以及相关的防范措施（如适用）。</w:t>
      </w:r>
    </w:p>
    <w:p w:rsidR="00A95787" w:rsidRDefault="005D3CC1">
      <w:pPr>
        <w:pStyle w:val="a6"/>
        <w:spacing w:before="0" w:beforeAutospacing="0" w:after="0" w:afterAutospacing="0" w:line="288" w:lineRule="auto"/>
        <w:ind w:firstLine="360"/>
        <w:jc w:val="both"/>
        <w:rPr>
          <w:rFonts w:ascii="Times New Roman" w:hAnsi="Times New Roman" w:cs="Times New Roman"/>
          <w:sz w:val="21"/>
          <w:szCs w:val="21"/>
        </w:rPr>
      </w:pPr>
      <w:r>
        <w:rPr>
          <w:rFonts w:cs="Times New Roman" w:hint="eastAsia"/>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r>
        <w:rPr>
          <w:rFonts w:ascii="Arial" w:hAnsi="Arial" w:cs="Arial"/>
          <w:sz w:val="18"/>
          <w:szCs w:val="18"/>
        </w:rPr>
        <w:t xml:space="preserve"> </w:t>
      </w:r>
    </w:p>
    <w:p w:rsidR="00A95787" w:rsidRDefault="005D3CC1">
      <w:pPr>
        <w:pStyle w:val="a6"/>
        <w:spacing w:before="31" w:beforeAutospacing="0" w:after="31" w:afterAutospacing="0" w:line="288" w:lineRule="auto"/>
        <w:ind w:firstLine="200"/>
        <w:jc w:val="both"/>
        <w:rPr>
          <w:rFonts w:ascii="Times New Roman" w:hAnsi="Times New Roman" w:cs="Times New Roman"/>
          <w:sz w:val="21"/>
          <w:szCs w:val="21"/>
        </w:rPr>
      </w:pPr>
      <w:r>
        <w:rPr>
          <w:rFonts w:ascii="Arial" w:hAnsi="Arial" w:cs="Arial"/>
          <w:sz w:val="18"/>
          <w:szCs w:val="18"/>
        </w:rPr>
        <w:t> </w:t>
      </w:r>
    </w:p>
    <w:p w:rsidR="00A95787" w:rsidRDefault="005D3CC1">
      <w:pPr>
        <w:pStyle w:val="a6"/>
        <w:spacing w:before="31" w:beforeAutospacing="0" w:after="31" w:afterAutospacing="0" w:line="288" w:lineRule="auto"/>
        <w:ind w:left="990" w:hanging="990"/>
        <w:jc w:val="both"/>
        <w:rPr>
          <w:rFonts w:ascii="Times New Roman" w:hAnsi="Times New Roman" w:cs="Times New Roman"/>
          <w:sz w:val="21"/>
          <w:szCs w:val="21"/>
        </w:rPr>
      </w:pPr>
      <w:r>
        <w:rPr>
          <w:rFonts w:cs="Times New Roman" w:hint="eastAsia"/>
          <w:sz w:val="18"/>
          <w:szCs w:val="18"/>
        </w:rPr>
        <w:t>              中兴华会计师事务所（特殊普通合伙）</w:t>
      </w:r>
      <w:r>
        <w:rPr>
          <w:rFonts w:ascii="Arial" w:hAnsi="Arial" w:cs="Arial"/>
          <w:sz w:val="18"/>
          <w:szCs w:val="18"/>
        </w:rPr>
        <w:t>   </w:t>
      </w:r>
      <w:r>
        <w:rPr>
          <w:rFonts w:ascii="Arial" w:hAnsi="Arial" w:cs="Arial" w:hint="eastAsia"/>
          <w:sz w:val="18"/>
          <w:szCs w:val="18"/>
        </w:rPr>
        <w:t xml:space="preserve">         </w:t>
      </w:r>
      <w:r>
        <w:rPr>
          <w:rFonts w:ascii="Arial" w:hAnsi="Arial" w:cs="Arial"/>
          <w:sz w:val="18"/>
          <w:szCs w:val="18"/>
        </w:rPr>
        <w:t xml:space="preserve">        </w:t>
      </w:r>
      <w:r>
        <w:rPr>
          <w:rFonts w:cs="Times New Roman" w:hint="eastAsia"/>
          <w:sz w:val="18"/>
          <w:szCs w:val="18"/>
        </w:rPr>
        <w:t>中国注册会计师：卓  丹</w:t>
      </w:r>
    </w:p>
    <w:p w:rsidR="00A95787" w:rsidRDefault="005D3CC1">
      <w:pPr>
        <w:pStyle w:val="a6"/>
        <w:spacing w:before="31" w:beforeAutospacing="0" w:after="31" w:afterAutospacing="0" w:line="288" w:lineRule="auto"/>
        <w:ind w:left="990" w:hanging="990"/>
        <w:jc w:val="both"/>
        <w:rPr>
          <w:rFonts w:ascii="Times New Roman" w:hAnsi="Times New Roman" w:cs="Times New Roman"/>
          <w:sz w:val="21"/>
          <w:szCs w:val="21"/>
        </w:rPr>
      </w:pPr>
      <w:r>
        <w:rPr>
          <w:rFonts w:cs="Times New Roman" w:hint="eastAsia"/>
          <w:sz w:val="18"/>
          <w:szCs w:val="18"/>
        </w:rPr>
        <w:t>                                            （项目合伙人）</w:t>
      </w:r>
      <w:r>
        <w:rPr>
          <w:rFonts w:ascii="Arial" w:hAnsi="Arial" w:cs="Arial"/>
          <w:sz w:val="18"/>
          <w:szCs w:val="18"/>
        </w:rPr>
        <w:t xml:space="preserve"> </w:t>
      </w:r>
    </w:p>
    <w:p w:rsidR="00A95787" w:rsidRDefault="005D3CC1">
      <w:pPr>
        <w:pStyle w:val="a6"/>
        <w:spacing w:before="31" w:beforeAutospacing="0" w:after="31" w:afterAutospacing="0" w:line="288" w:lineRule="auto"/>
        <w:ind w:firstLine="990"/>
        <w:jc w:val="both"/>
        <w:rPr>
          <w:rFonts w:ascii="Times New Roman" w:hAnsi="Times New Roman" w:cs="Times New Roman"/>
          <w:sz w:val="21"/>
          <w:szCs w:val="21"/>
        </w:rPr>
      </w:pPr>
      <w:r>
        <w:rPr>
          <w:rFonts w:cs="Times New Roman" w:hint="eastAsia"/>
          <w:sz w:val="18"/>
          <w:szCs w:val="18"/>
        </w:rPr>
        <w:t>                中国</w:t>
      </w:r>
      <w:r>
        <w:rPr>
          <w:rFonts w:ascii="Arial" w:hAnsi="Arial" w:cs="Arial"/>
          <w:sz w:val="18"/>
          <w:szCs w:val="18"/>
        </w:rPr>
        <w:t>·</w:t>
      </w:r>
      <w:r>
        <w:rPr>
          <w:rFonts w:cs="Times New Roman" w:hint="eastAsia"/>
          <w:sz w:val="18"/>
          <w:szCs w:val="18"/>
        </w:rPr>
        <w:t>北京</w:t>
      </w:r>
      <w:r>
        <w:rPr>
          <w:rFonts w:ascii="Arial" w:hAnsi="Arial" w:cs="Arial"/>
          <w:sz w:val="18"/>
          <w:szCs w:val="18"/>
        </w:rPr>
        <w:t xml:space="preserve">                          </w:t>
      </w:r>
      <w:r>
        <w:rPr>
          <w:rFonts w:ascii="Arial" w:hAnsi="Arial" w:cs="Arial" w:hint="eastAsia"/>
          <w:sz w:val="18"/>
          <w:szCs w:val="18"/>
        </w:rPr>
        <w:t xml:space="preserve">      </w:t>
      </w:r>
      <w:r>
        <w:rPr>
          <w:rFonts w:ascii="Arial" w:hAnsi="Arial" w:cs="Arial"/>
          <w:sz w:val="18"/>
          <w:szCs w:val="18"/>
        </w:rPr>
        <w:t>       </w:t>
      </w:r>
      <w:r>
        <w:rPr>
          <w:rFonts w:cs="Times New Roman" w:hint="eastAsia"/>
          <w:sz w:val="18"/>
          <w:szCs w:val="18"/>
        </w:rPr>
        <w:t>中国注册会计师：苏寒天</w:t>
      </w:r>
    </w:p>
    <w:p w:rsidR="00A95787" w:rsidRDefault="005D3CC1">
      <w:pPr>
        <w:pStyle w:val="a6"/>
        <w:spacing w:before="31" w:beforeAutospacing="0" w:after="31" w:afterAutospacing="0" w:line="288" w:lineRule="auto"/>
        <w:ind w:firstLine="200"/>
        <w:jc w:val="both"/>
        <w:rPr>
          <w:rFonts w:ascii="Times New Roman" w:hAnsi="Times New Roman" w:cs="Times New Roman"/>
          <w:sz w:val="21"/>
          <w:szCs w:val="21"/>
        </w:rPr>
      </w:pPr>
      <w:r>
        <w:rPr>
          <w:rFonts w:ascii="Arial" w:hAnsi="Arial" w:cs="Arial"/>
          <w:sz w:val="18"/>
          <w:szCs w:val="18"/>
        </w:rPr>
        <w:t>                                                                                                       </w:t>
      </w:r>
      <w:r>
        <w:rPr>
          <w:rFonts w:ascii="Arial" w:hAnsi="Arial" w:cs="Arial"/>
          <w:sz w:val="18"/>
          <w:szCs w:val="18"/>
          <w:shd w:val="clear" w:color="auto" w:fill="FFFFFF"/>
        </w:rPr>
        <w:t xml:space="preserve">                  </w:t>
      </w:r>
      <w:r>
        <w:rPr>
          <w:rFonts w:ascii="Arial" w:hAnsi="Arial" w:cs="Arial"/>
          <w:sz w:val="18"/>
          <w:szCs w:val="18"/>
        </w:rPr>
        <w:t xml:space="preserve">   2025</w:t>
      </w:r>
      <w:r>
        <w:rPr>
          <w:rFonts w:cs="Times New Roman" w:hint="eastAsia"/>
          <w:sz w:val="18"/>
          <w:szCs w:val="18"/>
        </w:rPr>
        <w:t>年</w:t>
      </w:r>
      <w:r>
        <w:rPr>
          <w:rFonts w:ascii="Arial" w:hAnsi="Arial" w:cs="Arial"/>
          <w:sz w:val="18"/>
          <w:szCs w:val="18"/>
        </w:rPr>
        <w:t>4</w:t>
      </w:r>
      <w:r>
        <w:rPr>
          <w:rFonts w:cs="Times New Roman" w:hint="eastAsia"/>
          <w:sz w:val="18"/>
          <w:szCs w:val="18"/>
        </w:rPr>
        <w:t>月</w:t>
      </w:r>
      <w:r>
        <w:rPr>
          <w:rFonts w:ascii="Arial" w:hAnsi="Arial" w:cs="Arial"/>
          <w:sz w:val="18"/>
          <w:szCs w:val="18"/>
        </w:rPr>
        <w:t>2</w:t>
      </w:r>
      <w:r>
        <w:rPr>
          <w:rFonts w:ascii="Arial" w:hAnsi="Arial" w:cs="Arial" w:hint="eastAsia"/>
          <w:sz w:val="18"/>
          <w:szCs w:val="18"/>
        </w:rPr>
        <w:t>8</w:t>
      </w:r>
      <w:r>
        <w:rPr>
          <w:rFonts w:cs="Times New Roman" w:hint="eastAsia"/>
          <w:sz w:val="18"/>
          <w:szCs w:val="18"/>
        </w:rPr>
        <w:t>日</w:t>
      </w:r>
      <w:r>
        <w:rPr>
          <w:rFonts w:ascii="Arial" w:hAnsi="Arial" w:cs="Arial"/>
          <w:sz w:val="18"/>
          <w:szCs w:val="18"/>
        </w:rPr>
        <w:t xml:space="preserve"> </w:t>
      </w:r>
    </w:p>
    <w:p w:rsidR="00A95787" w:rsidRDefault="005D3CC1">
      <w:pPr>
        <w:pStyle w:val="2"/>
        <w:spacing w:before="300" w:after="300" w:line="320" w:lineRule="exact"/>
        <w:rPr>
          <w:rFonts w:ascii="宋体" w:eastAsia="宋体" w:hAnsi="宋体" w:cs="宋体"/>
          <w:b/>
          <w:bCs/>
          <w:sz w:val="24"/>
          <w:szCs w:val="24"/>
        </w:rPr>
      </w:pPr>
      <w:bookmarkStart w:id="152" w:name="_Toc989037"/>
      <w:r>
        <w:rPr>
          <w:rFonts w:ascii="宋体" w:eastAsia="宋体" w:hAnsi="宋体" w:cs="宋体"/>
          <w:b/>
          <w:bCs/>
          <w:sz w:val="24"/>
          <w:szCs w:val="24"/>
        </w:rPr>
        <w:t>二、财务报表</w:t>
      </w:r>
      <w:bookmarkEnd w:id="152"/>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A95787" w:rsidRDefault="005D3CC1">
      <w:pPr>
        <w:pStyle w:val="3"/>
        <w:spacing w:line="280" w:lineRule="exact"/>
        <w:jc w:val="left"/>
        <w:rPr>
          <w:rFonts w:ascii="宋体" w:hAnsi="宋体" w:cs="宋体"/>
          <w:b/>
          <w:bCs/>
        </w:rPr>
      </w:pPr>
      <w:bookmarkStart w:id="153" w:name="_Toc989038"/>
      <w:r>
        <w:rPr>
          <w:rFonts w:ascii="宋体" w:hAnsi="宋体" w:cs="宋体"/>
          <w:b/>
          <w:bCs/>
        </w:rPr>
        <w:lastRenderedPageBreak/>
        <w:t>1、合并资产负债表</w:t>
      </w:r>
      <w:bookmarkEnd w:id="153"/>
    </w:p>
    <w:p w:rsidR="00A95787" w:rsidRDefault="005D3CC1">
      <w:pPr>
        <w:adjustRightInd w:val="0"/>
        <w:snapToGrid w:val="0"/>
        <w:spacing w:line="20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2024年12月31日</w:t>
      </w:r>
    </w:p>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12"/>
        <w:gridCol w:w="3150"/>
        <w:gridCol w:w="3175"/>
      </w:tblGrid>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jc w:val="center"/>
              <w:rPr>
                <w:rFonts w:ascii="宋体" w:eastAsia="宋体" w:hAnsi="宋体" w:cs="宋体"/>
                <w:sz w:val="18"/>
                <w:szCs w:val="18"/>
              </w:rPr>
            </w:pPr>
            <w:r>
              <w:rPr>
                <w:rFonts w:ascii="宋体" w:eastAsia="宋体" w:hAnsi="宋体" w:cs="宋体"/>
                <w:sz w:val="18"/>
                <w:szCs w:val="18"/>
              </w:rPr>
              <w:t>项目</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jc w:val="center"/>
              <w:rPr>
                <w:rFonts w:ascii="宋体" w:eastAsia="宋体" w:hAnsi="宋体" w:cs="宋体"/>
                <w:sz w:val="18"/>
                <w:szCs w:val="18"/>
              </w:rPr>
            </w:pPr>
            <w:r>
              <w:rPr>
                <w:rFonts w:ascii="宋体" w:eastAsia="宋体" w:hAnsi="宋体" w:cs="宋体"/>
                <w:sz w:val="18"/>
                <w:szCs w:val="18"/>
              </w:rPr>
              <w:t>期末余额</w:t>
            </w: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流动资产：</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441,778,914.83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666,337,136.82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237,252,629.51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309,897,476.06</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119,568,708.24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51,216,616.87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128,178,794.58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109,741,338.42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200,883,796.09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141,899,872.44</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25,189,721.92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35,465,028.18</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1,300,752.20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1,423,307.95</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454,089,779.99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334,634,188.55</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22,294,253.67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31,586,437.65</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流动资产合计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1,630,537,351.03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1,682,201,402.94</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非流动资产：</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3,481,653,682.96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3,571,290,697.32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841,950,369.04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659,909,863.78</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552,829,127.63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466,295,788.81</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23,584,321.75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23,731,322.46</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19,317,441.95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20,097,035.61</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2,064,864.17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2,064,864.17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36,130,027.12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23,131,362.52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1,548,900.00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7,880,500.00</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非流动资产合计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4,959,078,734.62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4,774,401,434.67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资产总计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6,589,616,085.65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6,456,602,837.61</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lastRenderedPageBreak/>
              <w:t>流动负债：</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978,290,953.20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1,094,175,911.15</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157,544,954.27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77,396,186.48</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3,295,307.31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7,126,997.60</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87,523,406.28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57,960,875.88</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35,035,296.65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35,186,096.44</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13,849,070.02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2,589,275.66</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544,749.91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607,183.47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77,173,540.93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30,426,414.30</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流动负债合计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1,353,257,278.57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1,305,468,940.98</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非流动负债：</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19,519,743.75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3,752,000.00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4,221,000.00</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29,266,598.23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31,214,835.57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非流动负债合计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52,538,341.98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35,435,835.57</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1,405,795,620.55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1,340,904,776.55</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所有者权益：</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0" w:lineRule="exact"/>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886,012,887.00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886,012,887.00</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384,870,927.46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391,049,342.12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5,334,249.49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12,931,116.72</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450,644,980.60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435,671,944.53</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3,456,957,420.55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3,390,032,770.69</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5,183,820,465.10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5,115,698,061.06</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0" w:lineRule="exact"/>
              <w:jc w:val="right"/>
              <w:rPr>
                <w:rFonts w:ascii="宋体" w:eastAsia="宋体" w:hAnsi="宋体" w:cs="宋体"/>
                <w:sz w:val="18"/>
                <w:szCs w:val="18"/>
              </w:rPr>
            </w:pP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所有者权益合计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5,183,820,465.10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5,115,698,061.06</w:t>
            </w:r>
          </w:p>
        </w:tc>
      </w:tr>
      <w:tr w:rsidR="00A95787">
        <w:trPr>
          <w:trHeight w:val="113"/>
        </w:trPr>
        <w:tc>
          <w:tcPr>
            <w:tcW w:w="3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30" w:lineRule="exact"/>
              <w:rPr>
                <w:rFonts w:ascii="宋体" w:eastAsia="宋体" w:hAnsi="宋体" w:cs="宋体"/>
                <w:sz w:val="18"/>
                <w:szCs w:val="18"/>
              </w:rPr>
            </w:pPr>
            <w:r>
              <w:rPr>
                <w:rFonts w:ascii="宋体" w:eastAsia="宋体" w:hAnsi="宋体" w:cs="宋体"/>
                <w:sz w:val="18"/>
                <w:szCs w:val="18"/>
              </w:rPr>
              <w:t>负债和所有者权益总计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6,589,616,085.65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0" w:lineRule="exact"/>
              <w:jc w:val="right"/>
              <w:rPr>
                <w:rFonts w:ascii="宋体" w:eastAsia="宋体" w:hAnsi="宋体" w:cs="宋体"/>
                <w:sz w:val="18"/>
                <w:szCs w:val="18"/>
              </w:rPr>
            </w:pPr>
            <w:r>
              <w:rPr>
                <w:rFonts w:ascii="宋体" w:eastAsia="宋体" w:hAnsi="宋体" w:cs="宋体"/>
                <w:sz w:val="18"/>
                <w:szCs w:val="18"/>
              </w:rPr>
              <w:t>6,456,602,837.61</w:t>
            </w:r>
          </w:p>
        </w:tc>
      </w:tr>
    </w:tbl>
    <w:p w:rsidR="00A95787" w:rsidRDefault="005D3CC1">
      <w:pPr>
        <w:spacing w:line="230" w:lineRule="exact"/>
        <w:ind w:firstLineChars="200" w:firstLine="360"/>
        <w:rPr>
          <w:rFonts w:ascii="宋体" w:eastAsia="宋体" w:hAnsi="宋体" w:cs="宋体"/>
          <w:sz w:val="18"/>
          <w:szCs w:val="18"/>
        </w:rPr>
      </w:pPr>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A95787" w:rsidRDefault="005D3CC1">
      <w:pPr>
        <w:pStyle w:val="3"/>
        <w:spacing w:line="280" w:lineRule="exact"/>
        <w:jc w:val="left"/>
        <w:rPr>
          <w:rFonts w:ascii="宋体" w:hAnsi="宋体" w:cs="宋体"/>
          <w:b/>
          <w:bCs/>
        </w:rPr>
      </w:pPr>
      <w:bookmarkStart w:id="154" w:name="_Toc989039"/>
      <w:r>
        <w:rPr>
          <w:rFonts w:ascii="宋体" w:hAnsi="宋体" w:cs="宋体"/>
          <w:b/>
          <w:bCs/>
        </w:rPr>
        <w:lastRenderedPageBreak/>
        <w:t>2、母公司资产负债表</w:t>
      </w:r>
      <w:bookmarkEnd w:id="154"/>
    </w:p>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00"/>
        <w:gridCol w:w="3150"/>
        <w:gridCol w:w="3188"/>
      </w:tblGrid>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jc w:val="center"/>
              <w:rPr>
                <w:rFonts w:ascii="宋体" w:eastAsia="宋体" w:hAnsi="宋体" w:cs="宋体"/>
                <w:sz w:val="18"/>
                <w:szCs w:val="18"/>
              </w:rPr>
            </w:pPr>
            <w:r>
              <w:rPr>
                <w:rFonts w:ascii="宋体" w:eastAsia="宋体" w:hAnsi="宋体" w:cs="宋体"/>
                <w:sz w:val="18"/>
                <w:szCs w:val="18"/>
              </w:rPr>
              <w:t>项目</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jc w:val="center"/>
              <w:rPr>
                <w:rFonts w:ascii="宋体" w:eastAsia="宋体" w:hAnsi="宋体" w:cs="宋体"/>
                <w:sz w:val="18"/>
                <w:szCs w:val="18"/>
              </w:rPr>
            </w:pPr>
            <w:r>
              <w:rPr>
                <w:rFonts w:ascii="宋体" w:eastAsia="宋体" w:hAnsi="宋体" w:cs="宋体"/>
                <w:sz w:val="18"/>
                <w:szCs w:val="18"/>
              </w:rPr>
              <w:t>期末余额</w:t>
            </w: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rPr>
                <w:rFonts w:ascii="宋体" w:eastAsia="宋体" w:hAnsi="宋体" w:cs="宋体"/>
                <w:sz w:val="18"/>
                <w:szCs w:val="18"/>
              </w:rPr>
            </w:pPr>
            <w:r>
              <w:rPr>
                <w:rFonts w:ascii="宋体" w:eastAsia="宋体" w:hAnsi="宋体" w:cs="宋体"/>
                <w:sz w:val="18"/>
                <w:szCs w:val="18"/>
              </w:rPr>
              <w:t>流动资产：</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6"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6"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333,344,279.83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427,185,789.55</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225,178,215.00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306,943,207.20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117,467,581.32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44,855,357.67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114,556,520.02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100,357,653.36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197,625,811.56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135,160,808.33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28,473,721.07</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33,082,680.93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553,756.93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584,058.26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453,605,925.61</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334,091,810.56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22,180,970.39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25,894,299.98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rPr>
                <w:rFonts w:ascii="宋体" w:eastAsia="宋体" w:hAnsi="宋体" w:cs="宋体"/>
                <w:sz w:val="18"/>
                <w:szCs w:val="18"/>
              </w:rPr>
            </w:pPr>
            <w:r>
              <w:rPr>
                <w:rFonts w:ascii="宋体" w:eastAsia="宋体" w:hAnsi="宋体" w:cs="宋体"/>
                <w:sz w:val="18"/>
                <w:szCs w:val="18"/>
              </w:rPr>
              <w:t>流动资产合计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1,492,986,781.73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1,408,155,665.84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rPr>
                <w:rFonts w:ascii="宋体" w:eastAsia="宋体" w:hAnsi="宋体" w:cs="宋体"/>
                <w:sz w:val="18"/>
                <w:szCs w:val="18"/>
              </w:rPr>
            </w:pPr>
            <w:r>
              <w:rPr>
                <w:rFonts w:ascii="宋体" w:eastAsia="宋体" w:hAnsi="宋体" w:cs="宋体"/>
                <w:sz w:val="18"/>
                <w:szCs w:val="18"/>
              </w:rPr>
              <w:t>非流动资产：</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6"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6"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4,540,054,506.65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4,715,208,374.05</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261,575,059.21</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90,167,673.06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459,786,241.04</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372,863,512.46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21,547,886.47</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17,708,000.04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13,064,633.88</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6"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360,000.00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6,521,000.00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rPr>
                <w:rFonts w:ascii="宋体" w:eastAsia="宋体" w:hAnsi="宋体" w:cs="宋体"/>
                <w:sz w:val="18"/>
                <w:szCs w:val="18"/>
              </w:rPr>
            </w:pPr>
            <w:r>
              <w:rPr>
                <w:rFonts w:ascii="宋体" w:eastAsia="宋体" w:hAnsi="宋体" w:cs="宋体"/>
                <w:sz w:val="18"/>
                <w:szCs w:val="18"/>
              </w:rPr>
              <w:t>非流动资产合计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5,296,388,327.25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5,202,468,559.61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6" w:lineRule="exact"/>
              <w:rPr>
                <w:rFonts w:ascii="宋体" w:eastAsia="宋体" w:hAnsi="宋体" w:cs="宋体"/>
                <w:sz w:val="18"/>
                <w:szCs w:val="18"/>
              </w:rPr>
            </w:pPr>
            <w:r>
              <w:rPr>
                <w:rFonts w:ascii="宋体" w:eastAsia="宋体" w:hAnsi="宋体" w:cs="宋体"/>
                <w:sz w:val="18"/>
                <w:szCs w:val="18"/>
              </w:rPr>
              <w:t>资产总计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6,789,375,108.98</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6" w:lineRule="exact"/>
              <w:jc w:val="right"/>
              <w:rPr>
                <w:rFonts w:ascii="宋体" w:eastAsia="宋体" w:hAnsi="宋体" w:cs="宋体"/>
                <w:sz w:val="18"/>
                <w:szCs w:val="18"/>
              </w:rPr>
            </w:pPr>
            <w:r>
              <w:rPr>
                <w:rFonts w:ascii="宋体" w:eastAsia="宋体" w:hAnsi="宋体" w:cs="宋体"/>
                <w:sz w:val="18"/>
                <w:szCs w:val="18"/>
              </w:rPr>
              <w:t>6,610,624,225.45</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lastRenderedPageBreak/>
              <w:t>流动负债：</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667,450,679.16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743,575,663.63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468,146,140.63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426,623,849.03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87,142,976.53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57,580,446.13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23,032,638.04</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24,305,910.43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10,505,625.26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1,226,227.77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404,647,611.46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397,545,952.02</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75,829,177.93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28,693,439.43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流动负债合计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1,736,754,849.01</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1,679,551,488.44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非流动负债：</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19,519,743.75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1,948,237.34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非流动负债合计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19,519,743.75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1,948,237.34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rPr>
                <w:rFonts w:ascii="宋体" w:eastAsia="宋体" w:hAnsi="宋体" w:cs="宋体"/>
                <w:sz w:val="18"/>
                <w:szCs w:val="18"/>
              </w:rPr>
            </w:pPr>
            <w:r>
              <w:rPr>
                <w:rFonts w:ascii="宋体" w:eastAsia="宋体" w:hAnsi="宋体" w:cs="宋体"/>
                <w:sz w:val="18"/>
                <w:szCs w:val="18"/>
              </w:rPr>
              <w:t>负债合计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1,756,274,592.76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1,681,499,725.78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所有者权益：</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886,012,887.00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886,012,887.00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519,145,006.17</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529,662,927.74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-3,084,490.59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-3,288,583.47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481,319,101.45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466,346,065.38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3,149,708,012.19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3,050,391,203.02</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所有者权益合计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5,033,100,516.22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4,929,124,499.67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50" w:lineRule="exact"/>
              <w:rPr>
                <w:rFonts w:ascii="宋体" w:eastAsia="宋体" w:hAnsi="宋体" w:cs="宋体"/>
                <w:sz w:val="18"/>
                <w:szCs w:val="18"/>
              </w:rPr>
            </w:pPr>
            <w:r>
              <w:rPr>
                <w:rFonts w:ascii="宋体" w:eastAsia="宋体" w:hAnsi="宋体" w:cs="宋体"/>
                <w:sz w:val="18"/>
                <w:szCs w:val="18"/>
              </w:rPr>
              <w:t>负债和所有者权益总计</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6,789,375,108.98</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0" w:lineRule="exact"/>
              <w:jc w:val="right"/>
              <w:rPr>
                <w:rFonts w:ascii="宋体" w:eastAsia="宋体" w:hAnsi="宋体" w:cs="宋体"/>
                <w:sz w:val="18"/>
                <w:szCs w:val="18"/>
              </w:rPr>
            </w:pPr>
            <w:r>
              <w:rPr>
                <w:rFonts w:ascii="宋体" w:eastAsia="宋体" w:hAnsi="宋体" w:cs="宋体"/>
                <w:sz w:val="18"/>
                <w:szCs w:val="18"/>
              </w:rPr>
              <w:t>6,610,624,225.45</w:t>
            </w:r>
          </w:p>
        </w:tc>
      </w:tr>
    </w:tbl>
    <w:p w:rsidR="00A95787" w:rsidRDefault="005D3CC1">
      <w:pPr>
        <w:pStyle w:val="3"/>
        <w:spacing w:line="280" w:lineRule="exact"/>
        <w:jc w:val="left"/>
        <w:rPr>
          <w:rFonts w:ascii="宋体" w:hAnsi="宋体" w:cs="宋体"/>
          <w:b/>
          <w:bCs/>
        </w:rPr>
      </w:pPr>
      <w:bookmarkStart w:id="155" w:name="_Toc989040"/>
      <w:r>
        <w:rPr>
          <w:rFonts w:ascii="宋体" w:hAnsi="宋体" w:cs="宋体"/>
          <w:b/>
          <w:bCs/>
        </w:rPr>
        <w:lastRenderedPageBreak/>
        <w:t>3、合并利润表</w:t>
      </w:r>
      <w:bookmarkEnd w:id="15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00"/>
        <w:gridCol w:w="3150"/>
        <w:gridCol w:w="3175"/>
      </w:tblGrid>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项目</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2024年度</w:t>
            </w: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一、营业总收入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3,261,311,903.52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2,858,146,702.47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3,261,311,903.52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2,858,146,702.47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二、营业总成本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3,165,804,211.28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2,800,626,529.16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3,064,832,483.16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2,701,273,608.73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提取保险责任合同准备金净额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7,548,118.46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7,494,457.71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4,876,570.71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8,023,562.16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55,037,967.34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51,540,876.11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9,609,265.63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10,487,317.96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23,899,805.98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21,806,706.49</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32,678,147.33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36,829,414.66</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5,216,415.45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11,846,990.03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1,338,000.36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3,110,954.94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36,080,403.22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20,865,462.37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41,569,161.83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-13,201,449.30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48,681,226.02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3,311,320.60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-2,234,374.84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17,048.48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-60,102,208.55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-5,434,971.33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w:t>
            </w:r>
            <w:r>
              <w:rPr>
                <w:rFonts w:ascii="宋体" w:eastAsia="宋体" w:hAnsi="宋体" w:cs="宋体"/>
                <w:sz w:val="18"/>
                <w:szCs w:val="18"/>
              </w:rPr>
              <w:lastRenderedPageBreak/>
              <w:t>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lastRenderedPageBreak/>
              <w:t>-59,605.75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lastRenderedPageBreak/>
              <w:t>三、营业利润（亏损以“－”号填列）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119,211,132.70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79,389,988.37</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8,339,775.22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1,884,336.95</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194,781.29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623,052.98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127,356,126.63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80,651,272.34</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10,017,925.22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8,258,138.93</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五、净利润（净亏损以“－”号填列）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117,338,201.41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72,393,133.41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117,338,201.41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72,393,133.41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117,338,201.41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72,393,133.41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-7,596,867.23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-366,758.21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-7,596,867.23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-366,758.21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-7,596,867.23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-366,758.21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-7,596,867.23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-366,758.21</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七、综合收益总额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109,741,334.18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72,026,375.20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109,741,334.18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72,026,375.20</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八、每股收益</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0.13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0.08</w:t>
            </w:r>
          </w:p>
        </w:tc>
      </w:tr>
      <w:tr w:rsidR="00A95787">
        <w:trPr>
          <w:trHeight w:val="240"/>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6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0.13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0.08</w:t>
            </w:r>
          </w:p>
        </w:tc>
      </w:tr>
    </w:tbl>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会计机构负责人：吴雅清</w:t>
      </w:r>
    </w:p>
    <w:p w:rsidR="00A95787" w:rsidRDefault="005D3CC1">
      <w:pPr>
        <w:pStyle w:val="3"/>
        <w:spacing w:line="280" w:lineRule="exact"/>
        <w:jc w:val="left"/>
        <w:rPr>
          <w:rFonts w:ascii="宋体" w:hAnsi="宋体" w:cs="宋体"/>
          <w:b/>
          <w:bCs/>
        </w:rPr>
      </w:pPr>
      <w:bookmarkStart w:id="156" w:name="_Toc989041"/>
      <w:r>
        <w:rPr>
          <w:rFonts w:ascii="宋体" w:hAnsi="宋体" w:cs="宋体"/>
          <w:b/>
          <w:bCs/>
        </w:rPr>
        <w:lastRenderedPageBreak/>
        <w:t>4、母公司利润表</w:t>
      </w:r>
      <w:bookmarkEnd w:id="15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00"/>
        <w:gridCol w:w="3150"/>
        <w:gridCol w:w="3175"/>
      </w:tblGrid>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jc w:val="center"/>
              <w:rPr>
                <w:rFonts w:ascii="宋体" w:eastAsia="宋体" w:hAnsi="宋体" w:cs="宋体"/>
                <w:sz w:val="18"/>
                <w:szCs w:val="18"/>
              </w:rPr>
            </w:pPr>
            <w:r>
              <w:rPr>
                <w:rFonts w:ascii="宋体" w:eastAsia="宋体" w:hAnsi="宋体" w:cs="宋体"/>
                <w:sz w:val="18"/>
                <w:szCs w:val="18"/>
              </w:rPr>
              <w:t>项目</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jc w:val="center"/>
              <w:rPr>
                <w:rFonts w:ascii="宋体" w:eastAsia="宋体" w:hAnsi="宋体" w:cs="宋体"/>
                <w:sz w:val="18"/>
                <w:szCs w:val="18"/>
              </w:rPr>
            </w:pPr>
            <w:r>
              <w:rPr>
                <w:rFonts w:ascii="宋体" w:eastAsia="宋体" w:hAnsi="宋体" w:cs="宋体"/>
                <w:sz w:val="18"/>
                <w:szCs w:val="18"/>
              </w:rPr>
              <w:t>2024年度</w:t>
            </w: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rPr>
                <w:rFonts w:ascii="宋体" w:eastAsia="宋体" w:hAnsi="宋体" w:cs="宋体"/>
                <w:sz w:val="18"/>
                <w:szCs w:val="18"/>
              </w:rPr>
            </w:pPr>
            <w:r>
              <w:rPr>
                <w:rFonts w:ascii="宋体" w:eastAsia="宋体" w:hAnsi="宋体" w:cs="宋体"/>
                <w:sz w:val="18"/>
                <w:szCs w:val="18"/>
              </w:rPr>
              <w:t>一、营业收入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3,095,103,039.70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2,682,658,104.60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3,031,018,660.70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2,665,144,253.00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5,163,089.25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5,865,486.43</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4,876,570.71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8,023,562.16</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36,585,261.31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34,770,901.27</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2,328,000.00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2,220,000.00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9,918,340.42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5,987,076.44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17,834,913.79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20,096,709.00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4,162,286.40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10,628,482.39</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484,252.33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832,621.34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155,899,524.20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138,070,763.39</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-48,085,944.41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9,507,679.14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37,927,961.26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167,930.97</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-2,132,374.78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38,106.76</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-60,102,208.55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-5,299,258.12</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50,007.59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rPr>
                <w:rFonts w:ascii="宋体" w:eastAsia="宋体" w:hAnsi="宋体" w:cs="宋体"/>
                <w:sz w:val="18"/>
                <w:szCs w:val="18"/>
              </w:rPr>
            </w:pPr>
            <w:r>
              <w:rPr>
                <w:rFonts w:ascii="宋体" w:eastAsia="宋体" w:hAnsi="宋体" w:cs="宋体"/>
                <w:sz w:val="18"/>
                <w:szCs w:val="18"/>
              </w:rPr>
              <w:t>二、营业利润（亏损以“－”号填列）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137,340,279.36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94,456,989.64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8,191,037.22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1,805,283.20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100" w:firstLine="180"/>
              <w:rPr>
                <w:rFonts w:ascii="宋体" w:eastAsia="宋体" w:hAnsi="宋体" w:cs="宋体"/>
                <w:sz w:val="18"/>
                <w:szCs w:val="18"/>
              </w:rPr>
            </w:pPr>
            <w:r>
              <w:rPr>
                <w:rFonts w:ascii="宋体" w:eastAsia="宋体" w:hAnsi="宋体" w:cs="宋体"/>
                <w:sz w:val="18"/>
                <w:szCs w:val="18"/>
              </w:rPr>
              <w:lastRenderedPageBreak/>
              <w:t>减：营业外支出</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116,535.60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225,607.38</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145,414,780.98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96,036,665.46</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76"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-4,315,579.74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-7,305,715.50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rPr>
                <w:rFonts w:ascii="宋体" w:eastAsia="宋体" w:hAnsi="宋体" w:cs="宋体"/>
                <w:sz w:val="18"/>
                <w:szCs w:val="18"/>
              </w:rPr>
            </w:pPr>
            <w:r>
              <w:rPr>
                <w:rFonts w:ascii="宋体" w:eastAsia="宋体" w:hAnsi="宋体" w:cs="宋体"/>
                <w:sz w:val="18"/>
                <w:szCs w:val="18"/>
              </w:rPr>
              <w:t>四、净利润（净亏损以“－”号填列）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149,730,360.72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103,342,380.96</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149,730,360.72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103,342,380.96</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204,092.88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14,277,483.44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204,092.88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14,277,483.44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204,092.88</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14,277,483.44</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76" w:lineRule="exact"/>
              <w:jc w:val="right"/>
              <w:rPr>
                <w:rFonts w:ascii="宋体" w:eastAsia="宋体" w:hAnsi="宋体" w:cs="宋体"/>
                <w:sz w:val="18"/>
                <w:szCs w:val="18"/>
              </w:rPr>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rPr>
                <w:rFonts w:ascii="宋体" w:eastAsia="宋体" w:hAnsi="宋体" w:cs="宋体"/>
                <w:sz w:val="18"/>
                <w:szCs w:val="18"/>
              </w:rPr>
            </w:pPr>
            <w:r>
              <w:rPr>
                <w:rFonts w:ascii="宋体" w:eastAsia="宋体" w:hAnsi="宋体" w:cs="宋体"/>
                <w:sz w:val="18"/>
                <w:szCs w:val="18"/>
              </w:rPr>
              <w:t>六、综合收益总额</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149,934,453.60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117,619,864.40</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rPr>
                <w:rFonts w:ascii="宋体" w:eastAsia="宋体" w:hAnsi="宋体" w:cs="宋体"/>
                <w:sz w:val="18"/>
                <w:szCs w:val="18"/>
              </w:rPr>
            </w:pPr>
            <w:r>
              <w:rPr>
                <w:rFonts w:ascii="宋体" w:eastAsia="宋体" w:hAnsi="宋体" w:cs="宋体"/>
                <w:sz w:val="18"/>
                <w:szCs w:val="18"/>
              </w:rPr>
              <w:t>七、每股收益</w:t>
            </w:r>
          </w:p>
        </w:tc>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76"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76" w:lineRule="exact"/>
            </w:pP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0.17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0.12</w:t>
            </w:r>
          </w:p>
        </w:tc>
      </w:tr>
      <w:tr w:rsidR="00A95787">
        <w:trPr>
          <w:trHeight w:val="284"/>
        </w:trPr>
        <w:tc>
          <w:tcPr>
            <w:tcW w:w="3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76"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0.17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76" w:lineRule="exact"/>
              <w:jc w:val="right"/>
              <w:rPr>
                <w:rFonts w:ascii="宋体" w:eastAsia="宋体" w:hAnsi="宋体" w:cs="宋体"/>
                <w:sz w:val="18"/>
                <w:szCs w:val="18"/>
              </w:rPr>
            </w:pPr>
            <w:r>
              <w:rPr>
                <w:rFonts w:ascii="宋体" w:eastAsia="宋体" w:hAnsi="宋体" w:cs="宋体"/>
                <w:sz w:val="18"/>
                <w:szCs w:val="18"/>
              </w:rPr>
              <w:t>0.12</w:t>
            </w:r>
          </w:p>
        </w:tc>
      </w:tr>
    </w:tbl>
    <w:p w:rsidR="00A95787" w:rsidRDefault="005D3CC1">
      <w:pPr>
        <w:pStyle w:val="3"/>
        <w:spacing w:line="280" w:lineRule="exact"/>
        <w:jc w:val="left"/>
        <w:rPr>
          <w:rFonts w:ascii="宋体" w:hAnsi="宋体" w:cs="宋体"/>
          <w:b/>
          <w:bCs/>
        </w:rPr>
      </w:pPr>
      <w:bookmarkStart w:id="157" w:name="_Toc989042"/>
      <w:r>
        <w:rPr>
          <w:rFonts w:ascii="宋体" w:hAnsi="宋体" w:cs="宋体"/>
          <w:b/>
          <w:bCs/>
        </w:rPr>
        <w:lastRenderedPageBreak/>
        <w:t>5、合并现金流量表</w:t>
      </w:r>
      <w:bookmarkEnd w:id="15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25"/>
        <w:gridCol w:w="3137"/>
        <w:gridCol w:w="3175"/>
      </w:tblGrid>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jc w:val="center"/>
              <w:rPr>
                <w:rFonts w:ascii="宋体" w:eastAsia="宋体" w:hAnsi="宋体" w:cs="宋体"/>
                <w:sz w:val="18"/>
                <w:szCs w:val="18"/>
              </w:rPr>
            </w:pPr>
            <w:r>
              <w:rPr>
                <w:rFonts w:ascii="宋体" w:eastAsia="宋体" w:hAnsi="宋体" w:cs="宋体"/>
                <w:sz w:val="18"/>
                <w:szCs w:val="18"/>
              </w:rPr>
              <w:t>项目</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jc w:val="center"/>
              <w:rPr>
                <w:rFonts w:ascii="宋体" w:eastAsia="宋体" w:hAnsi="宋体" w:cs="宋体"/>
                <w:sz w:val="18"/>
                <w:szCs w:val="18"/>
              </w:rPr>
            </w:pPr>
            <w:r>
              <w:rPr>
                <w:rFonts w:ascii="宋体" w:eastAsia="宋体" w:hAnsi="宋体" w:cs="宋体"/>
                <w:sz w:val="18"/>
                <w:szCs w:val="18"/>
              </w:rPr>
              <w:t>2024年度</w:t>
            </w: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3,463,896,149.94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3,158,148,984.41</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41,274,043.00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47,007,405.79</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8,848,166.52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20,816,615.98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经营活动现金流入小计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3,514,018,359.46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3,225,973,006.18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3,257,474,518.91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3,073,477,619.87</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114,999,500.05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105,635,530.38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24,143,063.91</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70,783,191.93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50,369,343.70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47,456,979.44</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经营活动现金流出小计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3,446,986,426.57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3,297,353,321.62</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67,031,932.89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-71,380,315.44</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260,668,495.72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169,528,086.03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75,190,252.53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50,242,499.83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lastRenderedPageBreak/>
              <w:t>处置固定资产、无形资产和其他长期资产收回的现金净额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130,841.15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47,568.14</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投资活动现金流入小计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335,989,589.40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219,818,154.00</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140,353,631.72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52,713,767.93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339,998,903.12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55,173,966.35</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投资活动现金流出小计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480,352,534.84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107,887,734.28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-144,362,945.44</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111,930,419.72</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c>
          <w:tcPr>
            <w:tcW w:w="31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80" w:lineRule="exact"/>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1,467,000,000.00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1,860,220,000.00</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42,500,000.00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80,000,000.00</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筹资活动现金流入小计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1,509,500,000.00</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1,940,220,000.00</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1,569,659,725.96</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1,839,119,752.48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8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66,743,850.49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54,633,168.49</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80" w:lineRule="exact"/>
              <w:jc w:val="right"/>
              <w:rPr>
                <w:rFonts w:ascii="宋体" w:eastAsia="宋体" w:hAnsi="宋体" w:cs="宋体"/>
                <w:sz w:val="18"/>
                <w:szCs w:val="18"/>
              </w:rPr>
            </w:pP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筹资活动现金流出小计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1,636,403,576.45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1,893,752,920.97</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-126,903,576.45</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46,467,079.03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6,051,450.97</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1,059,255.13</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-198,183,138.03</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88,076,438.44</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510,630,988.92</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422,554,550.48</w:t>
            </w:r>
          </w:p>
        </w:tc>
      </w:tr>
      <w:tr w:rsidR="00A95787">
        <w:trPr>
          <w:trHeight w:val="240"/>
        </w:trPr>
        <w:tc>
          <w:tcPr>
            <w:tcW w:w="3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38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312,447,850.89</w:t>
            </w:r>
          </w:p>
        </w:tc>
        <w:tc>
          <w:tcPr>
            <w:tcW w:w="31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80" w:lineRule="exact"/>
              <w:jc w:val="right"/>
              <w:rPr>
                <w:rFonts w:ascii="宋体" w:eastAsia="宋体" w:hAnsi="宋体" w:cs="宋体"/>
                <w:sz w:val="18"/>
                <w:szCs w:val="18"/>
              </w:rPr>
            </w:pPr>
            <w:r>
              <w:rPr>
                <w:rFonts w:ascii="宋体" w:eastAsia="宋体" w:hAnsi="宋体" w:cs="宋体"/>
                <w:sz w:val="18"/>
                <w:szCs w:val="18"/>
              </w:rPr>
              <w:t>510,630,988.92</w:t>
            </w:r>
          </w:p>
        </w:tc>
      </w:tr>
    </w:tbl>
    <w:p w:rsidR="00A95787" w:rsidRDefault="005D3CC1">
      <w:pPr>
        <w:pStyle w:val="3"/>
        <w:spacing w:line="280" w:lineRule="exact"/>
        <w:jc w:val="left"/>
        <w:rPr>
          <w:rFonts w:ascii="宋体" w:hAnsi="宋体" w:cs="宋体"/>
          <w:b/>
          <w:bCs/>
        </w:rPr>
      </w:pPr>
      <w:bookmarkStart w:id="158" w:name="_Toc989043"/>
      <w:r>
        <w:rPr>
          <w:rFonts w:ascii="宋体" w:hAnsi="宋体" w:cs="宋体"/>
          <w:b/>
          <w:bCs/>
        </w:rPr>
        <w:lastRenderedPageBreak/>
        <w:t>6、母公司现金流量表</w:t>
      </w:r>
      <w:bookmarkEnd w:id="158"/>
    </w:p>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13"/>
        <w:gridCol w:w="3137"/>
        <w:gridCol w:w="3188"/>
      </w:tblGrid>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项目</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2024年度</w:t>
            </w: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3,289,087,291.51</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2,984,778,323.14</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41,274,043.00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47,007,405.79</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310,393,288.02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261,067,381.98</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经营活动现金流入小计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3,640,754,622.53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3,292,853,110.91</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3,347,754,221.89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2,934,877,430.74</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77,816,657.40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71,019,773.25</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5,189,116.99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32,588,470.07</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252,976,311.27</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270,899,816.25</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经营活动现金流出小计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3,683,736,307.55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3,309,385,490.31</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-42,981,685.02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-16,532,379.40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201,591,495.72</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159,399,414.98</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274,434,810.03</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149,520,997.52</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85,436.89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投资活动现金流入小计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476,111,742.64</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308,920,412.50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134,397,722.50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43,914,657.23</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262,369,033.40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55,173,966.35</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投资活动现金流出小计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396,766,755.90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99,088,623.58</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79,344,986.74</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209,831,788.92</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3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767,000,000.00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865,000,000.00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筹资活动现金流入小计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767,000,000.00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865,000,000.00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823,500,000.00</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968,000,000.00</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53,380,669.99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37,900,462.83</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筹资活动现金流出小计</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876,880,669.99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1,005,900,462.83</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-109,880,669.99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-140,900,462.83</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6,050,942.51</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1,059,163.32</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-67,466,425.76</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53,458,110.01</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271,479,641.65</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218,021,531.64</w:t>
            </w:r>
          </w:p>
        </w:tc>
      </w:tr>
      <w:tr w:rsidR="00A95787">
        <w:trPr>
          <w:trHeight w:val="240"/>
        </w:trPr>
        <w:tc>
          <w:tcPr>
            <w:tcW w:w="3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204,013,215.89</w:t>
            </w:r>
          </w:p>
        </w:tc>
        <w:tc>
          <w:tcPr>
            <w:tcW w:w="3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271,479,641.65</w:t>
            </w:r>
          </w:p>
        </w:tc>
      </w:tr>
    </w:tbl>
    <w:p w:rsidR="00A95787" w:rsidRDefault="005D3CC1">
      <w:pPr>
        <w:pStyle w:val="3"/>
        <w:spacing w:line="280" w:lineRule="exact"/>
        <w:jc w:val="left"/>
        <w:rPr>
          <w:rFonts w:ascii="宋体" w:hAnsi="宋体" w:cs="宋体"/>
          <w:b/>
          <w:bCs/>
        </w:rPr>
      </w:pPr>
      <w:bookmarkStart w:id="159" w:name="_Toc989044"/>
      <w:r>
        <w:rPr>
          <w:rFonts w:ascii="宋体" w:hAnsi="宋体" w:cs="宋体"/>
          <w:b/>
          <w:bCs/>
        </w:rPr>
        <w:lastRenderedPageBreak/>
        <w:t>7、合并所有者权益变动表</w:t>
      </w:r>
      <w:bookmarkEnd w:id="159"/>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本期金额</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0"/>
        <w:gridCol w:w="550"/>
        <w:gridCol w:w="625"/>
        <w:gridCol w:w="562"/>
        <w:gridCol w:w="600"/>
        <w:gridCol w:w="588"/>
        <w:gridCol w:w="625"/>
        <w:gridCol w:w="587"/>
        <w:gridCol w:w="563"/>
        <w:gridCol w:w="637"/>
        <w:gridCol w:w="613"/>
        <w:gridCol w:w="600"/>
        <w:gridCol w:w="600"/>
        <w:gridCol w:w="600"/>
        <w:gridCol w:w="612"/>
        <w:gridCol w:w="625"/>
      </w:tblGrid>
      <w:tr w:rsidR="00A95787">
        <w:trPr>
          <w:trHeight w:val="240"/>
        </w:trPr>
        <w:tc>
          <w:tcPr>
            <w:tcW w:w="6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项目</w:t>
            </w:r>
          </w:p>
        </w:tc>
        <w:tc>
          <w:tcPr>
            <w:tcW w:w="898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2024年度</w:t>
            </w:r>
          </w:p>
        </w:tc>
      </w:tr>
      <w:tr w:rsidR="00A95787">
        <w:trPr>
          <w:trHeight w:val="240"/>
        </w:trPr>
        <w:tc>
          <w:tcPr>
            <w:tcW w:w="6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7750"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少数股东权益</w:t>
            </w:r>
          </w:p>
        </w:tc>
        <w:tc>
          <w:tcPr>
            <w:tcW w:w="6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95787">
        <w:trPr>
          <w:trHeight w:val="240"/>
        </w:trPr>
        <w:tc>
          <w:tcPr>
            <w:tcW w:w="6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5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股本</w:t>
            </w:r>
          </w:p>
        </w:tc>
        <w:tc>
          <w:tcPr>
            <w:tcW w:w="178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其他权益工具</w:t>
            </w:r>
          </w:p>
        </w:tc>
        <w:tc>
          <w:tcPr>
            <w:tcW w:w="5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资本公积</w:t>
            </w:r>
          </w:p>
        </w:tc>
        <w:tc>
          <w:tcPr>
            <w:tcW w:w="6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减：库存股</w:t>
            </w:r>
          </w:p>
        </w:tc>
        <w:tc>
          <w:tcPr>
            <w:tcW w:w="58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专项储备</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盈余公积</w:t>
            </w:r>
          </w:p>
        </w:tc>
        <w:tc>
          <w:tcPr>
            <w:tcW w:w="6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一般风险准备</w:t>
            </w:r>
          </w:p>
        </w:tc>
        <w:tc>
          <w:tcPr>
            <w:tcW w:w="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未分配利润</w:t>
            </w:r>
          </w:p>
        </w:tc>
        <w:tc>
          <w:tcPr>
            <w:tcW w:w="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其他</w:t>
            </w:r>
          </w:p>
        </w:tc>
        <w:tc>
          <w:tcPr>
            <w:tcW w:w="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小计</w:t>
            </w:r>
          </w:p>
        </w:tc>
        <w:tc>
          <w:tcPr>
            <w:tcW w:w="6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r>
      <w:tr w:rsidR="00A95787">
        <w:trPr>
          <w:trHeight w:val="240"/>
        </w:trPr>
        <w:tc>
          <w:tcPr>
            <w:tcW w:w="6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5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优先股</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永续债</w:t>
            </w:r>
          </w:p>
        </w:tc>
        <w:tc>
          <w:tcPr>
            <w:tcW w:w="6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jc w:val="center"/>
              <w:rPr>
                <w:rFonts w:ascii="宋体" w:eastAsia="宋体" w:hAnsi="宋体" w:cs="宋体"/>
                <w:sz w:val="18"/>
                <w:szCs w:val="18"/>
              </w:rPr>
            </w:pPr>
            <w:r>
              <w:rPr>
                <w:rFonts w:ascii="宋体" w:eastAsia="宋体" w:hAnsi="宋体" w:cs="宋体"/>
                <w:sz w:val="18"/>
                <w:szCs w:val="18"/>
              </w:rPr>
              <w:t>其他</w:t>
            </w:r>
          </w:p>
        </w:tc>
        <w:tc>
          <w:tcPr>
            <w:tcW w:w="58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58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pPr>
          </w:p>
        </w:tc>
        <w:tc>
          <w:tcPr>
            <w:tcW w:w="6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1" w:lineRule="exact"/>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一、上年期末余额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391,049,342.12</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435,671,944.53</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3,390,032,770.69</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5,115,698,061.06</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5,115,698,061.06</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二、本年期初余额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391,049,342.12</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435,671,944.53</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3,390,032,770.69</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5,115,698,061.06</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5,115,698,061.06</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-6,178,414.66</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-7,596,867.23</w:t>
            </w: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14,973,036.07</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66,924,649.86</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68,122,404.04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68,122,404.04</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（一）综合收益总额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-7,596,867.23</w:t>
            </w: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117,338,201.41</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109,741,334.18</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109,741,334.18</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（二）所有者投入和减少资本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4．其他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（三）利润分配</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14,973,036.07</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-50,413,551.55</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-35,440,515.48</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-35,440,515.48</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1．提取盈余公积</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14,973,036.07</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-14,973,036.07</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2．提取一般风险准备</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3．对所有者（或股东）的分配</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-35,440,515.48</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-35,440,515.48</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-35,440,515.48</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4．其他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（四）所有者权益内部结转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1．资本</w:t>
            </w:r>
            <w:r>
              <w:rPr>
                <w:rFonts w:ascii="宋体" w:eastAsia="宋体" w:hAnsi="宋体" w:cs="宋体"/>
                <w:sz w:val="18"/>
                <w:szCs w:val="18"/>
              </w:rPr>
              <w:lastRenderedPageBreak/>
              <w:t>公积转增资本（或股本）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3．盈余公积弥补亏损</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6．其他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（五）专项储备</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1．本期提取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2．本期使用</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（六）其他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-6,178,414.66</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-6,178,414.66</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-6,178,414.66</w:t>
            </w:r>
          </w:p>
        </w:tc>
      </w:tr>
      <w:tr w:rsidR="00A95787">
        <w:trPr>
          <w:trHeight w:val="240"/>
        </w:trPr>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1" w:lineRule="exact"/>
              <w:rPr>
                <w:rFonts w:ascii="宋体" w:eastAsia="宋体" w:hAnsi="宋体" w:cs="宋体"/>
                <w:sz w:val="18"/>
                <w:szCs w:val="18"/>
              </w:rPr>
            </w:pPr>
            <w:r>
              <w:rPr>
                <w:rFonts w:ascii="宋体" w:eastAsia="宋体" w:hAnsi="宋体" w:cs="宋体"/>
                <w:sz w:val="18"/>
                <w:szCs w:val="18"/>
              </w:rPr>
              <w:t>四、本期期末余额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384,870,927.46</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5,334,249.49</w:t>
            </w:r>
          </w:p>
        </w:tc>
        <w:tc>
          <w:tcPr>
            <w:tcW w:w="5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450,644,980.60</w:t>
            </w: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3,456,957,420.55</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5,183,820,465.10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1"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1" w:lineRule="exact"/>
              <w:jc w:val="right"/>
              <w:rPr>
                <w:rFonts w:ascii="宋体" w:eastAsia="宋体" w:hAnsi="宋体" w:cs="宋体"/>
                <w:sz w:val="18"/>
                <w:szCs w:val="18"/>
              </w:rPr>
            </w:pPr>
            <w:r>
              <w:rPr>
                <w:rFonts w:ascii="宋体" w:eastAsia="宋体" w:hAnsi="宋体" w:cs="宋体"/>
                <w:sz w:val="18"/>
                <w:szCs w:val="18"/>
              </w:rPr>
              <w:t>5,183,820,465.10</w:t>
            </w:r>
          </w:p>
        </w:tc>
      </w:tr>
    </w:tbl>
    <w:p w:rsidR="00A95787" w:rsidRDefault="00A95787">
      <w:pPr>
        <w:spacing w:line="240" w:lineRule="exact"/>
        <w:rPr>
          <w:rFonts w:ascii="宋体" w:eastAsia="宋体" w:hAnsi="宋体" w:cs="宋体"/>
          <w:sz w:val="18"/>
          <w:szCs w:val="18"/>
        </w:rPr>
      </w:pP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上期金额</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3"/>
        <w:gridCol w:w="550"/>
        <w:gridCol w:w="625"/>
        <w:gridCol w:w="562"/>
        <w:gridCol w:w="588"/>
        <w:gridCol w:w="625"/>
        <w:gridCol w:w="600"/>
        <w:gridCol w:w="587"/>
        <w:gridCol w:w="535"/>
        <w:gridCol w:w="665"/>
        <w:gridCol w:w="625"/>
        <w:gridCol w:w="588"/>
        <w:gridCol w:w="612"/>
        <w:gridCol w:w="588"/>
        <w:gridCol w:w="612"/>
        <w:gridCol w:w="625"/>
      </w:tblGrid>
      <w:tr w:rsidR="00A95787">
        <w:trPr>
          <w:trHeight w:val="240"/>
        </w:trPr>
        <w:tc>
          <w:tcPr>
            <w:tcW w:w="6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项目</w:t>
            </w:r>
          </w:p>
        </w:tc>
        <w:tc>
          <w:tcPr>
            <w:tcW w:w="898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40"/>
        </w:trPr>
        <w:tc>
          <w:tcPr>
            <w:tcW w:w="6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7750"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少数股东权益</w:t>
            </w:r>
          </w:p>
        </w:tc>
        <w:tc>
          <w:tcPr>
            <w:tcW w:w="6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95787">
        <w:trPr>
          <w:trHeight w:val="240"/>
        </w:trPr>
        <w:tc>
          <w:tcPr>
            <w:tcW w:w="6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5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股本</w:t>
            </w:r>
          </w:p>
        </w:tc>
        <w:tc>
          <w:tcPr>
            <w:tcW w:w="177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其他权益工具</w:t>
            </w:r>
          </w:p>
        </w:tc>
        <w:tc>
          <w:tcPr>
            <w:tcW w:w="6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资本公积</w:t>
            </w:r>
          </w:p>
        </w:tc>
        <w:tc>
          <w:tcPr>
            <w:tcW w:w="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减：库存股</w:t>
            </w:r>
          </w:p>
        </w:tc>
        <w:tc>
          <w:tcPr>
            <w:tcW w:w="58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其他综合收益</w:t>
            </w:r>
          </w:p>
        </w:tc>
        <w:tc>
          <w:tcPr>
            <w:tcW w:w="5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专项储备</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盈余公积</w:t>
            </w:r>
          </w:p>
        </w:tc>
        <w:tc>
          <w:tcPr>
            <w:tcW w:w="6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一般风险准备</w:t>
            </w:r>
          </w:p>
        </w:tc>
        <w:tc>
          <w:tcPr>
            <w:tcW w:w="5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未分配利润</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其他</w:t>
            </w:r>
          </w:p>
        </w:tc>
        <w:tc>
          <w:tcPr>
            <w:tcW w:w="5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小计</w:t>
            </w:r>
          </w:p>
        </w:tc>
        <w:tc>
          <w:tcPr>
            <w:tcW w:w="6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r>
      <w:tr w:rsidR="00A95787">
        <w:trPr>
          <w:trHeight w:val="240"/>
        </w:trPr>
        <w:tc>
          <w:tcPr>
            <w:tcW w:w="6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5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优先股</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永续债</w:t>
            </w:r>
          </w:p>
        </w:tc>
        <w:tc>
          <w:tcPr>
            <w:tcW w:w="5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jc w:val="center"/>
              <w:rPr>
                <w:rFonts w:ascii="宋体" w:eastAsia="宋体" w:hAnsi="宋体" w:cs="宋体"/>
                <w:sz w:val="18"/>
                <w:szCs w:val="18"/>
              </w:rPr>
            </w:pPr>
            <w:r>
              <w:rPr>
                <w:rFonts w:ascii="宋体" w:eastAsia="宋体" w:hAnsi="宋体" w:cs="宋体"/>
                <w:sz w:val="18"/>
                <w:szCs w:val="18"/>
              </w:rPr>
              <w:t>其他</w:t>
            </w: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58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535"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pPr>
          </w:p>
        </w:tc>
        <w:tc>
          <w:tcPr>
            <w:tcW w:w="66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58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12"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pPr>
          </w:p>
        </w:tc>
        <w:tc>
          <w:tcPr>
            <w:tcW w:w="588"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pPr>
          </w:p>
        </w:tc>
        <w:tc>
          <w:tcPr>
            <w:tcW w:w="6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c>
          <w:tcPr>
            <w:tcW w:w="6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37" w:lineRule="exact"/>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一、上年期末余额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383,816,343.06</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13,297,874.93</w:t>
            </w: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425,337,706.43</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3,345,694,133.12</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5,054,158,944.54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5,054,158,944.54</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二、本年期初余额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383,816,343.06</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13,297,874.93</w:t>
            </w: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425,337,706.43</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3,345,694,133.12</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5,054,158,944.54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5,054,158,944.54</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7,232,999.06</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-366,758.21</w:t>
            </w: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10,334,238.10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44,338,637.57</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61,539,116.52</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61,539,116.52</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（一）综合收益总额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-366,758.21</w:t>
            </w: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72,393,133.41</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72,026,375.20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72,026,375.20</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（二）所有者投入和减少资本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1．所有</w:t>
            </w:r>
            <w:r>
              <w:rPr>
                <w:rFonts w:ascii="宋体" w:eastAsia="宋体" w:hAnsi="宋体" w:cs="宋体"/>
                <w:sz w:val="18"/>
                <w:szCs w:val="18"/>
              </w:rPr>
              <w:lastRenderedPageBreak/>
              <w:t>者投入的普通股</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4．其他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（三）利润分配</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10,334,238.10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-28,054,495.84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-17,720,257.74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1．提取盈余公积</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10,334,238.10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-10,334,238.10</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2．提取一般风险准备</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3．对所有者（或股东）的分配</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-17,720,257.74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-17,720,257.74</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4．其他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（四）所有者权益内部结转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1．资本</w:t>
            </w:r>
            <w:r>
              <w:rPr>
                <w:rFonts w:ascii="宋体" w:eastAsia="宋体" w:hAnsi="宋体" w:cs="宋体"/>
                <w:sz w:val="18"/>
                <w:szCs w:val="18"/>
              </w:rPr>
              <w:lastRenderedPageBreak/>
              <w:t>公积转增资本（或股本）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3．盈余公积弥补亏损</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6．其他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（五）专项储备</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1．本期提取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2．本期使用</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（六）其他</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7,232,999.06</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7,232,999.06</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7,232,999.06</w:t>
            </w:r>
          </w:p>
        </w:tc>
      </w:tr>
      <w:tr w:rsidR="00A95787">
        <w:trPr>
          <w:trHeight w:val="240"/>
        </w:trPr>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37" w:lineRule="exact"/>
              <w:rPr>
                <w:rFonts w:ascii="宋体" w:eastAsia="宋体" w:hAnsi="宋体" w:cs="宋体"/>
                <w:sz w:val="18"/>
                <w:szCs w:val="18"/>
              </w:rPr>
            </w:pPr>
            <w:r>
              <w:rPr>
                <w:rFonts w:ascii="宋体" w:eastAsia="宋体" w:hAnsi="宋体" w:cs="宋体"/>
                <w:sz w:val="18"/>
                <w:szCs w:val="18"/>
              </w:rPr>
              <w:t>四、本期期末余额</w:t>
            </w:r>
          </w:p>
        </w:tc>
        <w:tc>
          <w:tcPr>
            <w:tcW w:w="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886,012,887.00</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391,049,342.12</w:t>
            </w:r>
          </w:p>
        </w:tc>
        <w:tc>
          <w:tcPr>
            <w:tcW w:w="6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12,931,116.72</w:t>
            </w:r>
          </w:p>
        </w:tc>
        <w:tc>
          <w:tcPr>
            <w:tcW w:w="5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6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435,671,944.53</w:t>
            </w: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3,390,032,770.69</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5,115,698,061.06</w:t>
            </w:r>
          </w:p>
        </w:tc>
        <w:tc>
          <w:tcPr>
            <w:tcW w:w="6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37" w:lineRule="exact"/>
              <w:jc w:val="right"/>
              <w:rPr>
                <w:rFonts w:ascii="宋体" w:eastAsia="宋体" w:hAnsi="宋体" w:cs="宋体"/>
                <w:sz w:val="18"/>
                <w:szCs w:val="18"/>
              </w:rPr>
            </w:pPr>
          </w:p>
        </w:tc>
        <w:tc>
          <w:tcPr>
            <w:tcW w:w="6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37" w:lineRule="exact"/>
              <w:jc w:val="right"/>
              <w:rPr>
                <w:rFonts w:ascii="宋体" w:eastAsia="宋体" w:hAnsi="宋体" w:cs="宋体"/>
                <w:sz w:val="18"/>
                <w:szCs w:val="18"/>
              </w:rPr>
            </w:pPr>
            <w:r>
              <w:rPr>
                <w:rFonts w:ascii="宋体" w:eastAsia="宋体" w:hAnsi="宋体" w:cs="宋体"/>
                <w:sz w:val="18"/>
                <w:szCs w:val="18"/>
              </w:rPr>
              <w:t>5,115,698,061.06</w:t>
            </w:r>
          </w:p>
        </w:tc>
      </w:tr>
    </w:tbl>
    <w:p w:rsidR="00A95787" w:rsidRDefault="005D3CC1">
      <w:pPr>
        <w:pStyle w:val="3"/>
        <w:spacing w:line="280" w:lineRule="exact"/>
        <w:jc w:val="left"/>
        <w:rPr>
          <w:rFonts w:ascii="宋体" w:hAnsi="宋体" w:cs="宋体"/>
          <w:b/>
          <w:bCs/>
        </w:rPr>
      </w:pPr>
      <w:bookmarkStart w:id="160" w:name="_Toc989045"/>
      <w:r>
        <w:rPr>
          <w:rFonts w:ascii="宋体" w:hAnsi="宋体" w:cs="宋体"/>
          <w:b/>
          <w:bCs/>
        </w:rPr>
        <w:lastRenderedPageBreak/>
        <w:t>8、母公司所有者权益变动表</w:t>
      </w:r>
      <w:bookmarkEnd w:id="160"/>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本期金额</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4"/>
        <w:gridCol w:w="741"/>
        <w:gridCol w:w="741"/>
        <w:gridCol w:w="741"/>
        <w:gridCol w:w="742"/>
        <w:gridCol w:w="741"/>
        <w:gridCol w:w="741"/>
        <w:gridCol w:w="741"/>
        <w:gridCol w:w="741"/>
        <w:gridCol w:w="741"/>
        <w:gridCol w:w="741"/>
        <w:gridCol w:w="741"/>
        <w:gridCol w:w="829"/>
      </w:tblGrid>
      <w:tr w:rsidR="00A95787">
        <w:trPr>
          <w:trHeight w:val="240"/>
        </w:trPr>
        <w:tc>
          <w:tcPr>
            <w:tcW w:w="64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项目</w:t>
            </w:r>
          </w:p>
        </w:tc>
        <w:tc>
          <w:tcPr>
            <w:tcW w:w="8981"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2024年度</w:t>
            </w:r>
          </w:p>
        </w:tc>
      </w:tr>
      <w:tr w:rsidR="00A95787">
        <w:trPr>
          <w:trHeight w:val="240"/>
        </w:trPr>
        <w:tc>
          <w:tcPr>
            <w:tcW w:w="64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其他</w:t>
            </w:r>
          </w:p>
        </w:tc>
        <w:tc>
          <w:tcPr>
            <w:tcW w:w="8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95787">
        <w:trPr>
          <w:trHeight w:val="240"/>
        </w:trPr>
        <w:tc>
          <w:tcPr>
            <w:tcW w:w="64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永续债</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pPr>
          </w:p>
        </w:tc>
        <w:tc>
          <w:tcPr>
            <w:tcW w:w="82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48" w:lineRule="exact"/>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529,662,927.74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-3,288,583.47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466,346,065.38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3,050,391,203.02</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4,929,124,499.67</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529,662,927.74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-3,288,583.47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466,346,065.38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3,050,391,203.02</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4,929,124,499.67</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-10,517,921.57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204,092.88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14,973,036.07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99,316,809.17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103,976,016.55</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204,092.88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149,730,360.72</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149,934,453.60</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1．</w:t>
            </w:r>
            <w:r>
              <w:rPr>
                <w:rFonts w:ascii="宋体" w:eastAsia="宋体" w:hAnsi="宋体" w:cs="宋体"/>
                <w:sz w:val="18"/>
                <w:szCs w:val="18"/>
              </w:rPr>
              <w:lastRenderedPageBreak/>
              <w:t>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14,973,036.07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-50,413,551.55</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-35,440,515.48</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14,973,036.07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-14,973,036.07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-35,440,515.48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-35,440,515.48</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1．资本公积转增资本（或</w:t>
            </w:r>
            <w:r>
              <w:rPr>
                <w:rFonts w:ascii="宋体" w:eastAsia="宋体" w:hAnsi="宋体" w:cs="宋体"/>
                <w:sz w:val="18"/>
                <w:szCs w:val="18"/>
              </w:rPr>
              <w:lastRenderedPageBreak/>
              <w:t>股本）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-10,517,921.57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-10,517,921.57</w:t>
            </w:r>
          </w:p>
        </w:tc>
      </w:tr>
      <w:tr w:rsidR="00A95787">
        <w:trPr>
          <w:trHeight w:val="240"/>
        </w:trPr>
        <w:tc>
          <w:tcPr>
            <w:tcW w:w="64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8"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519,145,006.17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-3,084,490.59</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481,319,101.45</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3,149,708,012.19</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8"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8" w:lineRule="exact"/>
              <w:jc w:val="right"/>
              <w:rPr>
                <w:rFonts w:ascii="宋体" w:eastAsia="宋体" w:hAnsi="宋体" w:cs="宋体"/>
                <w:sz w:val="18"/>
                <w:szCs w:val="18"/>
              </w:rPr>
            </w:pPr>
            <w:r>
              <w:rPr>
                <w:rFonts w:ascii="宋体" w:eastAsia="宋体" w:hAnsi="宋体" w:cs="宋体"/>
                <w:sz w:val="18"/>
                <w:szCs w:val="18"/>
              </w:rPr>
              <w:t>5,033,100,516.22</w:t>
            </w:r>
          </w:p>
        </w:tc>
      </w:tr>
    </w:tbl>
    <w:p w:rsidR="00A95787" w:rsidRDefault="00A95787">
      <w:pPr>
        <w:spacing w:before="40" w:after="40" w:line="240" w:lineRule="exact"/>
        <w:rPr>
          <w:rFonts w:ascii="宋体" w:eastAsia="宋体" w:hAnsi="宋体" w:cs="宋体"/>
          <w:sz w:val="18"/>
          <w:szCs w:val="18"/>
        </w:rPr>
      </w:pP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上期金额</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1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2"/>
        <w:gridCol w:w="741"/>
        <w:gridCol w:w="741"/>
        <w:gridCol w:w="741"/>
        <w:gridCol w:w="742"/>
        <w:gridCol w:w="741"/>
        <w:gridCol w:w="741"/>
        <w:gridCol w:w="741"/>
        <w:gridCol w:w="741"/>
        <w:gridCol w:w="741"/>
        <w:gridCol w:w="741"/>
        <w:gridCol w:w="741"/>
        <w:gridCol w:w="829"/>
      </w:tblGrid>
      <w:tr w:rsidR="00A95787">
        <w:trPr>
          <w:trHeight w:val="240"/>
        </w:trPr>
        <w:tc>
          <w:tcPr>
            <w:tcW w:w="63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项目</w:t>
            </w:r>
          </w:p>
        </w:tc>
        <w:tc>
          <w:tcPr>
            <w:tcW w:w="8981"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2023年度</w:t>
            </w:r>
          </w:p>
        </w:tc>
      </w:tr>
      <w:tr w:rsidR="00A95787">
        <w:trPr>
          <w:trHeight w:val="240"/>
        </w:trPr>
        <w:tc>
          <w:tcPr>
            <w:tcW w:w="63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其他</w:t>
            </w:r>
          </w:p>
        </w:tc>
        <w:tc>
          <w:tcPr>
            <w:tcW w:w="8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95787">
        <w:trPr>
          <w:trHeight w:val="240"/>
        </w:trPr>
        <w:tc>
          <w:tcPr>
            <w:tcW w:w="63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永续债</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pPr>
          </w:p>
        </w:tc>
        <w:tc>
          <w:tcPr>
            <w:tcW w:w="82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55" w:lineRule="exact"/>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4,829,226,168.47</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4,829,226,168.47</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75,287,885.12</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99,898,331.20</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103,342,380.96</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117,619,864.40</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1．所有</w:t>
            </w:r>
            <w:r>
              <w:rPr>
                <w:rFonts w:ascii="宋体" w:eastAsia="宋体" w:hAnsi="宋体" w:cs="宋体"/>
                <w:sz w:val="18"/>
                <w:szCs w:val="18"/>
              </w:rPr>
              <w:lastRenderedPageBreak/>
              <w:t>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-28,054,495.84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-17,720,257.74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-1,275.46</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55"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529,662,927.74</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-3,288,583.47</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466,346,065.38</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3,050,391,203.02</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55" w:lineRule="exact"/>
              <w:jc w:val="right"/>
              <w:rPr>
                <w:rFonts w:ascii="宋体" w:eastAsia="宋体" w:hAnsi="宋体" w:cs="宋体"/>
                <w:sz w:val="18"/>
                <w:szCs w:val="18"/>
              </w:rPr>
            </w:pPr>
          </w:p>
        </w:tc>
        <w:tc>
          <w:tcPr>
            <w:tcW w:w="82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55" w:lineRule="exact"/>
              <w:jc w:val="right"/>
              <w:rPr>
                <w:rFonts w:ascii="宋体" w:eastAsia="宋体" w:hAnsi="宋体" w:cs="宋体"/>
                <w:sz w:val="18"/>
                <w:szCs w:val="18"/>
              </w:rPr>
            </w:pPr>
            <w:r>
              <w:rPr>
                <w:rFonts w:ascii="宋体" w:eastAsia="宋体" w:hAnsi="宋体" w:cs="宋体"/>
                <w:sz w:val="18"/>
                <w:szCs w:val="18"/>
              </w:rPr>
              <w:t>4,929,124,499.67</w:t>
            </w:r>
          </w:p>
        </w:tc>
      </w:tr>
    </w:tbl>
    <w:p w:rsidR="00A95787" w:rsidRDefault="005D3CC1">
      <w:pPr>
        <w:pStyle w:val="2"/>
        <w:spacing w:before="300" w:after="300" w:line="320" w:lineRule="exact"/>
        <w:rPr>
          <w:rFonts w:ascii="宋体" w:eastAsia="宋体" w:hAnsi="宋体" w:cs="宋体"/>
          <w:b/>
          <w:bCs/>
          <w:sz w:val="24"/>
          <w:szCs w:val="24"/>
        </w:rPr>
      </w:pPr>
      <w:bookmarkStart w:id="161" w:name="_Toc989046"/>
      <w:r>
        <w:rPr>
          <w:rFonts w:ascii="宋体" w:eastAsia="宋体" w:hAnsi="宋体" w:cs="宋体"/>
          <w:b/>
          <w:bCs/>
          <w:sz w:val="24"/>
          <w:szCs w:val="24"/>
        </w:rPr>
        <w:lastRenderedPageBreak/>
        <w:t>三、公司基本情况</w:t>
      </w:r>
      <w:bookmarkEnd w:id="161"/>
    </w:p>
    <w:p w:rsidR="00A95787" w:rsidRDefault="005D3CC1">
      <w:pPr>
        <w:widowControl/>
        <w:numPr>
          <w:ilvl w:val="0"/>
          <w:numId w:val="1"/>
        </w:numPr>
        <w:spacing w:before="100" w:beforeAutospacing="1" w:after="100" w:afterAutospacing="1"/>
        <w:rPr>
          <w:sz w:val="18"/>
          <w:szCs w:val="18"/>
        </w:rPr>
      </w:pPr>
      <w:r>
        <w:rPr>
          <w:rStyle w:val="a7"/>
          <w:rFonts w:hint="eastAsia"/>
          <w:sz w:val="18"/>
          <w:szCs w:val="18"/>
        </w:rPr>
        <w:t>公司注册地、组织形式和总部地址</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江苏华西村股份有限公司（以下简称</w:t>
      </w:r>
      <w:r>
        <w:rPr>
          <w:rFonts w:ascii="Arial" w:hAnsi="Arial" w:cs="Arial"/>
          <w:sz w:val="18"/>
          <w:szCs w:val="18"/>
        </w:rPr>
        <w:t>“</w:t>
      </w:r>
      <w:r>
        <w:rPr>
          <w:rFonts w:cs="Times New Roman" w:hint="eastAsia"/>
          <w:sz w:val="18"/>
          <w:szCs w:val="18"/>
        </w:rPr>
        <w:t>公司</w:t>
      </w:r>
      <w:r>
        <w:rPr>
          <w:rFonts w:ascii="Arial" w:hAnsi="Arial" w:cs="Arial"/>
          <w:sz w:val="18"/>
          <w:szCs w:val="18"/>
        </w:rPr>
        <w:t>”</w:t>
      </w:r>
      <w:r>
        <w:rPr>
          <w:rFonts w:cs="Times New Roman" w:hint="eastAsia"/>
          <w:sz w:val="18"/>
          <w:szCs w:val="18"/>
        </w:rPr>
        <w:t>）是经江苏省人民政府苏政复（</w:t>
      </w:r>
      <w:r>
        <w:rPr>
          <w:rFonts w:ascii="Arial" w:hAnsi="Arial" w:cs="Arial"/>
          <w:sz w:val="18"/>
          <w:szCs w:val="18"/>
        </w:rPr>
        <w:t>1999</w:t>
      </w:r>
      <w:r>
        <w:rPr>
          <w:rFonts w:cs="Times New Roman" w:hint="eastAsia"/>
          <w:sz w:val="18"/>
          <w:szCs w:val="18"/>
        </w:rPr>
        <w:t>）</w:t>
      </w:r>
      <w:r>
        <w:rPr>
          <w:rFonts w:ascii="Arial" w:hAnsi="Arial" w:cs="Arial"/>
          <w:sz w:val="18"/>
          <w:szCs w:val="18"/>
        </w:rPr>
        <w:t>4</w:t>
      </w:r>
      <w:r>
        <w:rPr>
          <w:rFonts w:cs="Times New Roman" w:hint="eastAsia"/>
          <w:sz w:val="18"/>
          <w:szCs w:val="18"/>
        </w:rPr>
        <w:t>号文批准，由江阴市华西实业有限公司变更设立的股份有限公司。</w:t>
      </w:r>
      <w:r>
        <w:rPr>
          <w:rFonts w:ascii="Arial" w:hAnsi="Arial" w:cs="Arial"/>
          <w:sz w:val="18"/>
          <w:szCs w:val="18"/>
        </w:rPr>
        <w:t>1999</w:t>
      </w:r>
      <w:r>
        <w:rPr>
          <w:rFonts w:cs="Times New Roman" w:hint="eastAsia"/>
          <w:sz w:val="18"/>
          <w:szCs w:val="18"/>
        </w:rPr>
        <w:t>年</w:t>
      </w:r>
      <w:r>
        <w:rPr>
          <w:rFonts w:ascii="Arial" w:hAnsi="Arial" w:cs="Arial"/>
          <w:sz w:val="18"/>
          <w:szCs w:val="18"/>
        </w:rPr>
        <w:t>7</w:t>
      </w:r>
      <w:r>
        <w:rPr>
          <w:rFonts w:cs="Times New Roman" w:hint="eastAsia"/>
          <w:sz w:val="18"/>
          <w:szCs w:val="18"/>
        </w:rPr>
        <w:t>月</w:t>
      </w:r>
      <w:r>
        <w:rPr>
          <w:rFonts w:ascii="Arial" w:hAnsi="Arial" w:cs="Arial"/>
          <w:sz w:val="18"/>
          <w:szCs w:val="18"/>
        </w:rPr>
        <w:t>13</w:t>
      </w:r>
      <w:r>
        <w:rPr>
          <w:rFonts w:cs="Times New Roman" w:hint="eastAsia"/>
          <w:sz w:val="18"/>
          <w:szCs w:val="18"/>
        </w:rPr>
        <w:t>日，经中国证券监督管理委员会证监发行字</w:t>
      </w:r>
      <w:r>
        <w:rPr>
          <w:rFonts w:ascii="Arial" w:hAnsi="Arial" w:cs="Arial"/>
          <w:sz w:val="18"/>
          <w:szCs w:val="18"/>
        </w:rPr>
        <w:t>[1999]81</w:t>
      </w:r>
      <w:r>
        <w:rPr>
          <w:rFonts w:cs="Times New Roman" w:hint="eastAsia"/>
          <w:sz w:val="18"/>
          <w:szCs w:val="18"/>
        </w:rPr>
        <w:t>号文批准，公司向社会公开发行人民币普通股</w:t>
      </w:r>
      <w:r>
        <w:rPr>
          <w:rFonts w:ascii="Arial" w:hAnsi="Arial" w:cs="Arial"/>
          <w:sz w:val="18"/>
          <w:szCs w:val="18"/>
        </w:rPr>
        <w:t>3,500</w:t>
      </w:r>
      <w:r>
        <w:rPr>
          <w:rFonts w:cs="Times New Roman" w:hint="eastAsia"/>
          <w:sz w:val="18"/>
          <w:szCs w:val="18"/>
        </w:rPr>
        <w:t>万股，发行后注册资本为</w:t>
      </w:r>
      <w:r>
        <w:rPr>
          <w:rFonts w:ascii="Arial" w:hAnsi="Arial" w:cs="Arial"/>
          <w:sz w:val="18"/>
          <w:szCs w:val="18"/>
        </w:rPr>
        <w:t>14,000.00</w:t>
      </w:r>
      <w:r>
        <w:rPr>
          <w:rFonts w:cs="Times New Roman" w:hint="eastAsia"/>
          <w:sz w:val="18"/>
          <w:szCs w:val="18"/>
        </w:rPr>
        <w:t>万元人民币。</w:t>
      </w:r>
      <w:r>
        <w:rPr>
          <w:rFonts w:ascii="Arial" w:hAnsi="Arial" w:cs="Arial"/>
          <w:sz w:val="18"/>
          <w:szCs w:val="18"/>
        </w:rPr>
        <w:t>1999</w:t>
      </w:r>
      <w:r>
        <w:rPr>
          <w:rFonts w:cs="Times New Roman" w:hint="eastAsia"/>
          <w:sz w:val="18"/>
          <w:szCs w:val="18"/>
        </w:rPr>
        <w:t>年</w:t>
      </w:r>
      <w:r>
        <w:rPr>
          <w:rFonts w:ascii="Arial" w:hAnsi="Arial" w:cs="Arial"/>
          <w:sz w:val="18"/>
          <w:szCs w:val="18"/>
        </w:rPr>
        <w:t>8</w:t>
      </w:r>
      <w:r>
        <w:rPr>
          <w:rFonts w:cs="Times New Roman" w:hint="eastAsia"/>
          <w:sz w:val="18"/>
          <w:szCs w:val="18"/>
        </w:rPr>
        <w:t>月</w:t>
      </w:r>
      <w:r>
        <w:rPr>
          <w:rFonts w:ascii="Arial" w:hAnsi="Arial" w:cs="Arial"/>
          <w:sz w:val="18"/>
          <w:szCs w:val="18"/>
        </w:rPr>
        <w:t>10</w:t>
      </w:r>
      <w:r>
        <w:rPr>
          <w:rFonts w:cs="Times New Roman" w:hint="eastAsia"/>
          <w:sz w:val="18"/>
          <w:szCs w:val="18"/>
        </w:rPr>
        <w:t>日，公司社会公众股在深圳证券交易所挂牌交易。</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经过历年送红股、资本公积转增股本、可转债转股及向社会非公开发行后，截至</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日止，公司注册资本为</w:t>
      </w:r>
      <w:r>
        <w:rPr>
          <w:rFonts w:ascii="Arial" w:hAnsi="Arial" w:cs="Arial"/>
          <w:sz w:val="18"/>
          <w:szCs w:val="18"/>
        </w:rPr>
        <w:t>886,012,887.00</w:t>
      </w:r>
      <w:r>
        <w:rPr>
          <w:rFonts w:cs="Times New Roman" w:hint="eastAsia"/>
          <w:sz w:val="18"/>
          <w:szCs w:val="18"/>
        </w:rPr>
        <w:t>元，实收资本（股本）</w:t>
      </w:r>
      <w:r>
        <w:rPr>
          <w:rFonts w:ascii="Arial" w:hAnsi="Arial" w:cs="Arial"/>
          <w:sz w:val="18"/>
          <w:szCs w:val="18"/>
        </w:rPr>
        <w:t>886,012,887.00</w:t>
      </w:r>
      <w:r>
        <w:rPr>
          <w:rFonts w:cs="Times New Roman" w:hint="eastAsia"/>
          <w:sz w:val="18"/>
          <w:szCs w:val="18"/>
        </w:rPr>
        <w:t>元。</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公司统一社会信用代码为</w:t>
      </w:r>
      <w:r>
        <w:rPr>
          <w:rFonts w:ascii="Arial" w:hAnsi="Arial" w:cs="Arial"/>
          <w:sz w:val="18"/>
          <w:szCs w:val="18"/>
        </w:rPr>
        <w:t>91320200142273776W</w:t>
      </w:r>
      <w:r>
        <w:rPr>
          <w:rFonts w:cs="Times New Roman" w:hint="eastAsia"/>
          <w:sz w:val="18"/>
          <w:szCs w:val="18"/>
        </w:rPr>
        <w:t>。公司注册地址和总部地址均为江阴市华士镇华西村。</w:t>
      </w:r>
    </w:p>
    <w:p w:rsidR="00A95787" w:rsidRDefault="005D3CC1">
      <w:pPr>
        <w:widowControl/>
        <w:numPr>
          <w:ilvl w:val="0"/>
          <w:numId w:val="2"/>
        </w:numPr>
        <w:spacing w:before="100" w:beforeAutospacing="1" w:after="100" w:afterAutospacing="1"/>
        <w:rPr>
          <w:rFonts w:ascii="宋体" w:hAnsi="宋体" w:cs="宋体"/>
          <w:sz w:val="18"/>
          <w:szCs w:val="18"/>
        </w:rPr>
      </w:pPr>
      <w:r>
        <w:rPr>
          <w:rStyle w:val="a7"/>
          <w:rFonts w:hint="eastAsia"/>
          <w:sz w:val="18"/>
          <w:szCs w:val="18"/>
        </w:rPr>
        <w:t>公司实际从事的主要经营活动</w:t>
      </w:r>
    </w:p>
    <w:p w:rsidR="00A95787" w:rsidRDefault="005D3CC1">
      <w:pPr>
        <w:pStyle w:val="a6"/>
        <w:spacing w:before="0" w:beforeAutospacing="0" w:after="0" w:afterAutospacing="0" w:line="400" w:lineRule="atLeast"/>
        <w:ind w:firstLine="342"/>
        <w:jc w:val="both"/>
        <w:rPr>
          <w:rFonts w:ascii="Times New Roman" w:hAnsi="Times New Roman" w:cs="Times New Roman"/>
          <w:sz w:val="21"/>
          <w:szCs w:val="21"/>
        </w:rPr>
      </w:pPr>
      <w:r>
        <w:rPr>
          <w:rFonts w:cs="Times New Roman" w:hint="eastAsia"/>
          <w:sz w:val="18"/>
          <w:szCs w:val="18"/>
        </w:rPr>
        <w:t>公司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 一般项目：普通货物仓储服务（不含危险化学品等需许可审批的项目）（除依法须经批准的项目外，凭营业执照依法自主开展经营活动）。 </w:t>
      </w:r>
    </w:p>
    <w:p w:rsidR="00A95787" w:rsidRDefault="005D3CC1">
      <w:pPr>
        <w:pStyle w:val="a6"/>
        <w:spacing w:before="0" w:beforeAutospacing="0" w:after="0" w:afterAutospacing="0" w:line="400" w:lineRule="atLeast"/>
        <w:ind w:firstLine="342"/>
        <w:jc w:val="both"/>
        <w:rPr>
          <w:rFonts w:ascii="Times New Roman" w:hAnsi="Times New Roman" w:cs="Times New Roman"/>
          <w:sz w:val="21"/>
          <w:szCs w:val="21"/>
        </w:rPr>
      </w:pPr>
      <w:r>
        <w:rPr>
          <w:rFonts w:cs="Times New Roman" w:hint="eastAsia"/>
          <w:sz w:val="18"/>
          <w:szCs w:val="18"/>
        </w:rPr>
        <w:t>公司业务性质：投资业务，化纤的生产销售和液体化工仓储。</w:t>
      </w:r>
    </w:p>
    <w:p w:rsidR="00A95787" w:rsidRDefault="005D3CC1">
      <w:pPr>
        <w:widowControl/>
        <w:numPr>
          <w:ilvl w:val="0"/>
          <w:numId w:val="3"/>
        </w:numPr>
        <w:spacing w:before="100" w:beforeAutospacing="1" w:after="100" w:afterAutospacing="1"/>
        <w:rPr>
          <w:rFonts w:ascii="宋体" w:hAnsi="宋体" w:cs="宋体"/>
          <w:sz w:val="18"/>
          <w:szCs w:val="18"/>
        </w:rPr>
      </w:pPr>
      <w:r>
        <w:rPr>
          <w:rStyle w:val="a7"/>
          <w:rFonts w:hint="eastAsia"/>
          <w:sz w:val="18"/>
          <w:szCs w:val="18"/>
        </w:rPr>
        <w:t>财务报告的批准报出</w:t>
      </w:r>
    </w:p>
    <w:p w:rsidR="00A95787" w:rsidRDefault="005D3CC1">
      <w:pPr>
        <w:pStyle w:val="a6"/>
        <w:spacing w:before="0" w:beforeAutospacing="0" w:after="0" w:afterAutospacing="0" w:line="400" w:lineRule="atLeast"/>
        <w:ind w:firstLine="360"/>
        <w:jc w:val="both"/>
        <w:textAlignment w:val="bottom"/>
        <w:rPr>
          <w:rFonts w:ascii="Times New Roman" w:hAnsi="Times New Roman" w:cs="Times New Roman"/>
          <w:sz w:val="21"/>
          <w:szCs w:val="21"/>
        </w:rPr>
      </w:pPr>
      <w:r>
        <w:rPr>
          <w:rFonts w:cs="Times New Roman" w:hint="eastAsia"/>
          <w:sz w:val="18"/>
          <w:szCs w:val="18"/>
        </w:rPr>
        <w:t>本财务报表业经本公司董事会于</w:t>
      </w:r>
      <w:r>
        <w:rPr>
          <w:rFonts w:ascii="Arial" w:hAnsi="Arial" w:cs="Arial"/>
          <w:sz w:val="18"/>
          <w:szCs w:val="18"/>
        </w:rPr>
        <w:t>2025</w:t>
      </w:r>
      <w:r>
        <w:rPr>
          <w:rFonts w:cs="Times New Roman" w:hint="eastAsia"/>
          <w:sz w:val="18"/>
          <w:szCs w:val="18"/>
        </w:rPr>
        <w:t>年</w:t>
      </w:r>
      <w:r>
        <w:rPr>
          <w:rFonts w:ascii="Arial" w:hAnsi="Arial" w:cs="Arial"/>
          <w:sz w:val="18"/>
          <w:szCs w:val="18"/>
        </w:rPr>
        <w:t>4</w:t>
      </w:r>
      <w:r>
        <w:rPr>
          <w:rFonts w:cs="Times New Roman" w:hint="eastAsia"/>
          <w:sz w:val="18"/>
          <w:szCs w:val="18"/>
        </w:rPr>
        <w:t>月</w:t>
      </w:r>
      <w:r>
        <w:rPr>
          <w:rFonts w:ascii="Arial" w:hAnsi="Arial" w:cs="Arial"/>
          <w:sz w:val="18"/>
          <w:szCs w:val="18"/>
        </w:rPr>
        <w:t>2</w:t>
      </w:r>
      <w:r>
        <w:rPr>
          <w:rFonts w:ascii="Arial" w:hAnsi="Arial" w:cs="Arial" w:hint="eastAsia"/>
          <w:sz w:val="18"/>
          <w:szCs w:val="18"/>
        </w:rPr>
        <w:t>8</w:t>
      </w:r>
      <w:r>
        <w:rPr>
          <w:rFonts w:cs="Times New Roman" w:hint="eastAsia"/>
          <w:sz w:val="18"/>
          <w:szCs w:val="18"/>
        </w:rPr>
        <w:t>日决议批准报出。</w:t>
      </w:r>
    </w:p>
    <w:p w:rsidR="00A95787" w:rsidRDefault="005D3CC1">
      <w:pPr>
        <w:pStyle w:val="2"/>
        <w:spacing w:before="300" w:after="300" w:line="320" w:lineRule="exact"/>
        <w:rPr>
          <w:rFonts w:ascii="宋体" w:eastAsia="宋体" w:hAnsi="宋体" w:cs="宋体"/>
          <w:b/>
          <w:bCs/>
          <w:sz w:val="24"/>
          <w:szCs w:val="24"/>
        </w:rPr>
      </w:pPr>
      <w:bookmarkStart w:id="162" w:name="_Toc989047"/>
      <w:r>
        <w:rPr>
          <w:rFonts w:ascii="宋体" w:eastAsia="宋体" w:hAnsi="宋体" w:cs="宋体"/>
          <w:b/>
          <w:bCs/>
          <w:sz w:val="24"/>
          <w:szCs w:val="24"/>
        </w:rPr>
        <w:t>四、财务报表的编制基础</w:t>
      </w:r>
      <w:bookmarkEnd w:id="162"/>
    </w:p>
    <w:p w:rsidR="00A95787" w:rsidRDefault="005D3CC1">
      <w:pPr>
        <w:pStyle w:val="3"/>
        <w:spacing w:line="280" w:lineRule="exact"/>
        <w:jc w:val="left"/>
        <w:rPr>
          <w:rFonts w:ascii="宋体" w:hAnsi="宋体" w:cs="宋体"/>
          <w:b/>
          <w:bCs/>
        </w:rPr>
      </w:pPr>
      <w:bookmarkStart w:id="163" w:name="_Toc989048"/>
      <w:r>
        <w:rPr>
          <w:rFonts w:ascii="宋体" w:hAnsi="宋体" w:cs="宋体"/>
          <w:b/>
          <w:bCs/>
        </w:rPr>
        <w:t>1、编制基础</w:t>
      </w:r>
      <w:bookmarkEnd w:id="163"/>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本公司财务报表以持续经营假设为基础，根据实际发生的交易和事项，按照财政部发布的《企业会计准则</w:t>
      </w:r>
      <w:r>
        <w:rPr>
          <w:rFonts w:ascii="Arial" w:hAnsi="Arial" w:cs="Arial"/>
          <w:sz w:val="18"/>
          <w:szCs w:val="18"/>
        </w:rPr>
        <w:t>——</w:t>
      </w:r>
      <w:r>
        <w:rPr>
          <w:rFonts w:cs="Times New Roman" w:hint="eastAsia"/>
          <w:sz w:val="18"/>
          <w:szCs w:val="18"/>
        </w:rPr>
        <w:t>基本准则》和各项具体会计准则、企业会计准则应用指南、企业会计准则解释及其他相关规定（以下合称</w:t>
      </w:r>
      <w:r>
        <w:rPr>
          <w:rFonts w:ascii="Arial" w:hAnsi="Arial" w:cs="Arial"/>
          <w:sz w:val="18"/>
          <w:szCs w:val="18"/>
        </w:rPr>
        <w:t>“</w:t>
      </w:r>
      <w:r>
        <w:rPr>
          <w:rFonts w:cs="Times New Roman" w:hint="eastAsia"/>
          <w:sz w:val="18"/>
          <w:szCs w:val="18"/>
        </w:rPr>
        <w:t>企业会计准则</w:t>
      </w:r>
      <w:r>
        <w:rPr>
          <w:rFonts w:ascii="Arial" w:hAnsi="Arial" w:cs="Arial"/>
          <w:sz w:val="18"/>
          <w:szCs w:val="18"/>
        </w:rPr>
        <w:t>”</w:t>
      </w:r>
      <w:r>
        <w:rPr>
          <w:rFonts w:cs="Times New Roman" w:hint="eastAsia"/>
          <w:sz w:val="18"/>
          <w:szCs w:val="18"/>
        </w:rPr>
        <w:t>），以及中国证券监督管理委员会《公开发行证券的公司信息披露编报规则第</w:t>
      </w:r>
      <w:r>
        <w:rPr>
          <w:rFonts w:ascii="Arial" w:hAnsi="Arial" w:cs="Arial"/>
          <w:sz w:val="18"/>
          <w:szCs w:val="18"/>
        </w:rPr>
        <w:t>15</w:t>
      </w:r>
      <w:r>
        <w:rPr>
          <w:rFonts w:cs="Times New Roman" w:hint="eastAsia"/>
          <w:sz w:val="18"/>
          <w:szCs w:val="18"/>
        </w:rPr>
        <w:t>号</w:t>
      </w:r>
      <w:r>
        <w:rPr>
          <w:rFonts w:ascii="Arial" w:hAnsi="Arial" w:cs="Arial"/>
          <w:sz w:val="18"/>
          <w:szCs w:val="18"/>
        </w:rPr>
        <w:t>——</w:t>
      </w:r>
      <w:r>
        <w:rPr>
          <w:rFonts w:cs="Times New Roman" w:hint="eastAsia"/>
          <w:sz w:val="18"/>
          <w:szCs w:val="18"/>
        </w:rPr>
        <w:t>财务报告的一般规定》（</w:t>
      </w:r>
      <w:r>
        <w:rPr>
          <w:rFonts w:ascii="Arial" w:hAnsi="Arial" w:cs="Arial"/>
          <w:sz w:val="18"/>
          <w:szCs w:val="18"/>
        </w:rPr>
        <w:t>2023</w:t>
      </w:r>
      <w:r>
        <w:rPr>
          <w:rFonts w:cs="Times New Roman" w:hint="eastAsia"/>
          <w:sz w:val="18"/>
          <w:szCs w:val="18"/>
        </w:rPr>
        <w:t>年修订）的规定编制。</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A95787" w:rsidRDefault="005D3CC1">
      <w:pPr>
        <w:pStyle w:val="3"/>
        <w:spacing w:line="280" w:lineRule="exact"/>
        <w:jc w:val="left"/>
        <w:rPr>
          <w:rFonts w:ascii="宋体" w:hAnsi="宋体" w:cs="宋体"/>
          <w:b/>
          <w:bCs/>
        </w:rPr>
      </w:pPr>
      <w:bookmarkStart w:id="164" w:name="_Toc989049"/>
      <w:r>
        <w:rPr>
          <w:rFonts w:ascii="宋体" w:hAnsi="宋体" w:cs="宋体"/>
          <w:b/>
          <w:bCs/>
        </w:rPr>
        <w:lastRenderedPageBreak/>
        <w:t>2、持续经营</w:t>
      </w:r>
      <w:bookmarkEnd w:id="164"/>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本财务报表以持续经营为基础列报，本公司自报告期末起至少</w:t>
      </w:r>
      <w:r>
        <w:rPr>
          <w:rFonts w:ascii="Arial" w:hAnsi="Arial" w:cs="Arial"/>
          <w:sz w:val="18"/>
          <w:szCs w:val="18"/>
        </w:rPr>
        <w:t>12</w:t>
      </w:r>
      <w:r>
        <w:rPr>
          <w:rFonts w:cs="Times New Roman" w:hint="eastAsia"/>
          <w:sz w:val="18"/>
          <w:szCs w:val="18"/>
        </w:rPr>
        <w:t>个月具有持续经营能力。</w:t>
      </w:r>
    </w:p>
    <w:p w:rsidR="00A95787" w:rsidRDefault="005D3CC1">
      <w:pPr>
        <w:pStyle w:val="2"/>
        <w:spacing w:before="300" w:after="300" w:line="560" w:lineRule="exact"/>
        <w:rPr>
          <w:rFonts w:ascii="宋体" w:eastAsia="宋体" w:hAnsi="宋体" w:cs="宋体"/>
          <w:b/>
          <w:bCs/>
          <w:sz w:val="24"/>
          <w:szCs w:val="24"/>
        </w:rPr>
      </w:pPr>
      <w:bookmarkStart w:id="165" w:name="_Toc989050"/>
      <w:r>
        <w:rPr>
          <w:rFonts w:ascii="宋体" w:eastAsia="宋体" w:hAnsi="宋体" w:cs="宋体"/>
          <w:b/>
          <w:bCs/>
          <w:sz w:val="24"/>
          <w:szCs w:val="24"/>
        </w:rPr>
        <w:t>五、重要会计政策及会计估计</w:t>
      </w:r>
      <w:bookmarkEnd w:id="16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及各子公司从事投资业务、化纤的生产销售和液体化工仓储经营。本公司及各子公司根据实际生产经营特点，依据相关企业会计准则的规定，对各项交易和事项制定了若干项具体会计政策和会计估计，详见如下各项描述。</w:t>
      </w:r>
    </w:p>
    <w:p w:rsidR="00A95787" w:rsidRDefault="005D3CC1">
      <w:pPr>
        <w:pStyle w:val="3"/>
        <w:spacing w:line="280" w:lineRule="exact"/>
        <w:jc w:val="left"/>
        <w:rPr>
          <w:rFonts w:ascii="宋体" w:hAnsi="宋体" w:cs="宋体"/>
          <w:b/>
          <w:bCs/>
        </w:rPr>
      </w:pPr>
      <w:bookmarkStart w:id="166" w:name="_Toc989051"/>
      <w:r>
        <w:rPr>
          <w:rFonts w:ascii="宋体" w:hAnsi="宋体" w:cs="宋体"/>
          <w:b/>
          <w:bCs/>
        </w:rPr>
        <w:t>1、遵循企业会计准则的声明</w:t>
      </w:r>
      <w:bookmarkEnd w:id="166"/>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本公司编制的财务报表符合企业会计准则的要求，真实、完整地反映了本公司</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日的合并及母公司财务状况及</w:t>
      </w:r>
      <w:r>
        <w:rPr>
          <w:rFonts w:ascii="Arial" w:hAnsi="Arial" w:cs="Arial"/>
          <w:sz w:val="18"/>
          <w:szCs w:val="18"/>
        </w:rPr>
        <w:t>2024</w:t>
      </w:r>
      <w:r>
        <w:rPr>
          <w:rFonts w:cs="Times New Roman" w:hint="eastAsia"/>
          <w:sz w:val="18"/>
          <w:szCs w:val="18"/>
        </w:rPr>
        <w:t>年度的合并及母公司经营成果和合并及母公司现金流量等有关信息。</w:t>
      </w:r>
    </w:p>
    <w:p w:rsidR="00A95787" w:rsidRDefault="005D3CC1">
      <w:pPr>
        <w:pStyle w:val="3"/>
        <w:spacing w:line="280" w:lineRule="exact"/>
        <w:jc w:val="left"/>
        <w:rPr>
          <w:rFonts w:ascii="宋体" w:hAnsi="宋体" w:cs="宋体"/>
          <w:b/>
          <w:bCs/>
        </w:rPr>
      </w:pPr>
      <w:bookmarkStart w:id="167" w:name="_Toc989052"/>
      <w:r>
        <w:rPr>
          <w:rFonts w:ascii="宋体" w:hAnsi="宋体" w:cs="宋体"/>
          <w:b/>
          <w:bCs/>
        </w:rPr>
        <w:t>2、会计期间</w:t>
      </w:r>
      <w:bookmarkEnd w:id="167"/>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本公司会计年度采用公历年度，即每年自</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日起至</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日止。</w:t>
      </w:r>
    </w:p>
    <w:p w:rsidR="00A95787" w:rsidRDefault="005D3CC1">
      <w:pPr>
        <w:pStyle w:val="3"/>
        <w:spacing w:line="280" w:lineRule="exact"/>
        <w:jc w:val="left"/>
        <w:rPr>
          <w:rFonts w:ascii="宋体" w:hAnsi="宋体" w:cs="宋体"/>
          <w:b/>
          <w:bCs/>
        </w:rPr>
      </w:pPr>
      <w:bookmarkStart w:id="168" w:name="_Toc989053"/>
      <w:r>
        <w:rPr>
          <w:rFonts w:ascii="宋体" w:hAnsi="宋体" w:cs="宋体"/>
          <w:b/>
          <w:bCs/>
        </w:rPr>
        <w:t>3、营业周期</w:t>
      </w:r>
      <w:bookmarkEnd w:id="168"/>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本公司以</w:t>
      </w:r>
      <w:r>
        <w:rPr>
          <w:rFonts w:ascii="Arial" w:hAnsi="Arial" w:cs="Arial"/>
          <w:sz w:val="18"/>
          <w:szCs w:val="18"/>
        </w:rPr>
        <w:t>12</w:t>
      </w:r>
      <w:r>
        <w:rPr>
          <w:rFonts w:cs="Times New Roman" w:hint="eastAsia"/>
          <w:sz w:val="18"/>
          <w:szCs w:val="18"/>
        </w:rPr>
        <w:t>个月作为一个营业周期，并以其作为资产和负债的流动性划分标准。</w:t>
      </w:r>
    </w:p>
    <w:p w:rsidR="00A95787" w:rsidRDefault="005D3CC1">
      <w:pPr>
        <w:pStyle w:val="3"/>
        <w:spacing w:line="280" w:lineRule="exact"/>
        <w:jc w:val="left"/>
        <w:rPr>
          <w:rFonts w:ascii="宋体" w:hAnsi="宋体" w:cs="宋体"/>
          <w:b/>
          <w:bCs/>
        </w:rPr>
      </w:pPr>
      <w:bookmarkStart w:id="169" w:name="_Toc989054"/>
      <w:r>
        <w:rPr>
          <w:rFonts w:ascii="宋体" w:hAnsi="宋体" w:cs="宋体"/>
          <w:b/>
          <w:bCs/>
        </w:rPr>
        <w:t>4、记账本位币</w:t>
      </w:r>
      <w:bookmarkEnd w:id="169"/>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color w:val="000000"/>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A95787" w:rsidRDefault="005D3CC1">
      <w:pPr>
        <w:pStyle w:val="3"/>
        <w:spacing w:line="280" w:lineRule="exact"/>
        <w:jc w:val="left"/>
        <w:rPr>
          <w:rFonts w:ascii="宋体" w:hAnsi="宋体" w:cs="宋体"/>
          <w:b/>
          <w:bCs/>
        </w:rPr>
      </w:pPr>
      <w:bookmarkStart w:id="170" w:name="_Toc989055"/>
      <w:r>
        <w:rPr>
          <w:rFonts w:ascii="宋体" w:hAnsi="宋体" w:cs="宋体"/>
          <w:b/>
          <w:bCs/>
        </w:rPr>
        <w:t>5、重要性标准确定方法和选择依据</w:t>
      </w:r>
      <w:bookmarkEnd w:id="17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025"/>
        <w:gridCol w:w="5612"/>
      </w:tblGrid>
      <w:tr w:rsidR="00A95787">
        <w:trPr>
          <w:trHeight w:val="240"/>
        </w:trPr>
        <w:tc>
          <w:tcPr>
            <w:tcW w:w="40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56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重要性标准</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重要的单项计提坏账准备的应收款项</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重要的在建工程</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重要的应付账款</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重要的预收款项</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重要的合同负债</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重要的其他应付款</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金额&gt;500 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重要的投资活动有关的现金</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金额&gt;2000万</w:t>
            </w:r>
          </w:p>
        </w:tc>
      </w:tr>
      <w:tr w:rsidR="00A95787">
        <w:trPr>
          <w:trHeight w:val="240"/>
        </w:trPr>
        <w:tc>
          <w:tcPr>
            <w:tcW w:w="4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5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对合营企业或联营企业的长期股权投资账面价值占集团总资产&gt;5%</w:t>
            </w:r>
          </w:p>
        </w:tc>
      </w:tr>
    </w:tbl>
    <w:p w:rsidR="00A95787" w:rsidRDefault="005D3CC1">
      <w:pPr>
        <w:pStyle w:val="3"/>
        <w:spacing w:line="280" w:lineRule="exact"/>
        <w:jc w:val="left"/>
        <w:rPr>
          <w:rFonts w:ascii="宋体" w:hAnsi="宋体" w:cs="宋体"/>
          <w:b/>
          <w:bCs/>
        </w:rPr>
      </w:pPr>
      <w:bookmarkStart w:id="171" w:name="_Toc989056"/>
      <w:r>
        <w:rPr>
          <w:rFonts w:ascii="宋体" w:hAnsi="宋体" w:cs="宋体"/>
          <w:b/>
          <w:bCs/>
        </w:rPr>
        <w:lastRenderedPageBreak/>
        <w:t>6、同一控制下和非同一控制下企业合并的会计处理方法</w:t>
      </w:r>
      <w:bookmarkEnd w:id="171"/>
    </w:p>
    <w:p w:rsidR="00A95787" w:rsidRDefault="005D3CC1">
      <w:pPr>
        <w:pStyle w:val="a6"/>
        <w:spacing w:before="0" w:beforeAutospacing="0" w:after="0" w:afterAutospacing="0" w:line="400" w:lineRule="atLeast"/>
        <w:ind w:left="3" w:firstLine="360"/>
        <w:jc w:val="both"/>
        <w:rPr>
          <w:rFonts w:ascii="Times New Roman" w:hAnsi="Times New Roman" w:cs="Times New Roman"/>
          <w:sz w:val="21"/>
          <w:szCs w:val="21"/>
        </w:rPr>
      </w:pPr>
      <w:r>
        <w:rPr>
          <w:rFonts w:cs="Times New Roman" w:hint="eastAsia"/>
          <w:sz w:val="18"/>
          <w:szCs w:val="18"/>
        </w:rPr>
        <w:t>企业合并，是指将两个或两个以上单独的企业合并形成一个报告主体的交易或事项。企业合并分为同一控制下企业合并和非同一控制下企业合并。</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）同一控制下企业合并</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合并方为进行企业合并发生的各项直接费用，于发生时计入当期损益。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）非同一控制下企业合并</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Pr>
          <w:rFonts w:ascii="Arial" w:hAnsi="Arial" w:cs="Arial"/>
          <w:sz w:val="18"/>
          <w:szCs w:val="18"/>
        </w:rPr>
        <w:t>12</w:t>
      </w:r>
      <w:r>
        <w:rPr>
          <w:rFonts w:cs="Times New Roman" w:hint="eastAsia"/>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购买方取得被购买方的可抵扣暂时性差异，在购买日因不符合递延所得税资产确认条件而未予确认的，在购买日后</w:t>
      </w:r>
      <w:r>
        <w:rPr>
          <w:rFonts w:ascii="Arial" w:hAnsi="Arial" w:cs="Arial"/>
          <w:sz w:val="18"/>
          <w:szCs w:val="18"/>
        </w:rPr>
        <w:t>12</w:t>
      </w:r>
      <w:r>
        <w:rPr>
          <w:rFonts w:cs="Times New Roman"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通过多次交易分步实现的非同一控制下企业合并，属于“一揽子交易”的，参考本部分前面各段描述及本</w:t>
      </w:r>
      <w:r>
        <w:rPr>
          <w:rFonts w:cs="Times New Roman" w:hint="eastAsia"/>
          <w:sz w:val="18"/>
          <w:szCs w:val="18"/>
          <w:shd w:val="clear" w:color="auto" w:fill="FFFFFF"/>
        </w:rPr>
        <w:t>附注五、</w:t>
      </w:r>
      <w:r>
        <w:rPr>
          <w:rFonts w:ascii="Arial" w:hAnsi="Arial" w:cs="Arial"/>
          <w:sz w:val="18"/>
          <w:szCs w:val="18"/>
          <w:shd w:val="clear" w:color="auto" w:fill="FFFFFF"/>
        </w:rPr>
        <w:t>14</w:t>
      </w:r>
      <w:r>
        <w:rPr>
          <w:rFonts w:cs="Times New Roman" w:hint="eastAsia"/>
          <w:sz w:val="18"/>
          <w:szCs w:val="18"/>
          <w:shd w:val="clear" w:color="auto" w:fill="FFFFFF"/>
        </w:rPr>
        <w:t>“长期股权投资”进</w:t>
      </w:r>
      <w:r>
        <w:rPr>
          <w:rFonts w:cs="Times New Roman" w:hint="eastAsia"/>
          <w:sz w:val="18"/>
          <w:szCs w:val="18"/>
        </w:rPr>
        <w:t>行会计处理；不属于“一揽子交易”的，区分个别财务报表和合并财务报表进行相关会计处理：</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A95787" w:rsidRDefault="005D3CC1">
      <w:pPr>
        <w:pStyle w:val="3"/>
        <w:spacing w:line="280" w:lineRule="exact"/>
        <w:jc w:val="left"/>
        <w:rPr>
          <w:rFonts w:ascii="宋体" w:hAnsi="宋体" w:cs="宋体"/>
          <w:b/>
          <w:bCs/>
        </w:rPr>
      </w:pPr>
      <w:bookmarkStart w:id="172" w:name="_Toc989057"/>
      <w:r>
        <w:rPr>
          <w:rFonts w:ascii="宋体" w:hAnsi="宋体" w:cs="宋体"/>
          <w:b/>
          <w:bCs/>
        </w:rPr>
        <w:t>7、控制的判断标准和合并财务报表的编制方法</w:t>
      </w:r>
      <w:bookmarkEnd w:id="172"/>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）控制的判断标准</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）合并财务报表编制的方法</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公司内所有重大往来余额、交易及未实现利润在合并财务报表编制时予以抵销。</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Pr>
          <w:rFonts w:ascii="Arial" w:hAnsi="Arial" w:cs="Arial"/>
          <w:sz w:val="18"/>
          <w:szCs w:val="18"/>
        </w:rPr>
        <w:t>2</w:t>
      </w:r>
      <w:r>
        <w:rPr>
          <w:rFonts w:cs="Times New Roman" w:hint="eastAsia"/>
          <w:sz w:val="18"/>
          <w:szCs w:val="18"/>
        </w:rPr>
        <w:t>号</w:t>
      </w:r>
      <w:r>
        <w:rPr>
          <w:rFonts w:ascii="Arial" w:hAnsi="Arial" w:cs="Arial"/>
          <w:sz w:val="18"/>
          <w:szCs w:val="18"/>
        </w:rPr>
        <w:t>——</w:t>
      </w:r>
      <w:r>
        <w:rPr>
          <w:rFonts w:cs="Times New Roman" w:hint="eastAsia"/>
          <w:sz w:val="18"/>
          <w:szCs w:val="18"/>
        </w:rPr>
        <w:t>长期股权投资》或《企业会计准则第</w:t>
      </w:r>
      <w:r>
        <w:rPr>
          <w:rFonts w:ascii="Arial" w:hAnsi="Arial" w:cs="Arial"/>
          <w:sz w:val="18"/>
          <w:szCs w:val="18"/>
        </w:rPr>
        <w:t>22</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金融工具确认和计量》等相关规定进行后续计量，详见</w:t>
      </w:r>
      <w:r>
        <w:rPr>
          <w:rFonts w:cs="Times New Roman" w:hint="eastAsia"/>
          <w:sz w:val="18"/>
          <w:szCs w:val="18"/>
          <w:shd w:val="clear" w:color="auto" w:fill="FFFFFF"/>
        </w:rPr>
        <w:t>本附注五、</w:t>
      </w:r>
      <w:r>
        <w:rPr>
          <w:rFonts w:ascii="Arial" w:hAnsi="Arial" w:cs="Arial"/>
          <w:sz w:val="18"/>
          <w:szCs w:val="18"/>
          <w:shd w:val="clear" w:color="auto" w:fill="FFFFFF"/>
        </w:rPr>
        <w:t>14</w:t>
      </w:r>
      <w:r>
        <w:rPr>
          <w:rFonts w:cs="Times New Roman" w:hint="eastAsia"/>
          <w:sz w:val="18"/>
          <w:szCs w:val="18"/>
          <w:shd w:val="clear" w:color="auto" w:fill="FFFFFF"/>
        </w:rPr>
        <w:t>“长期股权投资”或本附注五、</w:t>
      </w:r>
      <w:r>
        <w:rPr>
          <w:rFonts w:ascii="Arial" w:hAnsi="Arial" w:cs="Arial"/>
          <w:sz w:val="18"/>
          <w:szCs w:val="18"/>
          <w:shd w:val="clear" w:color="auto" w:fill="FFFFFF"/>
        </w:rPr>
        <w:t>11</w:t>
      </w:r>
      <w:r>
        <w:rPr>
          <w:rFonts w:cs="Times New Roman" w:hint="eastAsia"/>
          <w:sz w:val="18"/>
          <w:szCs w:val="18"/>
          <w:shd w:val="clear" w:color="auto" w:fill="FFFFFF"/>
        </w:rPr>
        <w:t>“金融工具”。</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和“因处置部分股权投资或其他原因丧失了对原有子公司的控制权”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A95787" w:rsidRDefault="005D3CC1">
      <w:pPr>
        <w:pStyle w:val="3"/>
        <w:spacing w:line="280" w:lineRule="exact"/>
        <w:jc w:val="left"/>
        <w:rPr>
          <w:rFonts w:ascii="宋体" w:hAnsi="宋体" w:cs="宋体"/>
          <w:b/>
          <w:bCs/>
        </w:rPr>
      </w:pPr>
      <w:bookmarkStart w:id="173" w:name="_Toc989058"/>
      <w:r>
        <w:rPr>
          <w:rFonts w:ascii="宋体" w:hAnsi="宋体" w:cs="宋体"/>
          <w:b/>
          <w:bCs/>
        </w:rPr>
        <w:t>8、合营安排分类及共同经营会计处理方法</w:t>
      </w:r>
      <w:bookmarkEnd w:id="173"/>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本公司对合营企业的投资采用权益法核算，按照本</w:t>
      </w:r>
      <w:r>
        <w:rPr>
          <w:rFonts w:cs="Times New Roman" w:hint="eastAsia"/>
          <w:sz w:val="18"/>
          <w:szCs w:val="18"/>
          <w:shd w:val="clear" w:color="auto" w:fill="FFFFFF"/>
        </w:rPr>
        <w:t>附注五、</w:t>
      </w:r>
      <w:r>
        <w:rPr>
          <w:rFonts w:ascii="Arial" w:hAnsi="Arial" w:cs="Arial"/>
          <w:sz w:val="18"/>
          <w:szCs w:val="18"/>
          <w:shd w:val="clear" w:color="auto" w:fill="FFFFFF"/>
        </w:rPr>
        <w:t>14</w:t>
      </w:r>
      <w:r>
        <w:rPr>
          <w:rFonts w:cs="Times New Roman" w:hint="eastAsia"/>
          <w:sz w:val="18"/>
          <w:szCs w:val="18"/>
          <w:shd w:val="clear" w:color="auto" w:fill="FFFFFF"/>
        </w:rPr>
        <w:t>（</w:t>
      </w:r>
      <w:r>
        <w:rPr>
          <w:rFonts w:ascii="Arial" w:hAnsi="Arial" w:cs="Arial"/>
          <w:sz w:val="18"/>
          <w:szCs w:val="18"/>
          <w:shd w:val="clear" w:color="auto" w:fill="FFFFFF"/>
        </w:rPr>
        <w:t>2</w:t>
      </w:r>
      <w:r>
        <w:rPr>
          <w:rFonts w:cs="Times New Roman" w:hint="eastAsia"/>
          <w:sz w:val="18"/>
          <w:szCs w:val="18"/>
          <w:shd w:val="clear" w:color="auto" w:fill="FFFFFF"/>
        </w:rPr>
        <w:t>）②“权益法核算的长期股权投资”中</w:t>
      </w:r>
      <w:r>
        <w:rPr>
          <w:rFonts w:cs="Times New Roman" w:hint="eastAsia"/>
          <w:sz w:val="18"/>
          <w:szCs w:val="18"/>
        </w:rPr>
        <w:t>所述的会计政策处理。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ascii="Arial" w:hAnsi="Arial" w:cs="Arial"/>
          <w:sz w:val="18"/>
          <w:szCs w:val="18"/>
        </w:rPr>
        <w:t>8</w:t>
      </w:r>
      <w:r>
        <w:rPr>
          <w:rFonts w:cs="Times New Roman" w:hint="eastAsia"/>
          <w:sz w:val="18"/>
          <w:szCs w:val="18"/>
        </w:rPr>
        <w:t>号</w:t>
      </w:r>
      <w:r>
        <w:rPr>
          <w:rFonts w:ascii="Arial" w:hAnsi="Arial" w:cs="Arial"/>
          <w:sz w:val="18"/>
          <w:szCs w:val="18"/>
        </w:rPr>
        <w:t>——</w:t>
      </w:r>
      <w:r>
        <w:rPr>
          <w:rFonts w:cs="Times New Roman" w:hint="eastAsia"/>
          <w:sz w:val="18"/>
          <w:szCs w:val="18"/>
        </w:rPr>
        <w:t>资产减值》等规定的资产减值损失的，对于由本公司向共同经营投出或出售资产的情况，本公司全额确认该损失；对于本公司自共同经营购买资产的情况，本公司按承担的份额确认该损失。</w:t>
      </w:r>
    </w:p>
    <w:p w:rsidR="00A95787" w:rsidRDefault="005D3CC1">
      <w:pPr>
        <w:pStyle w:val="3"/>
        <w:spacing w:line="280" w:lineRule="exact"/>
        <w:jc w:val="left"/>
        <w:rPr>
          <w:rFonts w:ascii="宋体" w:hAnsi="宋体" w:cs="宋体"/>
          <w:b/>
          <w:bCs/>
        </w:rPr>
      </w:pPr>
      <w:bookmarkStart w:id="174" w:name="_Toc989059"/>
      <w:r>
        <w:rPr>
          <w:rFonts w:ascii="宋体" w:hAnsi="宋体" w:cs="宋体"/>
          <w:b/>
          <w:bCs/>
        </w:rPr>
        <w:t>9、现金及现金等价物的确定标准</w:t>
      </w:r>
      <w:bookmarkEnd w:id="174"/>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A95787" w:rsidRDefault="005D3CC1">
      <w:pPr>
        <w:pStyle w:val="3"/>
        <w:spacing w:line="280" w:lineRule="exact"/>
        <w:jc w:val="left"/>
        <w:rPr>
          <w:rFonts w:ascii="宋体" w:hAnsi="宋体" w:cs="宋体"/>
          <w:b/>
          <w:bCs/>
        </w:rPr>
      </w:pPr>
      <w:bookmarkStart w:id="175" w:name="_Toc989060"/>
      <w:r>
        <w:rPr>
          <w:rFonts w:ascii="宋体" w:hAnsi="宋体" w:cs="宋体"/>
          <w:b/>
          <w:bCs/>
        </w:rPr>
        <w:t>10、外币业务和外币报表折算</w:t>
      </w:r>
      <w:bookmarkEnd w:id="175"/>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w:t>
      </w:r>
      <w:r>
        <w:rPr>
          <w:rFonts w:ascii="Arial" w:hAnsi="Arial" w:cs="Arial"/>
          <w:sz w:val="18"/>
          <w:szCs w:val="18"/>
        </w:rPr>
        <w:t>1</w:t>
      </w:r>
      <w:r>
        <w:rPr>
          <w:rFonts w:hint="eastAsia"/>
          <w:sz w:val="18"/>
          <w:szCs w:val="18"/>
        </w:rPr>
        <w:t>）外币交易的折算方法</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w:t>
      </w:r>
      <w:r>
        <w:rPr>
          <w:rFonts w:ascii="Arial" w:hAnsi="Arial" w:cs="Arial"/>
          <w:sz w:val="18"/>
          <w:szCs w:val="18"/>
        </w:rPr>
        <w:t>2</w:t>
      </w:r>
      <w:r>
        <w:rPr>
          <w:rFonts w:hint="eastAsia"/>
          <w:sz w:val="18"/>
          <w:szCs w:val="18"/>
        </w:rPr>
        <w:t>）对于外币货币性项目和外币非货币性项目的折算方法</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w:t>
      </w:r>
      <w:r>
        <w:rPr>
          <w:rFonts w:ascii="Arial" w:hAnsi="Arial" w:cs="Arial"/>
          <w:sz w:val="18"/>
          <w:szCs w:val="18"/>
        </w:rPr>
        <w:t>3</w:t>
      </w:r>
      <w:r>
        <w:rPr>
          <w:rFonts w:hint="eastAsia"/>
          <w:sz w:val="18"/>
          <w:szCs w:val="18"/>
        </w:rPr>
        <w:t>）外币财务报表的折算方法</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编制合并财务报表涉及境外经营的，如有实质上构成对境外经营净投资的外币货币性项目，因汇率变动而产生的汇兑差额，作为</w:t>
      </w:r>
      <w:r>
        <w:rPr>
          <w:rFonts w:ascii="Arial" w:hAnsi="Arial" w:cs="Arial"/>
          <w:sz w:val="18"/>
          <w:szCs w:val="18"/>
        </w:rPr>
        <w:t>“</w:t>
      </w:r>
      <w:r>
        <w:rPr>
          <w:rFonts w:hint="eastAsia"/>
          <w:sz w:val="18"/>
          <w:szCs w:val="18"/>
        </w:rPr>
        <w:t>外币报表折算差额</w:t>
      </w:r>
      <w:r>
        <w:rPr>
          <w:rFonts w:ascii="Arial" w:hAnsi="Arial" w:cs="Arial"/>
          <w:sz w:val="18"/>
          <w:szCs w:val="18"/>
        </w:rPr>
        <w:t>”</w:t>
      </w:r>
      <w:r>
        <w:rPr>
          <w:rFonts w:hint="eastAsia"/>
          <w:sz w:val="18"/>
          <w:szCs w:val="18"/>
        </w:rPr>
        <w:t>确认为其他综合收益；处置境外经营时，计入处置当期损益。</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上年年末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外币现金流量，采用现金流量发生日的即期汇率折算。汇率变动对现金的影响额作为调节项目，在现金流量表中单独列报。</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上年年末数和上年实际数按照上年财务报表折算后的数额列示。</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A95787" w:rsidRDefault="005D3CC1">
      <w:pPr>
        <w:pStyle w:val="a6"/>
        <w:spacing w:before="0" w:beforeAutospacing="0" w:after="0" w:afterAutospacing="0" w:line="400" w:lineRule="atLeast"/>
        <w:ind w:firstLine="360"/>
        <w:jc w:val="both"/>
        <w:rPr>
          <w:sz w:val="21"/>
          <w:szCs w:val="21"/>
        </w:rPr>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A95787" w:rsidRDefault="005D3CC1">
      <w:pPr>
        <w:pStyle w:val="3"/>
        <w:spacing w:line="280" w:lineRule="exact"/>
        <w:jc w:val="left"/>
        <w:rPr>
          <w:rFonts w:ascii="宋体" w:hAnsi="宋体" w:cs="宋体"/>
          <w:b/>
          <w:bCs/>
        </w:rPr>
      </w:pPr>
      <w:bookmarkStart w:id="176" w:name="_Toc989061"/>
      <w:r>
        <w:rPr>
          <w:rFonts w:ascii="宋体" w:hAnsi="宋体" w:cs="宋体"/>
          <w:b/>
          <w:bCs/>
        </w:rPr>
        <w:t>11、金融工具</w:t>
      </w:r>
      <w:bookmarkEnd w:id="176"/>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在本公司成为金融工具合同的一方时确认一项金融资产或金融负债。</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）金融资产的分类、确认和计量</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①以摊余成本计量的金融资产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②以公允价值计量且其变动计入其他综合收益的金融资产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③以公允价值计量且其变动计入当期损益的金融资产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）金融负债的分类、确认和计量</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①以公允价值计量且其变动计入当期损益的金融负债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交易性金融负债（含属于金融负债的衍生工具），按照公允价值进行后续计量，除与套期会计有关外，公允价值变动计入当期损益。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②其他金融负债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）金融资产转移的确认依据和计量方法</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满足下列条件之一的金融资产，予以终止确认：①</w:t>
      </w:r>
      <w:r>
        <w:rPr>
          <w:rFonts w:ascii="Arial" w:hAnsi="Arial" w:cs="Arial"/>
          <w:sz w:val="18"/>
          <w:szCs w:val="18"/>
        </w:rPr>
        <w:t xml:space="preserve"> </w:t>
      </w:r>
      <w:r>
        <w:rPr>
          <w:rFonts w:cs="Times New Roman" w:hint="eastAsia"/>
          <w:sz w:val="18"/>
          <w:szCs w:val="18"/>
        </w:rPr>
        <w:t>收取该金融资产现金流量的合同权利终止；②</w:t>
      </w:r>
      <w:r>
        <w:rPr>
          <w:rFonts w:ascii="Arial" w:hAnsi="Arial" w:cs="Arial"/>
          <w:sz w:val="18"/>
          <w:szCs w:val="18"/>
        </w:rPr>
        <w:t xml:space="preserve"> </w:t>
      </w:r>
      <w:r>
        <w:rPr>
          <w:rFonts w:cs="Times New Roman" w:hint="eastAsia"/>
          <w:sz w:val="18"/>
          <w:szCs w:val="18"/>
        </w:rPr>
        <w:t>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）金融负债的终止确认</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金融负债（或其一部分）终止确认的，本公司将其账面价值与支付的对价（包括转出的非现金资产或承担的负债）之间的差额，计入当期损益。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）金融资产和金融负债的抵销</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）金融资产和金融负债的公允价值确定方法</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w:t>
      </w:r>
      <w:r>
        <w:rPr>
          <w:rFonts w:cs="Times New Roman" w:hint="eastAsia"/>
          <w:sz w:val="18"/>
          <w:szCs w:val="18"/>
        </w:rPr>
        <w:lastRenderedPageBreak/>
        <w:t>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A95787" w:rsidRDefault="005D3CC1" w:rsidP="00441DB3">
      <w:pPr>
        <w:pStyle w:val="3"/>
        <w:spacing w:line="280" w:lineRule="exact"/>
        <w:ind w:firstLineChars="100" w:firstLine="211"/>
        <w:jc w:val="left"/>
        <w:rPr>
          <w:rFonts w:ascii="宋体" w:hAnsi="宋体" w:cs="宋体"/>
          <w:b/>
          <w:bCs/>
        </w:rPr>
      </w:pPr>
      <w:bookmarkStart w:id="177" w:name="_Toc989062"/>
      <w:r>
        <w:rPr>
          <w:rFonts w:ascii="宋体" w:hAnsi="宋体" w:cs="宋体"/>
          <w:b/>
          <w:bCs/>
        </w:rPr>
        <w:t>12、金融资产减值</w:t>
      </w:r>
      <w:bookmarkEnd w:id="177"/>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本公司需确认减值损失的金融资产系以摊余成本计量的金融资产、以公允价值计量且其变动计入其他综合收益的债务工具投资，主要包括应收票据、应收账款、合同资产、其他应收款、债权投资、其他债权投资、长期应收款等。此外，对部分财务担保合同，也按照本部分所述会计政策计提减值准备和确认信用减值损失。</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1</w:t>
      </w:r>
      <w:r>
        <w:rPr>
          <w:rFonts w:cs="Times New Roman" w:hint="eastAsia"/>
          <w:sz w:val="18"/>
          <w:szCs w:val="18"/>
        </w:rPr>
        <w:t>）减值准备的确认方法</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本公司以预期信用损失为基础，对上述各项目按照其适用的预期信用损失计量方法（一般方法或简化方法）计提减值准备并确认信用减值损失。</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Pr>
          <w:rFonts w:ascii="Arial" w:eastAsia="仿宋" w:hAnsi="Arial" w:cs="Arial"/>
          <w:sz w:val="18"/>
          <w:szCs w:val="18"/>
        </w:rPr>
        <w:t>12</w:t>
      </w:r>
      <w:r>
        <w:rPr>
          <w:rFonts w:cs="Times New Roman" w:hint="eastAsia"/>
          <w:sz w:val="18"/>
          <w:szCs w:val="18"/>
        </w:rPr>
        <w:t>个月内预期信用损失的金额计量损失准备。本公司在评估预期信用损失时，考虑所有合理且有依据的信息，包括前瞻性信息。</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对于在资产负债表日具有较低信用风险的金融工具，本公司假设其信用风险自初始确认后并未显著增加，选择按照未来</w:t>
      </w:r>
      <w:r>
        <w:rPr>
          <w:rFonts w:ascii="Arial" w:eastAsia="仿宋" w:hAnsi="Arial" w:cs="Arial"/>
          <w:sz w:val="18"/>
          <w:szCs w:val="18"/>
        </w:rPr>
        <w:t xml:space="preserve"> 12 </w:t>
      </w:r>
      <w:r>
        <w:rPr>
          <w:rFonts w:cs="Times New Roman" w:hint="eastAsia"/>
          <w:sz w:val="18"/>
          <w:szCs w:val="18"/>
        </w:rPr>
        <w:t>个月内的预期信用损失计量损失准备，依据其信用风险自初始确认后是否已显著增加，而采用未来</w:t>
      </w:r>
      <w:r>
        <w:rPr>
          <w:rFonts w:ascii="Arial" w:eastAsia="仿宋" w:hAnsi="Arial" w:cs="Arial"/>
          <w:sz w:val="18"/>
          <w:szCs w:val="18"/>
        </w:rPr>
        <w:t>12</w:t>
      </w:r>
      <w:r>
        <w:rPr>
          <w:rFonts w:cs="Times New Roman" w:hint="eastAsia"/>
          <w:sz w:val="18"/>
          <w:szCs w:val="18"/>
        </w:rPr>
        <w:t>月内或者整个存续期内预期信用损失金额为基础计量损失准备。</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2</w:t>
      </w:r>
      <w:r>
        <w:rPr>
          <w:rFonts w:cs="Times New Roman" w:hint="eastAsia"/>
          <w:sz w:val="18"/>
          <w:szCs w:val="18"/>
        </w:rPr>
        <w:t>）信用风险自初始确认后是否显著增加的判断标准</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如果某项金融资产在资产负债表日确定的预计存续期内的违约概率显著高于在初始确认时确定的预计存续期内的违约概率，则表明该项金融资产的信用风险显著增加。</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3</w:t>
      </w:r>
      <w:r>
        <w:rPr>
          <w:rFonts w:cs="Times New Roman" w:hint="eastAsia"/>
          <w:sz w:val="18"/>
          <w:szCs w:val="18"/>
        </w:rPr>
        <w:t>）以组合为基础评估预期信用风险的组合方法</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t>除了单项评估信用风险的金融资产外，本公司基于共同风险特征将金融资产划分为不同的组别，本公司采用的共同信用风险特征包括：金融工具类型、信用风险评级、账龄组合、逾期账龄组合、合同结算周期等，在组合的基础上评估信用风险。</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4</w:t>
      </w:r>
      <w:r>
        <w:rPr>
          <w:rFonts w:cs="Times New Roman" w:hint="eastAsia"/>
          <w:sz w:val="18"/>
          <w:szCs w:val="18"/>
        </w:rPr>
        <w:t>）金融资产减值的会计处理方法</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lastRenderedPageBreak/>
        <w:t>期末，本公司计算各类金融资产的预计信用损失，如果该预计信用损失大于其当前减值准备的账面金额，将其差额确认为减值损失；如果小于当前减值准备的账面金额，则将差额确认为减值利得。</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5</w:t>
      </w:r>
      <w:r>
        <w:rPr>
          <w:rFonts w:cs="Times New Roman" w:hint="eastAsia"/>
          <w:sz w:val="18"/>
          <w:szCs w:val="18"/>
        </w:rPr>
        <w:t>）各类金融资产信用损失的确定方法</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t>①应收票据</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本公司对于应收票据按照相当于整个存续期内的预期信用损失金额计量损失准备。基于应收票据的信用风险特征，将其划分为不同组合：</w:t>
      </w:r>
    </w:p>
    <w:tbl>
      <w:tblPr>
        <w:tblW w:w="9663" w:type="dxa"/>
        <w:tblInd w:w="84" w:type="dxa"/>
        <w:tblLayout w:type="fixed"/>
        <w:tblCellMar>
          <w:left w:w="0" w:type="dxa"/>
          <w:right w:w="0" w:type="dxa"/>
        </w:tblCellMar>
        <w:tblLook w:val="04A0" w:firstRow="1" w:lastRow="0" w:firstColumn="1" w:lastColumn="0" w:noHBand="0" w:noVBand="1"/>
      </w:tblPr>
      <w:tblGrid>
        <w:gridCol w:w="4013"/>
        <w:gridCol w:w="5650"/>
      </w:tblGrid>
      <w:tr w:rsidR="00A95787">
        <w:trPr>
          <w:trHeight w:val="378"/>
          <w:tblHeader/>
        </w:trPr>
        <w:tc>
          <w:tcPr>
            <w:tcW w:w="4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5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A95787">
        <w:trPr>
          <w:trHeight w:val="300"/>
        </w:trPr>
        <w:tc>
          <w:tcPr>
            <w:tcW w:w="4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56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r w:rsidR="00A95787">
        <w:trPr>
          <w:trHeight w:val="300"/>
        </w:trPr>
        <w:tc>
          <w:tcPr>
            <w:tcW w:w="4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56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bl>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②应收账款及合同资产</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对于不含重大融资成分的应收款项和合同资产，本公司按照相当于整个存续期内的预期信用损失金额计量损失准备。</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对于包含重大融资成分的应收款项、合同资产，本公司选择始终按照相当于存续期内预期信用损失的金额计量损失准备。</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除了单项评估信用风险的应收账款外，基于其信用风险特征，将其划分为不同组合：</w:t>
      </w:r>
    </w:p>
    <w:tbl>
      <w:tblPr>
        <w:tblW w:w="9663" w:type="dxa"/>
        <w:tblInd w:w="84" w:type="dxa"/>
        <w:tblCellMar>
          <w:left w:w="0" w:type="dxa"/>
          <w:right w:w="0" w:type="dxa"/>
        </w:tblCellMar>
        <w:tblLook w:val="04A0" w:firstRow="1" w:lastRow="0" w:firstColumn="1" w:lastColumn="0" w:noHBand="0" w:noVBand="1"/>
      </w:tblPr>
      <w:tblGrid>
        <w:gridCol w:w="2468"/>
        <w:gridCol w:w="7195"/>
      </w:tblGrid>
      <w:tr w:rsidR="00A95787">
        <w:trPr>
          <w:trHeight w:val="378"/>
          <w:tblHeader/>
        </w:trPr>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7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A95787">
        <w:trPr>
          <w:trHeight w:val="300"/>
        </w:trPr>
        <w:tc>
          <w:tcPr>
            <w:tcW w:w="2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账龄组合</w:t>
            </w:r>
          </w:p>
        </w:tc>
        <w:tc>
          <w:tcPr>
            <w:tcW w:w="719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参考历史信用损失经验，结合当前状况以及对未来经济账龄组合</w:t>
            </w:r>
          </w:p>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本组合以应收款项的账龄作为信用风险特征状况的预测，编制应收款项账龄与预期信用损失率对照表，计算预期信用损失。</w:t>
            </w:r>
          </w:p>
        </w:tc>
      </w:tr>
      <w:tr w:rsidR="00A95787">
        <w:trPr>
          <w:trHeight w:val="300"/>
        </w:trPr>
        <w:tc>
          <w:tcPr>
            <w:tcW w:w="2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合并范围内关联方组合</w:t>
            </w:r>
          </w:p>
        </w:tc>
        <w:tc>
          <w:tcPr>
            <w:tcW w:w="719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参考历史信用损失经验，结合当前状况及未来经济状况的预测，通过违约风险敞口和未来</w:t>
            </w:r>
            <w:r>
              <w:rPr>
                <w:rFonts w:ascii="Arial" w:hAnsi="Arial" w:cs="Arial"/>
                <w:sz w:val="18"/>
                <w:szCs w:val="18"/>
              </w:rPr>
              <w:t>12</w:t>
            </w:r>
            <w:r>
              <w:rPr>
                <w:rFonts w:cs="Times New Roman" w:hint="eastAsia"/>
                <w:sz w:val="18"/>
                <w:szCs w:val="18"/>
              </w:rPr>
              <w:t>个月或整个存续期内关联方公司款项预期信用损失率，计算预期信用损失。此类款项发生坏账损失的可能性极小。</w:t>
            </w:r>
          </w:p>
        </w:tc>
      </w:tr>
    </w:tbl>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ascii="Arial" w:eastAsia="仿宋" w:hAnsi="Arial" w:cs="Arial"/>
          <w:sz w:val="18"/>
          <w:szCs w:val="18"/>
        </w:rPr>
        <w:t>a</w:t>
      </w:r>
      <w:r>
        <w:rPr>
          <w:rFonts w:cs="Times New Roman" w:hint="eastAsia"/>
          <w:sz w:val="18"/>
          <w:szCs w:val="18"/>
        </w:rPr>
        <w:t>、本公司应收款项账龄从发生日开始计算。</w:t>
      </w:r>
    </w:p>
    <w:p w:rsidR="00A95787" w:rsidRDefault="005D3CC1">
      <w:pPr>
        <w:pStyle w:val="a6"/>
        <w:spacing w:before="0" w:beforeAutospacing="0" w:after="0" w:afterAutospacing="0" w:line="400" w:lineRule="atLeast"/>
        <w:ind w:left="482"/>
        <w:jc w:val="both"/>
        <w:rPr>
          <w:rFonts w:ascii="Times New Roman" w:eastAsia="仿宋" w:hAnsi="Times New Roman" w:cs="Times New Roman"/>
          <w:sz w:val="21"/>
          <w:szCs w:val="21"/>
        </w:rPr>
      </w:pPr>
      <w:r>
        <w:rPr>
          <w:rFonts w:cs="Times New Roman" w:hint="eastAsia"/>
          <w:sz w:val="18"/>
          <w:szCs w:val="18"/>
        </w:rPr>
        <w:t>组合中，采用账龄组合计提预期信用损失的组合计提方法：</w:t>
      </w:r>
    </w:p>
    <w:tbl>
      <w:tblPr>
        <w:tblW w:w="4960" w:type="pct"/>
        <w:jc w:val="center"/>
        <w:tblCellMar>
          <w:left w:w="0" w:type="dxa"/>
          <w:right w:w="0" w:type="dxa"/>
        </w:tblCellMar>
        <w:tblLook w:val="04A0" w:firstRow="1" w:lastRow="0" w:firstColumn="1" w:lastColumn="0" w:noHBand="0" w:noVBand="1"/>
      </w:tblPr>
      <w:tblGrid>
        <w:gridCol w:w="4941"/>
        <w:gridCol w:w="2366"/>
        <w:gridCol w:w="2308"/>
      </w:tblGrid>
      <w:tr w:rsidR="00A95787">
        <w:trPr>
          <w:trHeight w:val="475"/>
          <w:tblHeader/>
          <w:jc w:val="center"/>
        </w:trPr>
        <w:tc>
          <w:tcPr>
            <w:tcW w:w="256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账龄</w:t>
            </w:r>
          </w:p>
        </w:tc>
        <w:tc>
          <w:tcPr>
            <w:tcW w:w="123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应收账款计提比例（</w:t>
            </w:r>
            <w:r>
              <w:rPr>
                <w:rFonts w:ascii="Arial" w:hAnsi="Arial" w:cs="Arial"/>
                <w:sz w:val="18"/>
                <w:szCs w:val="18"/>
              </w:rPr>
              <w:t>%</w:t>
            </w:r>
            <w:r>
              <w:rPr>
                <w:rFonts w:cs="Times New Roman" w:hint="eastAsia"/>
                <w:sz w:val="18"/>
                <w:szCs w:val="18"/>
              </w:rPr>
              <w:t>）</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其他应收款计提比例（</w:t>
            </w:r>
            <w:r>
              <w:rPr>
                <w:rFonts w:ascii="Arial" w:hAnsi="Arial" w:cs="Arial"/>
                <w:sz w:val="18"/>
                <w:szCs w:val="18"/>
              </w:rPr>
              <w:t>%</w:t>
            </w:r>
            <w:r>
              <w:rPr>
                <w:rFonts w:cs="Times New Roman" w:hint="eastAsia"/>
                <w:sz w:val="18"/>
                <w:szCs w:val="18"/>
              </w:rPr>
              <w:t>）</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1</w:t>
            </w:r>
            <w:r>
              <w:rPr>
                <w:rFonts w:cs="Times New Roman" w:hint="eastAsia"/>
                <w:sz w:val="18"/>
                <w:szCs w:val="18"/>
              </w:rPr>
              <w:t>年以内</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1-2</w:t>
            </w:r>
            <w:r>
              <w:rPr>
                <w:rFonts w:cs="Times New Roman" w:hint="eastAsia"/>
                <w:sz w:val="18"/>
                <w:szCs w:val="18"/>
              </w:rPr>
              <w:t>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2-3</w:t>
            </w:r>
            <w:r>
              <w:rPr>
                <w:rFonts w:cs="Times New Roman" w:hint="eastAsia"/>
                <w:sz w:val="18"/>
                <w:szCs w:val="18"/>
              </w:rPr>
              <w:t>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30.00</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3-4</w:t>
            </w:r>
            <w:r>
              <w:rPr>
                <w:rFonts w:cs="Times New Roman" w:hint="eastAsia"/>
                <w:sz w:val="18"/>
                <w:szCs w:val="18"/>
              </w:rPr>
              <w:t>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50.00</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4-5</w:t>
            </w:r>
            <w:r>
              <w:rPr>
                <w:rFonts w:cs="Times New Roman" w:hint="eastAsia"/>
                <w:sz w:val="18"/>
                <w:szCs w:val="18"/>
              </w:rPr>
              <w:t>年</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80.00</w:t>
            </w:r>
          </w:p>
        </w:tc>
      </w:tr>
      <w:tr w:rsidR="00A95787">
        <w:trPr>
          <w:trHeight w:val="300"/>
          <w:jc w:val="center"/>
        </w:trPr>
        <w:tc>
          <w:tcPr>
            <w:tcW w:w="256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5</w:t>
            </w:r>
            <w:r>
              <w:rPr>
                <w:rFonts w:cs="Times New Roman" w:hint="eastAsia"/>
                <w:sz w:val="18"/>
                <w:szCs w:val="18"/>
              </w:rPr>
              <w:t>年以上</w:t>
            </w:r>
          </w:p>
        </w:tc>
        <w:tc>
          <w:tcPr>
            <w:tcW w:w="123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100.00</w:t>
            </w:r>
          </w:p>
        </w:tc>
        <w:tc>
          <w:tcPr>
            <w:tcW w:w="12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100.00</w:t>
            </w:r>
          </w:p>
        </w:tc>
      </w:tr>
    </w:tbl>
    <w:p w:rsidR="00A95787" w:rsidRDefault="005D3CC1">
      <w:pPr>
        <w:pStyle w:val="a6"/>
        <w:spacing w:before="0" w:beforeAutospacing="0" w:after="0" w:afterAutospacing="0" w:line="400" w:lineRule="atLeast"/>
        <w:ind w:left="420"/>
        <w:rPr>
          <w:rFonts w:ascii="Times New Roman" w:eastAsia="仿宋" w:hAnsi="Times New Roman" w:cs="Times New Roman"/>
          <w:sz w:val="21"/>
          <w:szCs w:val="21"/>
        </w:rPr>
      </w:pPr>
      <w:r>
        <w:rPr>
          <w:rFonts w:cs="Times New Roman" w:hint="eastAsia"/>
          <w:sz w:val="18"/>
          <w:szCs w:val="18"/>
        </w:rPr>
        <w:t>③应收款项融资</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分类为以公允价值计量且其变动计入其他综合收益的应收票据，自取得起期限在一年内（含一年）的部分，列示为应收款项融资；自取得起期限在一年以上的，列示为其他债权投资。</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lastRenderedPageBreak/>
        <w:t>④其他应收款</w:t>
      </w:r>
    </w:p>
    <w:p w:rsidR="00A95787" w:rsidRDefault="005D3CC1">
      <w:pPr>
        <w:pStyle w:val="a6"/>
        <w:spacing w:before="0" w:beforeAutospacing="0" w:after="0" w:afterAutospacing="0" w:line="400" w:lineRule="atLeast"/>
        <w:ind w:firstLine="360"/>
        <w:rPr>
          <w:rFonts w:ascii="Times New Roman" w:eastAsia="仿宋" w:hAnsi="Times New Roman" w:cs="Times New Roman"/>
          <w:sz w:val="21"/>
          <w:szCs w:val="21"/>
        </w:rPr>
      </w:pPr>
      <w:r>
        <w:rPr>
          <w:rFonts w:cs="Times New Roman" w:hint="eastAsia"/>
          <w:sz w:val="18"/>
          <w:szCs w:val="18"/>
        </w:rPr>
        <w:t>本公司依据其他应收款信用风险自初始确认后是否已经显著增加，采用相当于未来</w:t>
      </w:r>
      <w:r>
        <w:rPr>
          <w:rFonts w:ascii="Arial" w:eastAsia="仿宋" w:hAnsi="Arial" w:cs="Arial"/>
          <w:sz w:val="18"/>
          <w:szCs w:val="18"/>
        </w:rPr>
        <w:t>12</w:t>
      </w:r>
      <w:r>
        <w:rPr>
          <w:rFonts w:cs="Times New Roman" w:hint="eastAsia"/>
          <w:sz w:val="18"/>
          <w:szCs w:val="18"/>
        </w:rPr>
        <w:t>个月内、或整个存续期的预期信用损失的金额计量减值损失。除了单项评估信用风险的其他应收款外，基于其信用风险特征，将其划分为不同组合：</w:t>
      </w:r>
    </w:p>
    <w:tbl>
      <w:tblPr>
        <w:tblW w:w="9650" w:type="dxa"/>
        <w:tblInd w:w="122" w:type="dxa"/>
        <w:tblCellMar>
          <w:left w:w="0" w:type="dxa"/>
          <w:right w:w="0" w:type="dxa"/>
        </w:tblCellMar>
        <w:tblLook w:val="04A0" w:firstRow="1" w:lastRow="0" w:firstColumn="1" w:lastColumn="0" w:noHBand="0" w:noVBand="1"/>
      </w:tblPr>
      <w:tblGrid>
        <w:gridCol w:w="2005"/>
        <w:gridCol w:w="7645"/>
      </w:tblGrid>
      <w:tr w:rsidR="00A95787">
        <w:trPr>
          <w:trHeight w:val="378"/>
          <w:tblHeader/>
        </w:trPr>
        <w:tc>
          <w:tcPr>
            <w:tcW w:w="2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7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A95787">
        <w:trPr>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押金及保证金</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95787" w:rsidRPr="004822C3" w:rsidRDefault="005D3CC1">
            <w:pPr>
              <w:pStyle w:val="a6"/>
              <w:spacing w:before="0" w:beforeAutospacing="0" w:after="0" w:afterAutospacing="0" w:line="400" w:lineRule="atLeast"/>
              <w:rPr>
                <w:rFonts w:ascii="Times New Roman" w:hAnsi="Times New Roman" w:cs="Times New Roman"/>
                <w:sz w:val="21"/>
                <w:szCs w:val="21"/>
              </w:rPr>
            </w:pPr>
            <w:r w:rsidRPr="004822C3">
              <w:rPr>
                <w:rFonts w:cs="Times New Roman" w:hint="eastAsia"/>
                <w:sz w:val="18"/>
                <w:szCs w:val="18"/>
              </w:rPr>
              <w:t>本组合为</w:t>
            </w:r>
            <w:r w:rsidR="003412C9">
              <w:rPr>
                <w:rFonts w:cs="Times New Roman" w:hint="eastAsia"/>
                <w:sz w:val="18"/>
                <w:szCs w:val="18"/>
              </w:rPr>
              <w:t>日常经常</w:t>
            </w:r>
            <w:r w:rsidRPr="004822C3">
              <w:rPr>
                <w:rFonts w:cs="Times New Roman" w:hint="eastAsia"/>
                <w:sz w:val="18"/>
                <w:szCs w:val="18"/>
              </w:rPr>
              <w:t>活动中应收取的各类押金、代垫款、质保金等应收款项。</w:t>
            </w:r>
          </w:p>
        </w:tc>
      </w:tr>
      <w:tr w:rsidR="00A95787">
        <w:trPr>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备用金</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95787" w:rsidRPr="004822C3" w:rsidRDefault="005D3CC1">
            <w:pPr>
              <w:pStyle w:val="a6"/>
              <w:spacing w:before="0" w:beforeAutospacing="0" w:after="0" w:afterAutospacing="0" w:line="400" w:lineRule="atLeast"/>
              <w:rPr>
                <w:rFonts w:ascii="Times New Roman" w:hAnsi="Times New Roman" w:cs="Times New Roman"/>
                <w:sz w:val="21"/>
                <w:szCs w:val="21"/>
              </w:rPr>
            </w:pPr>
            <w:r w:rsidRPr="004822C3">
              <w:rPr>
                <w:rFonts w:cs="Times New Roman" w:hint="eastAsia"/>
                <w:sz w:val="18"/>
                <w:szCs w:val="18"/>
              </w:rPr>
              <w:t>本组合为</w:t>
            </w:r>
            <w:r w:rsidR="003412C9">
              <w:rPr>
                <w:rFonts w:cs="Times New Roman" w:hint="eastAsia"/>
                <w:sz w:val="18"/>
                <w:szCs w:val="18"/>
              </w:rPr>
              <w:t>日常经常</w:t>
            </w:r>
            <w:r w:rsidRPr="004822C3">
              <w:rPr>
                <w:rFonts w:cs="Times New Roman" w:hint="eastAsia"/>
                <w:sz w:val="18"/>
                <w:szCs w:val="18"/>
              </w:rPr>
              <w:t>活动中支付给员工的备用金</w:t>
            </w:r>
          </w:p>
        </w:tc>
      </w:tr>
      <w:tr w:rsidR="00A95787">
        <w:trPr>
          <w:trHeight w:val="300"/>
        </w:trPr>
        <w:tc>
          <w:tcPr>
            <w:tcW w:w="2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往来款</w:t>
            </w:r>
          </w:p>
        </w:tc>
        <w:tc>
          <w:tcPr>
            <w:tcW w:w="76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其他往来款项</w:t>
            </w:r>
          </w:p>
        </w:tc>
      </w:tr>
    </w:tbl>
    <w:p w:rsidR="00A95787" w:rsidRDefault="005D3CC1">
      <w:pPr>
        <w:pStyle w:val="3"/>
        <w:spacing w:line="320" w:lineRule="exact"/>
        <w:jc w:val="left"/>
        <w:rPr>
          <w:rFonts w:ascii="宋体" w:hAnsi="宋体" w:cs="宋体"/>
          <w:b/>
          <w:bCs/>
        </w:rPr>
      </w:pPr>
      <w:bookmarkStart w:id="178" w:name="_Toc989063"/>
      <w:r>
        <w:rPr>
          <w:rFonts w:ascii="宋体" w:hAnsi="宋体" w:cs="宋体"/>
          <w:b/>
          <w:bCs/>
        </w:rPr>
        <w:t>13、存货</w:t>
      </w:r>
      <w:bookmarkEnd w:id="178"/>
    </w:p>
    <w:p w:rsidR="00A95787" w:rsidRDefault="005D3CC1">
      <w:pPr>
        <w:pStyle w:val="a6"/>
        <w:spacing w:before="0" w:beforeAutospacing="0" w:after="0" w:afterAutospacing="0"/>
        <w:ind w:firstLine="363"/>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）存货的分类</w:t>
      </w:r>
    </w:p>
    <w:p w:rsidR="00A95787" w:rsidRDefault="005D3CC1">
      <w:pPr>
        <w:pStyle w:val="a6"/>
        <w:spacing w:before="0" w:beforeAutospacing="0" w:after="0" w:afterAutospacing="0" w:line="400" w:lineRule="atLeast"/>
        <w:ind w:firstLine="360"/>
        <w:jc w:val="both"/>
        <w:rPr>
          <w:rFonts w:ascii="楷体_GB2312" w:eastAsia="楷体_GB2312"/>
          <w:sz w:val="28"/>
          <w:szCs w:val="28"/>
        </w:rPr>
      </w:pPr>
      <w:r>
        <w:rPr>
          <w:rFonts w:hint="eastAsia"/>
          <w:sz w:val="18"/>
          <w:szCs w:val="18"/>
        </w:rPr>
        <w:t>存货主要包括原材料、自制半成品、产成品、库存商品、发出商品。</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）发出的计价方法</w:t>
      </w:r>
    </w:p>
    <w:p w:rsidR="00A95787" w:rsidRDefault="005D3CC1">
      <w:pPr>
        <w:pStyle w:val="a6"/>
        <w:spacing w:before="0" w:beforeAutospacing="0" w:after="0" w:afterAutospacing="0" w:line="400" w:lineRule="atLeast"/>
        <w:ind w:firstLine="360"/>
        <w:rPr>
          <w:rFonts w:ascii="仿宋_GB2312" w:eastAsia="仿宋_GB2312"/>
          <w:sz w:val="28"/>
          <w:szCs w:val="28"/>
        </w:rPr>
      </w:pPr>
      <w:r>
        <w:rPr>
          <w:rFonts w:hint="eastAsia"/>
          <w:sz w:val="18"/>
          <w:szCs w:val="18"/>
        </w:rPr>
        <w:t>存货在取得时按实际成本计价，存货成本包括采购成本、加工成本和其他成本。领用和发出时按加权平均法计价。</w:t>
      </w:r>
    </w:p>
    <w:p w:rsidR="00A95787" w:rsidRDefault="005D3CC1">
      <w:pPr>
        <w:pStyle w:val="a6"/>
        <w:spacing w:before="0" w:beforeAutospacing="0" w:after="0" w:afterAutospacing="0" w:line="400" w:lineRule="atLeast"/>
        <w:ind w:firstLine="360"/>
        <w:rPr>
          <w:rFonts w:ascii="仿宋_GB2312" w:eastAsia="仿宋_GB2312"/>
          <w:sz w:val="28"/>
          <w:szCs w:val="28"/>
        </w:rPr>
      </w:pPr>
      <w:r>
        <w:rPr>
          <w:rFonts w:hint="eastAsia"/>
          <w:sz w:val="18"/>
          <w:szCs w:val="18"/>
        </w:rPr>
        <w:t>（</w:t>
      </w:r>
      <w:r>
        <w:rPr>
          <w:rFonts w:ascii="Arial" w:eastAsia="仿宋_GB2312" w:hAnsi="Arial" w:cs="Arial"/>
          <w:sz w:val="18"/>
          <w:szCs w:val="18"/>
        </w:rPr>
        <w:t>3</w:t>
      </w:r>
      <w:r>
        <w:rPr>
          <w:rFonts w:hint="eastAsia"/>
          <w:sz w:val="18"/>
          <w:szCs w:val="18"/>
        </w:rPr>
        <w:t>）存货的盘存制度为永续盘存制。</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）低值易耗品和包装物的摊销方法</w:t>
      </w:r>
    </w:p>
    <w:p w:rsidR="00A95787" w:rsidRDefault="005D3CC1">
      <w:pPr>
        <w:pStyle w:val="a6"/>
        <w:spacing w:before="0" w:beforeAutospacing="0" w:after="0" w:afterAutospacing="0" w:line="400" w:lineRule="atLeast"/>
        <w:ind w:right="147" w:firstLine="360"/>
        <w:jc w:val="both"/>
        <w:rPr>
          <w:rFonts w:ascii="仿宋_GB2312" w:eastAsia="仿宋_GB2312"/>
          <w:sz w:val="28"/>
          <w:szCs w:val="28"/>
        </w:rPr>
      </w:pPr>
      <w:r>
        <w:rPr>
          <w:rFonts w:hint="eastAsia"/>
          <w:sz w:val="18"/>
          <w:szCs w:val="18"/>
        </w:rPr>
        <w:t>低值易耗品于领用时按一次摊销法摊销；包装物于领用时按一次摊销法摊销。</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）存货跌价准备的确认标准和计提方法</w:t>
      </w:r>
    </w:p>
    <w:p w:rsidR="00A95787" w:rsidRDefault="005D3CC1">
      <w:pPr>
        <w:pStyle w:val="a6"/>
        <w:spacing w:before="0" w:beforeAutospacing="0" w:after="0" w:afterAutospacing="0" w:line="400" w:lineRule="atLeast"/>
        <w:ind w:firstLine="360"/>
        <w:rPr>
          <w:rFonts w:ascii="仿宋_GB2312" w:eastAsia="仿宋_GB2312"/>
          <w:sz w:val="28"/>
          <w:szCs w:val="28"/>
        </w:rPr>
      </w:pPr>
      <w:r>
        <w:rPr>
          <w:rFonts w:hint="eastAsia"/>
          <w:sz w:val="18"/>
          <w:szCs w:val="18"/>
        </w:rPr>
        <w:t>本公司通常按照单个存货项目计提存货跌价准备。对于数量繁多、单价较低的存货，按照存货类别计提存货跌价准备。</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存货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A95787" w:rsidRDefault="005D3CC1">
      <w:pPr>
        <w:pStyle w:val="3"/>
        <w:spacing w:line="280" w:lineRule="exact"/>
        <w:jc w:val="left"/>
        <w:rPr>
          <w:rFonts w:ascii="宋体" w:hAnsi="宋体" w:cs="宋体"/>
          <w:b/>
          <w:bCs/>
        </w:rPr>
      </w:pPr>
      <w:bookmarkStart w:id="179" w:name="_Toc989064"/>
      <w:r>
        <w:rPr>
          <w:rFonts w:ascii="宋体" w:hAnsi="宋体" w:cs="宋体"/>
          <w:b/>
          <w:bCs/>
        </w:rPr>
        <w:t>14、长期股权投资</w:t>
      </w:r>
      <w:bookmarkEnd w:id="179"/>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w:t>
      </w:r>
      <w:r>
        <w:rPr>
          <w:rFonts w:cs="Times New Roman" w:hint="eastAsia"/>
          <w:sz w:val="18"/>
          <w:szCs w:val="18"/>
          <w:shd w:val="clear" w:color="auto" w:fill="FFFFFF"/>
        </w:rPr>
        <w:t>附注五、</w:t>
      </w:r>
      <w:r>
        <w:rPr>
          <w:rFonts w:ascii="Arial" w:hAnsi="Arial" w:cs="Arial"/>
          <w:sz w:val="18"/>
          <w:szCs w:val="18"/>
          <w:shd w:val="clear" w:color="auto" w:fill="FFFFFF"/>
        </w:rPr>
        <w:t>11</w:t>
      </w:r>
      <w:r>
        <w:rPr>
          <w:rFonts w:cs="Times New Roman" w:hint="eastAsia"/>
          <w:sz w:val="18"/>
          <w:szCs w:val="18"/>
          <w:shd w:val="clear" w:color="auto" w:fill="FFFFFF"/>
        </w:rPr>
        <w:t>“金融工具”。</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）投资成本的确定</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合并方或购买方为企业合并发生的审计、法律服务、评估咨询等中介费用以及其他相关管理费用，于发生时计入当期损益。</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rFonts w:ascii="Arial" w:hAnsi="Arial" w:cs="Arial"/>
          <w:sz w:val="18"/>
          <w:szCs w:val="18"/>
        </w:rPr>
        <w:t>22</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金融工具确认和计量》确定的原持有股权投资的公允价值加上新增投资成本之和。</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）后续计量及损益确认方法</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成本法核算的长期股权投资</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权益法核算的长期股权投资</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Pr>
          <w:rFonts w:ascii="Arial" w:hAnsi="Arial" w:cs="Arial"/>
          <w:sz w:val="18"/>
          <w:szCs w:val="18"/>
        </w:rPr>
        <w:t>20</w:t>
      </w:r>
      <w:r>
        <w:rPr>
          <w:rFonts w:cs="Times New Roman" w:hint="eastAsia"/>
          <w:sz w:val="18"/>
          <w:szCs w:val="18"/>
        </w:rPr>
        <w:t>号</w:t>
      </w:r>
      <w:r>
        <w:rPr>
          <w:rFonts w:ascii="Arial" w:hAnsi="Arial" w:cs="Arial"/>
          <w:sz w:val="18"/>
          <w:szCs w:val="18"/>
        </w:rPr>
        <w:t>——</w:t>
      </w:r>
      <w:r>
        <w:rPr>
          <w:rFonts w:cs="Times New Roman" w:hint="eastAsia"/>
          <w:sz w:val="18"/>
          <w:szCs w:val="18"/>
        </w:rPr>
        <w:t>企业合并》的规定进行会计处理，全额确认与交易相关的利得或损失。</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收购少数股权</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处置长期股权投资</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w:t>
      </w:r>
      <w:r>
        <w:rPr>
          <w:rFonts w:cs="Times New Roman" w:hint="eastAsia"/>
          <w:sz w:val="18"/>
          <w:szCs w:val="18"/>
          <w:shd w:val="clear" w:color="auto" w:fill="FFFFFF"/>
        </w:rPr>
        <w:t>附注五、</w:t>
      </w:r>
      <w:r>
        <w:rPr>
          <w:rFonts w:ascii="Arial" w:hAnsi="Arial" w:cs="Arial"/>
          <w:sz w:val="18"/>
          <w:szCs w:val="18"/>
          <w:shd w:val="clear" w:color="auto" w:fill="FFFFFF"/>
        </w:rPr>
        <w:t>7</w:t>
      </w:r>
      <w:r>
        <w:rPr>
          <w:rFonts w:cs="Times New Roman" w:hint="eastAsia"/>
          <w:sz w:val="18"/>
          <w:szCs w:val="18"/>
          <w:shd w:val="clear" w:color="auto" w:fill="FFFFFF"/>
        </w:rPr>
        <w:t>、（</w:t>
      </w:r>
      <w:r>
        <w:rPr>
          <w:rFonts w:ascii="Arial" w:hAnsi="Arial" w:cs="Arial"/>
          <w:sz w:val="18"/>
          <w:szCs w:val="18"/>
          <w:shd w:val="clear" w:color="auto" w:fill="FFFFFF"/>
        </w:rPr>
        <w:t>2</w:t>
      </w:r>
      <w:r>
        <w:rPr>
          <w:rFonts w:cs="Times New Roman" w:hint="eastAsia"/>
          <w:sz w:val="18"/>
          <w:szCs w:val="18"/>
          <w:shd w:val="clear" w:color="auto" w:fill="FFFFFF"/>
        </w:rPr>
        <w:t>）“合并财务报表编制的方法”中</w:t>
      </w:r>
      <w:r>
        <w:rPr>
          <w:rFonts w:cs="Times New Roman" w:hint="eastAsia"/>
          <w:sz w:val="18"/>
          <w:szCs w:val="18"/>
        </w:rPr>
        <w:t>所述的相关会计政策处理。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其他情形下的长期股权投资处置，对于处置的股权，其账面价值与实际取得价款的差额，计入当期损益。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A95787" w:rsidRDefault="005D3CC1">
      <w:pPr>
        <w:pStyle w:val="3"/>
        <w:spacing w:line="280" w:lineRule="exact"/>
        <w:jc w:val="left"/>
        <w:rPr>
          <w:rFonts w:ascii="宋体" w:hAnsi="宋体" w:cs="宋体"/>
          <w:b/>
          <w:bCs/>
        </w:rPr>
      </w:pPr>
      <w:bookmarkStart w:id="180" w:name="_Toc989065"/>
      <w:r>
        <w:rPr>
          <w:rFonts w:ascii="宋体" w:hAnsi="宋体" w:cs="宋体"/>
          <w:b/>
          <w:bCs/>
        </w:rPr>
        <w:t>15、固定资产</w:t>
      </w:r>
      <w:bookmarkEnd w:id="180"/>
    </w:p>
    <w:p w:rsidR="00A95787" w:rsidRDefault="005D3CC1">
      <w:pPr>
        <w:keepNext/>
        <w:keepLines/>
        <w:spacing w:before="300" w:after="300" w:line="280" w:lineRule="exact"/>
        <w:outlineLvl w:val="3"/>
        <w:rPr>
          <w:rFonts w:ascii="宋体" w:eastAsia="宋体" w:hAnsi="宋体" w:cs="宋体"/>
          <w:b/>
          <w:bCs/>
          <w:szCs w:val="21"/>
        </w:rPr>
      </w:pPr>
      <w:bookmarkStart w:id="181" w:name="_Toc989066"/>
      <w:r>
        <w:rPr>
          <w:rFonts w:ascii="宋体" w:eastAsia="宋体" w:hAnsi="宋体" w:cs="宋体"/>
          <w:b/>
          <w:bCs/>
          <w:szCs w:val="21"/>
        </w:rPr>
        <w:t>（1） 确认条件</w:t>
      </w:r>
      <w:bookmarkEnd w:id="181"/>
    </w:p>
    <w:p w:rsidR="00A95787" w:rsidRDefault="005D3CC1">
      <w:pPr>
        <w:pStyle w:val="a6"/>
        <w:spacing w:before="0" w:beforeAutospacing="0" w:after="0" w:afterAutospacing="0" w:line="400" w:lineRule="atLeast"/>
        <w:ind w:firstLine="360"/>
        <w:rPr>
          <w:rFonts w:cs="Times New Roman"/>
          <w:sz w:val="18"/>
          <w:szCs w:val="18"/>
        </w:rPr>
      </w:pPr>
      <w:r>
        <w:rPr>
          <w:rFonts w:cs="Times New Roman"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A95787" w:rsidRDefault="005D3CC1">
      <w:pPr>
        <w:keepNext/>
        <w:keepLines/>
        <w:spacing w:before="300" w:after="300" w:line="280" w:lineRule="exact"/>
        <w:outlineLvl w:val="3"/>
        <w:rPr>
          <w:rFonts w:ascii="宋体" w:eastAsia="宋体" w:hAnsi="宋体" w:cs="宋体"/>
          <w:b/>
          <w:bCs/>
          <w:szCs w:val="21"/>
        </w:rPr>
      </w:pPr>
      <w:bookmarkStart w:id="182" w:name="_Toc989067"/>
      <w:r>
        <w:rPr>
          <w:rFonts w:ascii="宋体" w:eastAsia="宋体" w:hAnsi="宋体" w:cs="宋体"/>
          <w:b/>
          <w:bCs/>
          <w:szCs w:val="21"/>
        </w:rPr>
        <w:t>（2） 折旧方法</w:t>
      </w:r>
      <w:bookmarkEnd w:id="182"/>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30"/>
        <w:gridCol w:w="1928"/>
        <w:gridCol w:w="1928"/>
        <w:gridCol w:w="1928"/>
        <w:gridCol w:w="2048"/>
      </w:tblGrid>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2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20年-30年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3%</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4.85%-3.23%</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10年-12年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3%</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9.70%-8.08%</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5年-8年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3%</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19.40%-12.13%</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其它设备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3%</w:t>
            </w:r>
          </w:p>
        </w:tc>
        <w:tc>
          <w:tcPr>
            <w:tcW w:w="204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19.40%</w:t>
            </w:r>
          </w:p>
        </w:tc>
      </w:tr>
    </w:tbl>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）固定资产从达到预定可使用状态的次月起，采用年限平均法在使用寿命内计提折旧。</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）预计净残值是指假定固定资产预计使用寿命已满并处于使用寿命终了时的预期状态，本公司目前从该项资产处置中获得的扣除预计处置费用后的金额。</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）固定资产的减值测试方法及减值准备计提方法</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固定资产的减值测试方法和减值准备计提方法详</w:t>
      </w:r>
      <w:r>
        <w:rPr>
          <w:rFonts w:cs="Times New Roman" w:hint="eastAsia"/>
          <w:sz w:val="18"/>
          <w:szCs w:val="18"/>
          <w:shd w:val="clear" w:color="auto" w:fill="FFFFFF"/>
        </w:rPr>
        <w:t>见附注五、</w:t>
      </w:r>
      <w:r>
        <w:rPr>
          <w:rFonts w:ascii="Arial" w:hAnsi="Arial" w:cs="Arial"/>
          <w:sz w:val="18"/>
          <w:szCs w:val="18"/>
          <w:shd w:val="clear" w:color="auto" w:fill="FFFFFF"/>
        </w:rPr>
        <w:t>19</w:t>
      </w:r>
      <w:r>
        <w:rPr>
          <w:rFonts w:cs="Times New Roman" w:hint="eastAsia"/>
          <w:sz w:val="18"/>
          <w:szCs w:val="18"/>
          <w:shd w:val="clear" w:color="auto" w:fill="FFFFFF"/>
        </w:rPr>
        <w:t>“长期资产减值”。</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）其他说明</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本公司至少于年度终了对固定资产的使用寿命、预计净残值和折旧方法进行复核，如发生改变则作为会计估计变更处理。</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3"/>
        <w:spacing w:line="280" w:lineRule="exact"/>
        <w:jc w:val="left"/>
        <w:rPr>
          <w:rFonts w:ascii="宋体" w:hAnsi="宋体" w:cs="宋体"/>
          <w:b/>
          <w:bCs/>
        </w:rPr>
      </w:pPr>
      <w:bookmarkStart w:id="183" w:name="_Toc989068"/>
      <w:r>
        <w:rPr>
          <w:rFonts w:ascii="宋体" w:hAnsi="宋体" w:cs="宋体"/>
          <w:b/>
          <w:bCs/>
        </w:rPr>
        <w:t>16、在建工程</w:t>
      </w:r>
      <w:bookmarkEnd w:id="18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在建工程的减值测试方法和减值准备计提方法详</w:t>
      </w:r>
      <w:r>
        <w:rPr>
          <w:rFonts w:cs="Times New Roman" w:hint="eastAsia"/>
          <w:sz w:val="18"/>
          <w:szCs w:val="18"/>
          <w:shd w:val="clear" w:color="auto" w:fill="FFFFFF"/>
        </w:rPr>
        <w:t>见附注五、</w:t>
      </w:r>
      <w:r>
        <w:rPr>
          <w:rFonts w:ascii="Arial" w:hAnsi="Arial" w:cs="Arial"/>
          <w:sz w:val="18"/>
          <w:szCs w:val="18"/>
          <w:shd w:val="clear" w:color="auto" w:fill="FFFFFF"/>
        </w:rPr>
        <w:t>19</w:t>
      </w:r>
      <w:r>
        <w:rPr>
          <w:rFonts w:cs="Times New Roman" w:hint="eastAsia"/>
          <w:sz w:val="18"/>
          <w:szCs w:val="18"/>
          <w:shd w:val="clear" w:color="auto" w:fill="FFFFFF"/>
        </w:rPr>
        <w:t>“长期资产减值”。</w:t>
      </w:r>
    </w:p>
    <w:p w:rsidR="00A95787" w:rsidRDefault="005D3CC1">
      <w:pPr>
        <w:pStyle w:val="3"/>
        <w:spacing w:line="280" w:lineRule="exact"/>
        <w:jc w:val="left"/>
        <w:rPr>
          <w:rFonts w:ascii="宋体" w:hAnsi="宋体" w:cs="宋体"/>
          <w:b/>
          <w:bCs/>
        </w:rPr>
      </w:pPr>
      <w:bookmarkStart w:id="184" w:name="_Toc989069"/>
      <w:r>
        <w:rPr>
          <w:rFonts w:ascii="宋体" w:hAnsi="宋体" w:cs="宋体"/>
          <w:b/>
          <w:bCs/>
        </w:rPr>
        <w:t>17、借款费用</w:t>
      </w:r>
      <w:bookmarkEnd w:id="184"/>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资本化期间内，外币专门借款的汇兑差额全部予以资本化；外币一般借款的汇兑差额计入当期损益。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符合资本化条件的资产指需要经过相当长时间的购建或者生产活动才能达到预定可使用或可销售状态的固定资产、投资性房地产和存货等资产。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如果符合资本化条件的资产在购建或生产过程中发生非正常中断、并且中断时间连续超过</w:t>
      </w:r>
      <w:r>
        <w:rPr>
          <w:rFonts w:ascii="Arial" w:hAnsi="Arial" w:cs="Arial"/>
          <w:sz w:val="18"/>
          <w:szCs w:val="18"/>
        </w:rPr>
        <w:t>3</w:t>
      </w:r>
      <w:r>
        <w:rPr>
          <w:rFonts w:cs="Times New Roman" w:hint="eastAsia"/>
          <w:sz w:val="18"/>
          <w:szCs w:val="18"/>
        </w:rPr>
        <w:t>个月的，暂停借款费用的资本化，直至资产的购建或生产活动重新开始。</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符合资本化条件的资产，是指需要经过相当长时间的购建或者生产活动才能达到预定可使用或者可销售状态的固定资产、投资性房地产和存货等资产。</w:t>
      </w:r>
    </w:p>
    <w:p w:rsidR="00A95787" w:rsidRDefault="005D3CC1">
      <w:pPr>
        <w:pStyle w:val="3"/>
        <w:spacing w:line="280" w:lineRule="exact"/>
        <w:jc w:val="left"/>
        <w:rPr>
          <w:rFonts w:ascii="宋体" w:hAnsi="宋体" w:cs="宋体"/>
          <w:b/>
          <w:bCs/>
        </w:rPr>
      </w:pPr>
      <w:bookmarkStart w:id="185" w:name="_Toc989070"/>
      <w:r>
        <w:rPr>
          <w:rFonts w:ascii="宋体" w:hAnsi="宋体" w:cs="宋体"/>
          <w:b/>
          <w:bCs/>
        </w:rPr>
        <w:t>18、无形资产</w:t>
      </w:r>
      <w:bookmarkEnd w:id="185"/>
    </w:p>
    <w:p w:rsidR="00A95787" w:rsidRDefault="005D3CC1">
      <w:pPr>
        <w:keepNext/>
        <w:keepLines/>
        <w:spacing w:before="300" w:after="300" w:line="280" w:lineRule="exact"/>
        <w:outlineLvl w:val="3"/>
        <w:rPr>
          <w:rFonts w:ascii="宋体" w:eastAsia="宋体" w:hAnsi="宋体" w:cs="宋体"/>
          <w:b/>
          <w:bCs/>
          <w:szCs w:val="21"/>
        </w:rPr>
      </w:pPr>
      <w:bookmarkStart w:id="186" w:name="_Toc989071"/>
      <w:r>
        <w:rPr>
          <w:rFonts w:ascii="宋体" w:eastAsia="宋体" w:hAnsi="宋体" w:cs="宋体"/>
          <w:b/>
          <w:bCs/>
          <w:szCs w:val="21"/>
        </w:rPr>
        <w:t>（1） 使用寿命及其确定依据、估计情况、摊销方法或复核程序</w:t>
      </w:r>
      <w:bookmarkEnd w:id="186"/>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无形资产是指本公司拥有或者控制的没有实物形态的可辨认非货币性资产。</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有限使用寿命的无形资产项目的使用寿命、确定依据及摊销方法如下：</w:t>
      </w:r>
    </w:p>
    <w:tbl>
      <w:tblPr>
        <w:tblW w:w="4992" w:type="pct"/>
        <w:tblCellMar>
          <w:left w:w="0" w:type="dxa"/>
          <w:right w:w="0" w:type="dxa"/>
        </w:tblCellMar>
        <w:tblLook w:val="04A0" w:firstRow="1" w:lastRow="0" w:firstColumn="1" w:lastColumn="0" w:noHBand="0" w:noVBand="1"/>
      </w:tblPr>
      <w:tblGrid>
        <w:gridCol w:w="2151"/>
        <w:gridCol w:w="4702"/>
        <w:gridCol w:w="2824"/>
      </w:tblGrid>
      <w:tr w:rsidR="00A95787">
        <w:trPr>
          <w:trHeight w:val="330"/>
          <w:tblHeader/>
        </w:trPr>
        <w:tc>
          <w:tcPr>
            <w:tcW w:w="1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242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使用寿命</w:t>
            </w:r>
          </w:p>
        </w:tc>
        <w:tc>
          <w:tcPr>
            <w:tcW w:w="14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摊销方法</w:t>
            </w:r>
          </w:p>
        </w:tc>
      </w:tr>
      <w:tr w:rsidR="00A95787">
        <w:trPr>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土地使用权</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受益年限</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A95787">
        <w:trPr>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软件使用权</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3</w:t>
            </w:r>
            <w:r>
              <w:rPr>
                <w:rFonts w:cs="Times New Roman" w:hint="eastAsia"/>
                <w:sz w:val="18"/>
                <w:szCs w:val="18"/>
              </w:rPr>
              <w:t>或</w:t>
            </w:r>
            <w:r>
              <w:rPr>
                <w:rFonts w:ascii="Arial" w:hAnsi="Arial" w:cs="Arial"/>
                <w:sz w:val="18"/>
                <w:szCs w:val="18"/>
              </w:rPr>
              <w:t>5</w:t>
            </w:r>
            <w:r>
              <w:rPr>
                <w:rFonts w:cs="Times New Roman" w:hint="eastAsia"/>
                <w:sz w:val="18"/>
                <w:szCs w:val="18"/>
              </w:rPr>
              <w:t>年）</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A95787">
        <w:trPr>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其他无形资产</w:t>
            </w:r>
          </w:p>
        </w:tc>
        <w:tc>
          <w:tcPr>
            <w:tcW w:w="242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10</w:t>
            </w:r>
            <w:r>
              <w:rPr>
                <w:rFonts w:cs="Times New Roman" w:hint="eastAsia"/>
                <w:sz w:val="18"/>
                <w:szCs w:val="18"/>
              </w:rPr>
              <w:t>年）</w:t>
            </w:r>
          </w:p>
        </w:tc>
        <w:tc>
          <w:tcPr>
            <w:tcW w:w="145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bl>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A95787" w:rsidRDefault="005D3CC1">
      <w:pPr>
        <w:keepNext/>
        <w:keepLines/>
        <w:spacing w:before="300" w:after="300" w:line="280" w:lineRule="exact"/>
        <w:outlineLvl w:val="3"/>
        <w:rPr>
          <w:rFonts w:ascii="宋体" w:eastAsia="宋体" w:hAnsi="宋体" w:cs="宋体"/>
          <w:b/>
          <w:bCs/>
          <w:szCs w:val="21"/>
        </w:rPr>
      </w:pPr>
      <w:bookmarkStart w:id="187" w:name="_Toc989072"/>
      <w:r>
        <w:rPr>
          <w:rFonts w:ascii="宋体" w:eastAsia="宋体" w:hAnsi="宋体" w:cs="宋体"/>
          <w:b/>
          <w:bCs/>
          <w:szCs w:val="21"/>
        </w:rPr>
        <w:t>（2） 研发支出的归集范围及相关会计处理方法</w:t>
      </w:r>
      <w:bookmarkEnd w:id="187"/>
    </w:p>
    <w:p w:rsidR="00A95787" w:rsidRDefault="005D3CC1">
      <w:pPr>
        <w:pStyle w:val="a6"/>
        <w:spacing w:before="0" w:beforeAutospacing="0" w:after="0" w:afterAutospacing="0"/>
        <w:ind w:firstLine="363"/>
        <w:rPr>
          <w:rFonts w:ascii="Times New Roman" w:hAnsi="Times New Roman" w:cs="Times New Roman"/>
          <w:sz w:val="21"/>
          <w:szCs w:val="21"/>
        </w:rPr>
      </w:pPr>
      <w:r>
        <w:rPr>
          <w:rFonts w:cs="Times New Roman" w:hint="eastAsia"/>
          <w:sz w:val="18"/>
          <w:szCs w:val="18"/>
        </w:rPr>
        <w:t>本公司内部研究开发项目的支出分为研究阶段支出与开发阶段支出。</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研究阶段的支出，于发生时计入当期损益。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本公司研发支出归集范围包括研发领用的材料、人工及劳务成本、研发设备摊销、在开发过程中使用的其他无形资产及固定资产的摊销、水电等费用。</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本公司划分内部研究开发项目研究阶段支出和开发阶段支出的具体标准：</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lastRenderedPageBreak/>
        <w:t>研究阶段为获取并理解新的科学或技术知识等而进行的独创性的有计划调查、研究活动的阶段；开发阶段为在进行商业性生产或使用前，将研究成果或其他知识应用于某项计划或设计，以生产出新的或具有实质性改进的材料、装置、产品等活动的阶段。</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开发阶段的支出同时满足下列条件的，确认为无形资产，不能满足下述条件的开发阶段的支出计入当期损益：</w:t>
      </w:r>
      <w:r>
        <w:rPr>
          <w:rFonts w:ascii="Arial" w:hAnsi="Arial" w:cs="Arial"/>
          <w:sz w:val="18"/>
          <w:szCs w:val="18"/>
        </w:rPr>
        <w:t xml:space="preserve"> </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完成该无形资产以使其能够使用或出售在技术上具有可行性；</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具有完成该无形资产并使用或出售的意图；</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无形资产产生经济利益的方式，包括能够证明运用该无形资产生产的产品存在市场或无形资产自身存在市场，无形资产将在内部使用的，能够证明其有用性；</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有足够的技术、财务资源和其他资源支持，以完成该无形资产的开发，并有能力使用或出售该无形资产；</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⑤</w:t>
      </w:r>
      <w:r>
        <w:rPr>
          <w:rFonts w:ascii="Arial" w:hAnsi="Arial" w:cs="Arial"/>
          <w:sz w:val="18"/>
          <w:szCs w:val="18"/>
        </w:rPr>
        <w:t xml:space="preserve"> </w:t>
      </w:r>
      <w:r>
        <w:rPr>
          <w:rFonts w:cs="Times New Roman" w:hint="eastAsia"/>
          <w:sz w:val="18"/>
          <w:szCs w:val="18"/>
        </w:rPr>
        <w:t>归属于该无形资产开发阶段的支出能够可靠地计量。</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无法区分研究阶段支出和开发阶段支出的，将发生的研发支出全部计入当期损益。</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）无形资产的减值测试方法及减值准备计提方法</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无形资产的减值测试方法和减值准备计提方法详见</w:t>
      </w:r>
      <w:r>
        <w:rPr>
          <w:rFonts w:cs="Times New Roman" w:hint="eastAsia"/>
          <w:sz w:val="18"/>
          <w:szCs w:val="18"/>
          <w:shd w:val="clear" w:color="auto" w:fill="FFFFFF"/>
        </w:rPr>
        <w:t>附注五、</w:t>
      </w:r>
      <w:r>
        <w:rPr>
          <w:rFonts w:ascii="Arial" w:hAnsi="Arial" w:cs="Arial"/>
          <w:sz w:val="18"/>
          <w:szCs w:val="18"/>
          <w:shd w:val="clear" w:color="auto" w:fill="FFFFFF"/>
        </w:rPr>
        <w:t>19</w:t>
      </w:r>
      <w:r>
        <w:rPr>
          <w:rFonts w:cs="Times New Roman" w:hint="eastAsia"/>
          <w:sz w:val="18"/>
          <w:szCs w:val="18"/>
          <w:shd w:val="clear" w:color="auto" w:fill="FFFFFF"/>
        </w:rPr>
        <w:t>“长期资产减值”。</w:t>
      </w:r>
    </w:p>
    <w:p w:rsidR="00A95787" w:rsidRDefault="005D3CC1">
      <w:pPr>
        <w:pStyle w:val="3"/>
        <w:spacing w:line="280" w:lineRule="exact"/>
        <w:jc w:val="left"/>
        <w:rPr>
          <w:rFonts w:ascii="宋体" w:hAnsi="宋体" w:cs="宋体"/>
          <w:b/>
          <w:bCs/>
        </w:rPr>
      </w:pPr>
      <w:bookmarkStart w:id="188" w:name="_Toc989073"/>
      <w:r>
        <w:rPr>
          <w:rFonts w:ascii="宋体" w:hAnsi="宋体" w:cs="宋体"/>
          <w:b/>
          <w:bCs/>
        </w:rPr>
        <w:t>19、长期资产减值</w:t>
      </w:r>
      <w:bookmarkEnd w:id="188"/>
    </w:p>
    <w:p w:rsidR="00A95787" w:rsidRDefault="005D3CC1">
      <w:pPr>
        <w:pStyle w:val="a6"/>
        <w:spacing w:before="0" w:beforeAutospacing="0" w:after="0" w:afterAutospacing="0"/>
        <w:ind w:firstLine="363"/>
        <w:jc w:val="both"/>
        <w:rPr>
          <w:rFonts w:ascii="Times New Roman" w:hAnsi="Times New Roman" w:cs="Times New Roman"/>
          <w:sz w:val="21"/>
          <w:szCs w:val="21"/>
        </w:rPr>
      </w:pPr>
      <w:r>
        <w:rPr>
          <w:rFonts w:cs="Times New Roman"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上述资产减值损失一经确认，以后期间不予转回价值得以恢复的部分。</w:t>
      </w:r>
    </w:p>
    <w:p w:rsidR="00A95787" w:rsidRDefault="005D3CC1">
      <w:pPr>
        <w:pStyle w:val="3"/>
        <w:spacing w:line="280" w:lineRule="exact"/>
        <w:jc w:val="left"/>
        <w:rPr>
          <w:rFonts w:ascii="宋体" w:hAnsi="宋体" w:cs="宋体"/>
          <w:b/>
          <w:bCs/>
        </w:rPr>
      </w:pPr>
      <w:bookmarkStart w:id="189" w:name="_Toc989074"/>
      <w:r>
        <w:rPr>
          <w:rFonts w:ascii="宋体" w:hAnsi="宋体" w:cs="宋体"/>
          <w:b/>
          <w:bCs/>
        </w:rPr>
        <w:lastRenderedPageBreak/>
        <w:t>20、长期待摊费用</w:t>
      </w:r>
      <w:bookmarkEnd w:id="189"/>
    </w:p>
    <w:p w:rsidR="00A95787" w:rsidRDefault="005D3CC1">
      <w:pPr>
        <w:pStyle w:val="a6"/>
        <w:spacing w:before="0" w:beforeAutospacing="0" w:after="0" w:afterAutospacing="0"/>
        <w:ind w:firstLine="363"/>
        <w:rPr>
          <w:rFonts w:ascii="Times New Roman" w:hAnsi="Times New Roman" w:cs="Times New Roman"/>
          <w:sz w:val="21"/>
          <w:szCs w:val="21"/>
        </w:rPr>
      </w:pPr>
      <w:r>
        <w:rPr>
          <w:rFonts w:cs="Times New Roman" w:hint="eastAsia"/>
          <w:sz w:val="18"/>
          <w:szCs w:val="18"/>
        </w:rPr>
        <w:t>长期待摊费用为已经发生但应由报告期和以后各期负担的分摊期限在一年以上的各项费用。长期待摊费用在预计受益期间按直线法摊销。</w:t>
      </w:r>
    </w:p>
    <w:p w:rsidR="00A95787" w:rsidRDefault="005D3CC1">
      <w:pPr>
        <w:pStyle w:val="3"/>
        <w:spacing w:line="280" w:lineRule="exact"/>
        <w:jc w:val="left"/>
        <w:rPr>
          <w:rFonts w:ascii="宋体" w:hAnsi="宋体" w:cs="宋体"/>
          <w:b/>
          <w:bCs/>
        </w:rPr>
      </w:pPr>
      <w:bookmarkStart w:id="190" w:name="_Toc989075"/>
      <w:r>
        <w:rPr>
          <w:rFonts w:ascii="宋体" w:hAnsi="宋体" w:cs="宋体"/>
          <w:b/>
          <w:bCs/>
        </w:rPr>
        <w:t>21、合同负债</w:t>
      </w:r>
      <w:bookmarkEnd w:id="190"/>
    </w:p>
    <w:p w:rsidR="00A95787" w:rsidRDefault="005D3CC1">
      <w:pPr>
        <w:pStyle w:val="a6"/>
        <w:spacing w:before="0" w:beforeAutospacing="0" w:after="0" w:afterAutospacing="0"/>
        <w:ind w:firstLine="363"/>
        <w:jc w:val="both"/>
        <w:rPr>
          <w:rFonts w:ascii="Times New Roman" w:hAnsi="Times New Roman" w:cs="Times New Roman"/>
          <w:sz w:val="21"/>
          <w:szCs w:val="21"/>
        </w:rPr>
      </w:pPr>
      <w:r>
        <w:rPr>
          <w:rFonts w:cs="Times New Roman"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rsidR="00A95787" w:rsidRDefault="005D3CC1">
      <w:pPr>
        <w:pStyle w:val="3"/>
        <w:spacing w:line="280" w:lineRule="exact"/>
        <w:jc w:val="left"/>
        <w:rPr>
          <w:rFonts w:ascii="宋体" w:hAnsi="宋体" w:cs="宋体"/>
          <w:b/>
          <w:bCs/>
        </w:rPr>
      </w:pPr>
      <w:bookmarkStart w:id="191" w:name="_Toc989076"/>
      <w:r>
        <w:rPr>
          <w:rFonts w:ascii="宋体" w:hAnsi="宋体" w:cs="宋体"/>
          <w:b/>
          <w:bCs/>
        </w:rPr>
        <w:t>22、职工薪酬</w:t>
      </w:r>
      <w:bookmarkEnd w:id="191"/>
    </w:p>
    <w:p w:rsidR="00A95787" w:rsidRDefault="005D3CC1">
      <w:pPr>
        <w:keepNext/>
        <w:keepLines/>
        <w:spacing w:before="300" w:after="300" w:line="280" w:lineRule="exact"/>
        <w:outlineLvl w:val="3"/>
        <w:rPr>
          <w:rFonts w:ascii="宋体" w:eastAsia="宋体" w:hAnsi="宋体" w:cs="宋体"/>
          <w:b/>
          <w:bCs/>
          <w:szCs w:val="21"/>
        </w:rPr>
      </w:pPr>
      <w:bookmarkStart w:id="192" w:name="_Toc989077"/>
      <w:r>
        <w:rPr>
          <w:rFonts w:ascii="宋体" w:eastAsia="宋体" w:hAnsi="宋体" w:cs="宋体"/>
          <w:b/>
          <w:bCs/>
          <w:szCs w:val="21"/>
        </w:rPr>
        <w:t>（1） 短期薪酬的会计处理方法</w:t>
      </w:r>
      <w:bookmarkEnd w:id="192"/>
    </w:p>
    <w:p w:rsidR="00A95787" w:rsidRDefault="005D3CC1">
      <w:pPr>
        <w:pStyle w:val="a6"/>
        <w:spacing w:before="0" w:beforeAutospacing="0" w:after="0" w:afterAutospacing="0"/>
        <w:ind w:firstLine="363"/>
        <w:jc w:val="both"/>
        <w:rPr>
          <w:rFonts w:ascii="Times New Roman" w:hAnsi="Times New Roman" w:cs="Times New Roman"/>
          <w:sz w:val="21"/>
          <w:szCs w:val="21"/>
        </w:rPr>
      </w:pPr>
      <w:r>
        <w:rPr>
          <w:rFonts w:cs="Times New Roman" w:hint="eastAsia"/>
          <w:sz w:val="18"/>
          <w:szCs w:val="18"/>
        </w:rPr>
        <w:t>本公司职工薪酬主要包括短期职工薪酬、离职后福利、辞退福利。其中：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p w:rsidR="00A95787" w:rsidRDefault="005D3CC1">
      <w:pPr>
        <w:keepNext/>
        <w:keepLines/>
        <w:spacing w:before="300" w:after="300" w:line="280" w:lineRule="exact"/>
        <w:outlineLvl w:val="3"/>
        <w:rPr>
          <w:rFonts w:ascii="宋体" w:eastAsia="宋体" w:hAnsi="宋体" w:cs="宋体"/>
          <w:b/>
          <w:bCs/>
          <w:szCs w:val="21"/>
        </w:rPr>
      </w:pPr>
      <w:bookmarkStart w:id="193" w:name="_Toc989078"/>
      <w:r>
        <w:rPr>
          <w:rFonts w:ascii="宋体" w:eastAsia="宋体" w:hAnsi="宋体" w:cs="宋体"/>
          <w:b/>
          <w:bCs/>
          <w:szCs w:val="21"/>
        </w:rPr>
        <w:t>（2） 离职后福利的会计处理方法</w:t>
      </w:r>
      <w:bookmarkEnd w:id="193"/>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A95787" w:rsidRDefault="005D3CC1">
      <w:pPr>
        <w:keepNext/>
        <w:keepLines/>
        <w:spacing w:before="300" w:after="300"/>
        <w:outlineLvl w:val="3"/>
        <w:rPr>
          <w:rFonts w:ascii="宋体" w:eastAsia="宋体" w:hAnsi="宋体" w:cs="宋体"/>
          <w:b/>
          <w:bCs/>
          <w:szCs w:val="21"/>
        </w:rPr>
      </w:pPr>
      <w:bookmarkStart w:id="194" w:name="_Toc989079"/>
      <w:r>
        <w:rPr>
          <w:rFonts w:ascii="宋体" w:eastAsia="宋体" w:hAnsi="宋体" w:cs="宋体"/>
          <w:b/>
          <w:bCs/>
          <w:szCs w:val="21"/>
        </w:rPr>
        <w:t>（3） 辞退福利的会计处理方法</w:t>
      </w:r>
      <w:bookmarkEnd w:id="194"/>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职工内部退休计划采用与上述辞退福利相同的原则处理。本公司将自职工停止提供服务日至正常退休日的期间拟支付的内退人员工资和缴纳的社会保险费等，在符合预计负债确认条件时，计入当期损益（辞退福利）。</w:t>
      </w:r>
    </w:p>
    <w:p w:rsidR="00A95787" w:rsidRDefault="005D3CC1">
      <w:pPr>
        <w:keepNext/>
        <w:keepLines/>
        <w:spacing w:before="300" w:after="300"/>
        <w:outlineLvl w:val="3"/>
        <w:rPr>
          <w:rFonts w:ascii="宋体" w:eastAsia="宋体" w:hAnsi="宋体" w:cs="宋体"/>
          <w:b/>
          <w:bCs/>
          <w:szCs w:val="21"/>
        </w:rPr>
      </w:pPr>
      <w:bookmarkStart w:id="195" w:name="_Toc989080"/>
      <w:r>
        <w:rPr>
          <w:rFonts w:ascii="宋体" w:eastAsia="宋体" w:hAnsi="宋体" w:cs="宋体"/>
          <w:b/>
          <w:bCs/>
          <w:szCs w:val="21"/>
        </w:rPr>
        <w:t>（4） 其他长期职工福利的会计处理方法</w:t>
      </w:r>
      <w:bookmarkEnd w:id="195"/>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本公司向职工提供的其他长期职工福利，符合设定提存计划的，按照设定提存计划进行会计处理，除此之外按照设定受益计划进行会计处理。</w:t>
      </w:r>
    </w:p>
    <w:p w:rsidR="00A95787" w:rsidRDefault="005D3CC1">
      <w:pPr>
        <w:pStyle w:val="3"/>
        <w:spacing w:line="240" w:lineRule="auto"/>
        <w:jc w:val="left"/>
        <w:rPr>
          <w:rFonts w:ascii="宋体" w:hAnsi="宋体" w:cs="宋体"/>
          <w:b/>
          <w:bCs/>
        </w:rPr>
      </w:pPr>
      <w:bookmarkStart w:id="196" w:name="_Toc989081"/>
      <w:r>
        <w:rPr>
          <w:rFonts w:ascii="宋体" w:hAnsi="宋体" w:cs="宋体"/>
          <w:b/>
          <w:bCs/>
        </w:rPr>
        <w:t>23、预计负债</w:t>
      </w:r>
      <w:bookmarkEnd w:id="196"/>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因对外提供担保、诉讼事项、产品质量保证、亏损合同等或有事项形成的义务成为本公司承担的现时义务，履行该义务很可能导致经济利益流出本公司，且该义务的金额能够可靠的计量时，本公司将该项义务确认为预计负债。</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lastRenderedPageBreak/>
        <w:t>本公司按照履行相关现时义务所需支出的最佳估计数对预计负债进行初始计量，并在资产负债表日对预计负债的账面价值进行复核。</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rsidR="00A95787" w:rsidRDefault="005D3CC1">
      <w:pPr>
        <w:pStyle w:val="3"/>
        <w:spacing w:line="240" w:lineRule="auto"/>
        <w:jc w:val="left"/>
        <w:rPr>
          <w:rFonts w:ascii="宋体" w:hAnsi="宋体" w:cs="宋体"/>
          <w:b/>
          <w:bCs/>
        </w:rPr>
      </w:pPr>
      <w:bookmarkStart w:id="197" w:name="_Toc989082"/>
      <w:r>
        <w:rPr>
          <w:rFonts w:ascii="宋体" w:hAnsi="宋体" w:cs="宋体"/>
          <w:b/>
          <w:bCs/>
        </w:rPr>
        <w:t>24、股份支付</w:t>
      </w:r>
      <w:bookmarkEnd w:id="197"/>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）股份支付的会计处理方法</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以权益结算的股份支付</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Arial" w:hAnsi="Arial" w:cs="Arial"/>
          <w:sz w:val="18"/>
          <w:szCs w:val="18"/>
        </w:rPr>
        <w:t>/</w:t>
      </w:r>
      <w:r>
        <w:rPr>
          <w:rFonts w:cs="Times New Roman" w:hint="eastAsia"/>
          <w:sz w:val="18"/>
          <w:szCs w:val="18"/>
        </w:rPr>
        <w:t>在授予后立即可行权时，在授予日计入相关成本或费用，相应增加资本公积。</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以现金结算的股份支付</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在相关负债结算前的每个资产负债表日以及结算日，对负债的公允价值重新计量，其变动计入当期损益。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）修改、终止股份支付计划的相关会计处理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）涉及本公司与本公司股东或实际控制人的股份支付交易的会计处理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结算企业以其本身权益工具结算的，将该股份支付交易作为权益结算的股份支付处理；除此之外，作为现金结算的股份支付处理。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lastRenderedPageBreak/>
        <w:t>本公司合并范围内各企业之间发生的股份支付交易，接受服务企业和结算企业不是同一企业的，在接受服务企业和结算企业各自的个别财务报表中对该股份支付交易的确认和计量，比照上述原则处理。</w:t>
      </w:r>
    </w:p>
    <w:p w:rsidR="00A95787" w:rsidRDefault="005D3CC1">
      <w:pPr>
        <w:pStyle w:val="3"/>
        <w:spacing w:line="240" w:lineRule="auto"/>
        <w:jc w:val="left"/>
        <w:rPr>
          <w:rFonts w:ascii="宋体" w:hAnsi="宋体" w:cs="宋体"/>
          <w:b/>
          <w:bCs/>
        </w:rPr>
      </w:pPr>
      <w:bookmarkStart w:id="198" w:name="_Toc989083"/>
      <w:r>
        <w:rPr>
          <w:rFonts w:ascii="宋体" w:hAnsi="宋体" w:cs="宋体"/>
          <w:b/>
          <w:bCs/>
        </w:rPr>
        <w:t>25、优先股、永续债等其他金融工具</w:t>
      </w:r>
      <w:bookmarkEnd w:id="198"/>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）永续债和优先股等的区分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本公司发行的永续债和优先股等金融工具，同时符合以下条件的，作为权益工具：</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①该金融工具不包括交付现金或其他金融资产给其他方，或在潜在不利条件下与其他方交换金融资产或金融负债的合同义务；</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除按上述条件可归类为权益工具的金融工具以外，本公司发行的其他金融工具应归类为金融负债。</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本公司发行的金融工具为复合金融工具的，按照负债成分的公允价值确认为一项负债，按实际收到的金额扣除负债成分的公允价值后的金额，确认为</w:t>
      </w:r>
      <w:r>
        <w:rPr>
          <w:rFonts w:ascii="Arial" w:hAnsi="Arial" w:cs="Arial"/>
          <w:sz w:val="18"/>
          <w:szCs w:val="18"/>
        </w:rPr>
        <w:t>“</w:t>
      </w:r>
      <w:r>
        <w:rPr>
          <w:rFonts w:cs="Times New Roman" w:hint="eastAsia"/>
          <w:sz w:val="18"/>
          <w:szCs w:val="18"/>
        </w:rPr>
        <w:t>其他权益工具</w:t>
      </w:r>
      <w:r>
        <w:rPr>
          <w:rFonts w:ascii="Arial" w:hAnsi="Arial" w:cs="Arial"/>
          <w:sz w:val="18"/>
          <w:szCs w:val="18"/>
        </w:rPr>
        <w:t>”</w:t>
      </w:r>
      <w:r>
        <w:rPr>
          <w:rFonts w:cs="Times New Roman" w:hint="eastAsia"/>
          <w:sz w:val="18"/>
          <w:szCs w:val="18"/>
        </w:rPr>
        <w:t>。发行复合金融工具发生的交易费用，在负债成分和权益成分之间按照各自占总发行价款的比例进行分摊。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）永续债和优先股等的会计处理方法</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归类为金融负债的永续债和优先股等金融工具，其相关利息、股利（或股息）、利得或损失，以及赎回或再融资产生的利得或损失等，除符合资本化条件的借款费用（参见本</w:t>
      </w:r>
      <w:r>
        <w:rPr>
          <w:rFonts w:cs="Times New Roman" w:hint="eastAsia"/>
          <w:sz w:val="18"/>
          <w:szCs w:val="18"/>
          <w:shd w:val="clear" w:color="auto" w:fill="FFFFFF"/>
        </w:rPr>
        <w:t>附注五、</w:t>
      </w:r>
      <w:r>
        <w:rPr>
          <w:rFonts w:ascii="Arial" w:hAnsi="Arial" w:cs="Arial"/>
          <w:sz w:val="18"/>
          <w:szCs w:val="18"/>
          <w:shd w:val="clear" w:color="auto" w:fill="FFFFFF"/>
        </w:rPr>
        <w:t>17</w:t>
      </w:r>
      <w:r>
        <w:rPr>
          <w:rFonts w:cs="Times New Roman" w:hint="eastAsia"/>
          <w:sz w:val="18"/>
          <w:szCs w:val="18"/>
          <w:shd w:val="clear" w:color="auto" w:fill="FFFFFF"/>
        </w:rPr>
        <w:t>“借款费用”）以外</w:t>
      </w:r>
      <w:r>
        <w:rPr>
          <w:rFonts w:cs="Times New Roman" w:hint="eastAsia"/>
          <w:sz w:val="18"/>
          <w:szCs w:val="18"/>
        </w:rPr>
        <w:t>，均计入当期损益。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本公司不确认权益工具的公允价值变动。</w:t>
      </w:r>
    </w:p>
    <w:p w:rsidR="00A95787" w:rsidRDefault="005D3CC1">
      <w:pPr>
        <w:pStyle w:val="3"/>
        <w:spacing w:line="240" w:lineRule="auto"/>
        <w:jc w:val="left"/>
        <w:rPr>
          <w:rFonts w:ascii="宋体" w:hAnsi="宋体" w:cs="宋体"/>
          <w:b/>
          <w:bCs/>
        </w:rPr>
      </w:pPr>
      <w:bookmarkStart w:id="199" w:name="_Toc989084"/>
      <w:r>
        <w:rPr>
          <w:rFonts w:ascii="宋体" w:hAnsi="宋体" w:cs="宋体"/>
          <w:b/>
          <w:bCs/>
        </w:rPr>
        <w:t>26、收入</w:t>
      </w:r>
      <w:bookmarkEnd w:id="199"/>
    </w:p>
    <w:p w:rsidR="00A95787" w:rsidRDefault="005D3CC1">
      <w:pPr>
        <w:spacing w:before="100" w:after="100"/>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A95787" w:rsidRDefault="005D3CC1">
      <w:pPr>
        <w:spacing w:before="100" w:after="100"/>
        <w:rPr>
          <w:rFonts w:ascii="宋体" w:eastAsia="宋体" w:hAnsi="宋体" w:cs="宋体"/>
          <w:sz w:val="18"/>
          <w:szCs w:val="18"/>
        </w:rPr>
      </w:pPr>
      <w:r>
        <w:rPr>
          <w:rFonts w:ascii="宋体" w:eastAsia="宋体" w:hAnsi="宋体" w:cs="宋体"/>
          <w:sz w:val="18"/>
          <w:szCs w:val="18"/>
        </w:rPr>
        <w:lastRenderedPageBreak/>
        <w:t>同类业务采用不同经营模式涉及不同收入确认方式及计量方法的情况</w:t>
      </w:r>
    </w:p>
    <w:p w:rsidR="00A95787" w:rsidRDefault="005D3CC1">
      <w:pPr>
        <w:pStyle w:val="a6"/>
        <w:rPr>
          <w:sz w:val="18"/>
          <w:szCs w:val="18"/>
        </w:rPr>
      </w:pPr>
      <w:r>
        <w:rPr>
          <w:rFonts w:hint="eastAsia"/>
          <w:sz w:val="18"/>
          <w:szCs w:val="18"/>
        </w:rPr>
        <w:t>不适用。</w:t>
      </w:r>
    </w:p>
    <w:p w:rsidR="00A95787" w:rsidRDefault="005D3CC1">
      <w:pPr>
        <w:spacing w:before="100" w:after="100"/>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点履行履约义务，商品销售收入确认的具体政策：①国内销售收入确认需满足以下条件：公司已根据合同约定将产品交付给客户且客户已接受该商品，己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A95787" w:rsidRDefault="005D3CC1">
      <w:pPr>
        <w:pStyle w:val="3"/>
        <w:spacing w:line="240" w:lineRule="auto"/>
        <w:jc w:val="left"/>
        <w:rPr>
          <w:rFonts w:ascii="宋体" w:hAnsi="宋体" w:cs="宋体"/>
          <w:b/>
          <w:bCs/>
        </w:rPr>
      </w:pPr>
      <w:bookmarkStart w:id="200" w:name="_Toc989085"/>
      <w:r>
        <w:rPr>
          <w:rFonts w:ascii="宋体" w:hAnsi="宋体" w:cs="宋体"/>
          <w:b/>
          <w:bCs/>
        </w:rPr>
        <w:t>27、合同成本</w:t>
      </w:r>
      <w:bookmarkEnd w:id="200"/>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合同成本分为合同履约成本与合同取得成本。</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本公司企业为履行合同发生的成本同时满足下列条件的，作为合同履约成本确认为一项资产：</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）该成本与一份当前或预期取得的合同直接相关，包括直接人工、直接材料、制造费用（或类似费用）、明确由客户承担的成本以及仅因该合同而发生的其他成本；</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）该成本增加了企业未来用于履行履约义务的资源；</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）该成本预期能够收回。</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本公司为取得合同发生的增量成本预期能够收回的，作为合同取得成本确认为一项资产；但是，该资产摊销不超过一年的可以在发生时计入当期损益。</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与合同成本有关的资产采用与该资产相关的商品或服务收入确认相同的基础进行摊销。</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与合同成本有关的资产，其账面价值高于下列两项的差额的，本公司将对于超出部分计提减值准备，并确认为资产减值损失：</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）因转让与该资产相关的商品或服务预期能够取得的剩余对价；</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）为转让该相关商品或服务估计将要发生的成本。</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上述资产减值准备后续发生转回的，转回后的资产账面价值不超过假定不计提减值准备情况下该资产在转回日的账面价值。</w:t>
      </w:r>
    </w:p>
    <w:p w:rsidR="00A95787" w:rsidRDefault="005D3CC1">
      <w:pPr>
        <w:pStyle w:val="3"/>
        <w:spacing w:line="240" w:lineRule="auto"/>
        <w:jc w:val="left"/>
        <w:rPr>
          <w:rFonts w:ascii="宋体" w:hAnsi="宋体" w:cs="宋体"/>
          <w:b/>
          <w:bCs/>
        </w:rPr>
      </w:pPr>
      <w:bookmarkStart w:id="201" w:name="_Toc989086"/>
      <w:r>
        <w:rPr>
          <w:rFonts w:ascii="宋体" w:hAnsi="宋体" w:cs="宋体"/>
          <w:b/>
          <w:bCs/>
        </w:rPr>
        <w:t>28、政府补助</w:t>
      </w:r>
      <w:bookmarkEnd w:id="201"/>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Arial" w:hAnsi="Arial" w:cs="Arial"/>
          <w:sz w:val="18"/>
          <w:szCs w:val="18"/>
        </w:rPr>
        <w:t>1</w:t>
      </w:r>
      <w:r>
        <w:rPr>
          <w:rFonts w:cs="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18"/>
          <w:szCs w:val="18"/>
        </w:rPr>
        <w:t>2</w:t>
      </w:r>
      <w:r>
        <w:rPr>
          <w:rFonts w:cs="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rFonts w:ascii="Arial" w:hAnsi="Arial" w:cs="Arial"/>
          <w:sz w:val="18"/>
          <w:szCs w:val="18"/>
        </w:rPr>
        <w:t>1</w:t>
      </w:r>
      <w:r>
        <w:rPr>
          <w:rFonts w:cs="Times New Roman" w:hint="eastAsia"/>
          <w:sz w:val="18"/>
          <w:szCs w:val="18"/>
        </w:rPr>
        <w:t>）应收补助款的金额已经过有权政府部门发文确认，或者可根据正式发布的财政资金管理办法的有关规</w:t>
      </w:r>
      <w:r>
        <w:rPr>
          <w:rFonts w:cs="Times New Roman" w:hint="eastAsia"/>
          <w:sz w:val="18"/>
          <w:szCs w:val="18"/>
        </w:rPr>
        <w:lastRenderedPageBreak/>
        <w:t>定自行合理测算，且预计其金额不存在重大不确定性；（</w:t>
      </w:r>
      <w:r>
        <w:rPr>
          <w:rFonts w:ascii="Arial" w:hAnsi="Arial" w:cs="Arial"/>
          <w:sz w:val="18"/>
          <w:szCs w:val="18"/>
        </w:rPr>
        <w:t>2</w:t>
      </w:r>
      <w:r>
        <w:rPr>
          <w:rFonts w:cs="Times New Roman"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hAnsi="Arial" w:cs="Arial"/>
          <w:sz w:val="18"/>
          <w:szCs w:val="18"/>
        </w:rPr>
        <w:t>3</w:t>
      </w:r>
      <w:r>
        <w:rPr>
          <w:rFonts w:cs="Times New Roman" w:hint="eastAsia"/>
          <w:sz w:val="18"/>
          <w:szCs w:val="18"/>
        </w:rPr>
        <w:t>）相关的补助款批文中已明确承诺了拨付期限，且该款项的拨付是有相应财政预算作为保障的，因而可以合理保证其可在规定期限内收到；（</w:t>
      </w:r>
      <w:r>
        <w:rPr>
          <w:rFonts w:ascii="Arial" w:hAnsi="Arial" w:cs="Arial"/>
          <w:sz w:val="18"/>
          <w:szCs w:val="18"/>
        </w:rPr>
        <w:t>4</w:t>
      </w:r>
      <w:r>
        <w:rPr>
          <w:rFonts w:cs="Times New Roman" w:hint="eastAsia"/>
          <w:sz w:val="18"/>
          <w:szCs w:val="18"/>
        </w:rPr>
        <w:t>）根据本公司和该补助事项的具体情况，应满足的其他相关条件（如有）。</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同时包含与资产相关部分和与收益相关部分的政府补助，区分不同部分分别进行会计处理；难以区分的，将其整体归类为与收益相关的政府补助。</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与本公司日常活动相关的政府补助，按照经济业务的实质，计入其他收益或冲减相关成本费用；与日常活动无关的政府补助，计入营业外收支。</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已确认的政府补助需要退回时，存在相关递延收益余额的，冲减相关递延收益账面余额，超出部分计入当期损益；属于其他情况的，直接计入当期损益。</w:t>
      </w:r>
    </w:p>
    <w:p w:rsidR="00A95787" w:rsidRDefault="005D3CC1">
      <w:pPr>
        <w:pStyle w:val="3"/>
        <w:spacing w:line="240" w:lineRule="auto"/>
        <w:jc w:val="left"/>
        <w:rPr>
          <w:rFonts w:ascii="宋体" w:hAnsi="宋体" w:cs="宋体"/>
          <w:b/>
          <w:bCs/>
        </w:rPr>
      </w:pPr>
      <w:bookmarkStart w:id="202" w:name="_Toc989087"/>
      <w:r>
        <w:rPr>
          <w:rFonts w:ascii="宋体" w:hAnsi="宋体" w:cs="宋体"/>
          <w:b/>
          <w:bCs/>
        </w:rPr>
        <w:t>29、递延所得税资产/递延所得税负债</w:t>
      </w:r>
      <w:bookmarkEnd w:id="202"/>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本公司当期所得税和递延所得税作为所得税费用或收益计入当期损益，但不包括下列情况产生的所得税：企业合并；直接在所有者权益中确认的交易或者事项。</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当拥有以净额结算的法定权利，且意图以净额结算或取得资产、清偿负债同时进行时，本公司当期所得税资产及当期所得税负债以抵销后的净额列报。</w:t>
      </w:r>
    </w:p>
    <w:p w:rsidR="00A95787" w:rsidRDefault="005D3CC1">
      <w:pPr>
        <w:pStyle w:val="3"/>
        <w:spacing w:line="240" w:lineRule="auto"/>
        <w:jc w:val="left"/>
        <w:rPr>
          <w:rFonts w:ascii="宋体" w:hAnsi="宋体" w:cs="宋体"/>
          <w:b/>
          <w:bCs/>
        </w:rPr>
      </w:pPr>
      <w:bookmarkStart w:id="203" w:name="_Toc989088"/>
      <w:r>
        <w:rPr>
          <w:rFonts w:ascii="宋体" w:hAnsi="宋体" w:cs="宋体"/>
          <w:b/>
          <w:bCs/>
        </w:rPr>
        <w:t>30、租赁</w:t>
      </w:r>
      <w:bookmarkEnd w:id="203"/>
    </w:p>
    <w:p w:rsidR="00A95787" w:rsidRDefault="005D3CC1">
      <w:pPr>
        <w:keepNext/>
        <w:keepLines/>
        <w:spacing w:before="300" w:after="300"/>
        <w:outlineLvl w:val="3"/>
        <w:rPr>
          <w:rFonts w:ascii="宋体" w:eastAsia="宋体" w:hAnsi="宋体" w:cs="宋体"/>
          <w:b/>
          <w:bCs/>
          <w:szCs w:val="21"/>
        </w:rPr>
      </w:pPr>
      <w:bookmarkStart w:id="204" w:name="_Toc989089"/>
      <w:r>
        <w:rPr>
          <w:rFonts w:ascii="宋体" w:eastAsia="宋体" w:hAnsi="宋体" w:cs="宋体"/>
          <w:b/>
          <w:bCs/>
          <w:szCs w:val="21"/>
        </w:rPr>
        <w:t>（1） 作为承租方租赁的会计处理方法</w:t>
      </w:r>
      <w:bookmarkEnd w:id="204"/>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在租赁期开始日，本公司对除短期租赁和低价值资产租赁以外的租赁确认使用权资产和租赁负债，并在租赁期内分别确认折旧费用和利息费用。</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本公司在租赁期内各个期间采用直线法，将短期租赁和低价值资产租赁的租赁付款额计入当期费用。</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①使用权资产</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使用权资产，是指承租人可在租赁期内使用租赁资产的权利。在租赁期开始日。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本公司按照《企业会计准则第</w:t>
      </w:r>
      <w:r>
        <w:rPr>
          <w:rFonts w:ascii="Arial" w:hAnsi="Arial" w:cs="Arial"/>
          <w:sz w:val="18"/>
          <w:szCs w:val="18"/>
        </w:rPr>
        <w:t>8</w:t>
      </w:r>
      <w:r>
        <w:rPr>
          <w:rFonts w:cs="Times New Roman" w:hint="eastAsia"/>
          <w:sz w:val="18"/>
          <w:szCs w:val="18"/>
        </w:rPr>
        <w:t>号</w:t>
      </w:r>
      <w:r>
        <w:rPr>
          <w:rFonts w:ascii="Arial" w:hAnsi="Arial" w:cs="Arial"/>
          <w:sz w:val="18"/>
          <w:szCs w:val="18"/>
        </w:rPr>
        <w:t>——</w:t>
      </w:r>
      <w:r>
        <w:rPr>
          <w:rFonts w:cs="Times New Roman" w:hint="eastAsia"/>
          <w:sz w:val="18"/>
          <w:szCs w:val="18"/>
        </w:rPr>
        <w:t>资产减值》的相关规定来确定使用权资产是否已发生减值并进行会计处理。</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lastRenderedPageBreak/>
        <w:t>②租赁负债</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未纳入租赁负债计量的可变租赁付款额在实际发生时计入当期损益。</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③短期租赁和低价值资产租赁</w:t>
      </w:r>
      <w:r>
        <w:rPr>
          <w:rFonts w:ascii="Arial" w:hAnsi="Arial" w:cs="Arial"/>
          <w:sz w:val="18"/>
          <w:szCs w:val="18"/>
        </w:rPr>
        <w:t xml:space="preserve">                                      </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对于短期租赁（在租赁开始日租赁期不超过</w:t>
      </w:r>
      <w:r>
        <w:rPr>
          <w:rFonts w:ascii="Arial" w:hAnsi="Arial" w:cs="Arial"/>
          <w:sz w:val="18"/>
          <w:szCs w:val="18"/>
        </w:rPr>
        <w:t>12</w:t>
      </w:r>
      <w:r>
        <w:rPr>
          <w:rFonts w:cs="Times New Roman" w:hint="eastAsia"/>
          <w:sz w:val="18"/>
          <w:szCs w:val="18"/>
        </w:rPr>
        <w:t>个月的租赁）和低价值资产（价值低于</w:t>
      </w:r>
      <w:r>
        <w:rPr>
          <w:rFonts w:ascii="Arial" w:hAnsi="Arial" w:cs="Arial"/>
          <w:sz w:val="18"/>
          <w:szCs w:val="18"/>
        </w:rPr>
        <w:t>2000</w:t>
      </w:r>
      <w:r>
        <w:rPr>
          <w:rFonts w:cs="Times New Roman" w:hint="eastAsia"/>
          <w:sz w:val="18"/>
          <w:szCs w:val="18"/>
        </w:rPr>
        <w:t>元）租赁，本公司采取简化处理方法，不确认使用权资产和租赁负债，而在租赁期内各个期间按照直线法或其他系统合理的方法将租赁付款额计入相关资产成本或当期损益。</w:t>
      </w:r>
    </w:p>
    <w:p w:rsidR="00A95787" w:rsidRDefault="005D3CC1">
      <w:pPr>
        <w:keepNext/>
        <w:keepLines/>
        <w:spacing w:before="300" w:after="300"/>
        <w:outlineLvl w:val="3"/>
        <w:rPr>
          <w:rFonts w:ascii="宋体" w:eastAsia="宋体" w:hAnsi="宋体" w:cs="宋体"/>
          <w:b/>
          <w:bCs/>
          <w:szCs w:val="21"/>
        </w:rPr>
      </w:pPr>
      <w:bookmarkStart w:id="205" w:name="_Toc989090"/>
      <w:r>
        <w:rPr>
          <w:rFonts w:ascii="宋体" w:eastAsia="宋体" w:hAnsi="宋体" w:cs="宋体"/>
          <w:b/>
          <w:bCs/>
          <w:szCs w:val="21"/>
        </w:rPr>
        <w:t>（2） 作为出租方租赁的会计处理方法</w:t>
      </w:r>
      <w:bookmarkEnd w:id="205"/>
    </w:p>
    <w:p w:rsidR="00A95787" w:rsidRDefault="005D3CC1">
      <w:pPr>
        <w:pStyle w:val="a6"/>
        <w:spacing w:before="0" w:beforeAutospacing="0" w:after="0" w:afterAutospacing="0"/>
        <w:ind w:left="360"/>
        <w:rPr>
          <w:rFonts w:ascii="Times New Roman" w:hAnsi="Times New Roman" w:cs="Times New Roman"/>
          <w:sz w:val="21"/>
          <w:szCs w:val="21"/>
        </w:rPr>
      </w:pPr>
      <w:r>
        <w:rPr>
          <w:rFonts w:cs="Times New Roman" w:hint="eastAsia"/>
          <w:sz w:val="18"/>
          <w:szCs w:val="18"/>
        </w:rPr>
        <w:t>①经营租赁</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本公司采用直线法将经营租赁的租赁收款额确认为租赁期内各期间的租金收入。与经营租赁有关的未计入租赁收款额的可变租赁付款额，于实际发生时计入当期损益。</w:t>
      </w:r>
    </w:p>
    <w:p w:rsidR="00A95787" w:rsidRDefault="005D3CC1">
      <w:pPr>
        <w:pStyle w:val="a6"/>
        <w:spacing w:before="0" w:beforeAutospacing="0" w:after="0" w:afterAutospacing="0"/>
        <w:ind w:left="360"/>
        <w:rPr>
          <w:rFonts w:ascii="Times New Roman" w:hAnsi="Times New Roman" w:cs="Times New Roman"/>
          <w:sz w:val="21"/>
          <w:szCs w:val="21"/>
        </w:rPr>
      </w:pPr>
      <w:r>
        <w:rPr>
          <w:rFonts w:cs="Times New Roman" w:hint="eastAsia"/>
          <w:sz w:val="18"/>
          <w:szCs w:val="18"/>
        </w:rPr>
        <w:t>②融资租赁</w:t>
      </w:r>
    </w:p>
    <w:p w:rsidR="00A95787" w:rsidRDefault="005D3CC1">
      <w:pPr>
        <w:pStyle w:val="a6"/>
        <w:spacing w:before="0" w:beforeAutospacing="0" w:after="0" w:afterAutospacing="0"/>
        <w:ind w:firstLine="360"/>
        <w:rPr>
          <w:rFonts w:ascii="Times New Roman" w:hAnsi="Times New Roman" w:cs="Times New Roman"/>
          <w:sz w:val="21"/>
          <w:szCs w:val="21"/>
        </w:rPr>
      </w:pPr>
      <w:r>
        <w:rPr>
          <w:rFonts w:cs="Times New Roman" w:hint="eastAsia"/>
          <w:sz w:val="18"/>
          <w:szCs w:val="18"/>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rsidR="00A95787" w:rsidRDefault="005D3CC1">
      <w:pPr>
        <w:pStyle w:val="3"/>
        <w:spacing w:line="240" w:lineRule="auto"/>
        <w:jc w:val="left"/>
        <w:rPr>
          <w:rFonts w:ascii="宋体" w:hAnsi="宋体" w:cs="宋体"/>
          <w:b/>
          <w:bCs/>
        </w:rPr>
      </w:pPr>
      <w:bookmarkStart w:id="206" w:name="_Toc989091"/>
      <w:r>
        <w:rPr>
          <w:rFonts w:ascii="宋体" w:hAnsi="宋体" w:cs="宋体"/>
          <w:b/>
          <w:bCs/>
        </w:rPr>
        <w:t>31、重要会计政策和会计估计变更</w:t>
      </w:r>
      <w:bookmarkEnd w:id="206"/>
    </w:p>
    <w:p w:rsidR="00A95787" w:rsidRDefault="005D3CC1">
      <w:pPr>
        <w:keepNext/>
        <w:keepLines/>
        <w:spacing w:before="300" w:after="300"/>
        <w:outlineLvl w:val="3"/>
        <w:rPr>
          <w:rFonts w:ascii="宋体" w:eastAsia="宋体" w:hAnsi="宋体" w:cs="宋体"/>
          <w:b/>
          <w:bCs/>
          <w:sz w:val="18"/>
          <w:szCs w:val="18"/>
        </w:rPr>
      </w:pPr>
      <w:bookmarkStart w:id="207" w:name="_Toc989092"/>
      <w:r>
        <w:rPr>
          <w:rFonts w:ascii="宋体" w:eastAsia="宋体" w:hAnsi="宋体" w:cs="宋体"/>
          <w:b/>
          <w:bCs/>
          <w:sz w:val="18"/>
          <w:szCs w:val="18"/>
        </w:rPr>
        <w:t>（1） 重要会计政策变更</w:t>
      </w:r>
      <w:bookmarkEnd w:id="207"/>
    </w:p>
    <w:p w:rsidR="00A95787" w:rsidRDefault="005D3CC1">
      <w:pPr>
        <w:spacing w:before="100" w:after="100"/>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pStyle w:val="a6"/>
        <w:spacing w:before="0" w:beforeAutospacing="0" w:after="0" w:afterAutospacing="0"/>
        <w:ind w:firstLine="361"/>
        <w:rPr>
          <w:rFonts w:ascii="Times New Roman" w:hAnsi="Times New Roman" w:cs="Times New Roman"/>
          <w:sz w:val="21"/>
          <w:szCs w:val="21"/>
        </w:rPr>
      </w:pPr>
      <w:r>
        <w:rPr>
          <w:rStyle w:val="a7"/>
          <w:rFonts w:cs="Times New Roman" w:hint="eastAsia"/>
          <w:sz w:val="18"/>
          <w:szCs w:val="18"/>
        </w:rPr>
        <w:t>①企业会计准则解释第</w:t>
      </w:r>
      <w:r>
        <w:rPr>
          <w:rStyle w:val="a7"/>
          <w:rFonts w:ascii="Arial" w:hAnsi="Arial" w:cs="Arial"/>
          <w:sz w:val="18"/>
          <w:szCs w:val="18"/>
        </w:rPr>
        <w:t xml:space="preserve"> 17 </w:t>
      </w:r>
      <w:r>
        <w:rPr>
          <w:rStyle w:val="a7"/>
          <w:rFonts w:cs="Times New Roman" w:hint="eastAsia"/>
          <w:sz w:val="18"/>
          <w:szCs w:val="18"/>
        </w:rPr>
        <w:t>号</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财政部于</w:t>
      </w:r>
      <w:r>
        <w:rPr>
          <w:rFonts w:ascii="Arial" w:hAnsi="Arial" w:cs="Arial"/>
          <w:sz w:val="18"/>
          <w:szCs w:val="18"/>
        </w:rPr>
        <w:t>2023</w:t>
      </w:r>
      <w:r>
        <w:rPr>
          <w:rFonts w:cs="Times New Roman" w:hint="eastAsia"/>
          <w:sz w:val="18"/>
          <w:szCs w:val="18"/>
        </w:rPr>
        <w:t>年</w:t>
      </w:r>
      <w:r>
        <w:rPr>
          <w:rFonts w:ascii="Arial" w:hAnsi="Arial" w:cs="Arial"/>
          <w:sz w:val="18"/>
          <w:szCs w:val="18"/>
        </w:rPr>
        <w:t>10</w:t>
      </w:r>
      <w:r>
        <w:rPr>
          <w:rFonts w:cs="Times New Roman" w:hint="eastAsia"/>
          <w:sz w:val="18"/>
          <w:szCs w:val="18"/>
        </w:rPr>
        <w:t>月</w:t>
      </w:r>
      <w:r>
        <w:rPr>
          <w:rFonts w:ascii="Arial" w:hAnsi="Arial" w:cs="Arial"/>
          <w:sz w:val="18"/>
          <w:szCs w:val="18"/>
        </w:rPr>
        <w:t>25</w:t>
      </w:r>
      <w:r>
        <w:rPr>
          <w:rFonts w:cs="Times New Roman" w:hint="eastAsia"/>
          <w:sz w:val="18"/>
          <w:szCs w:val="18"/>
        </w:rPr>
        <w:t>日发布了《企业会计准则解释第</w:t>
      </w:r>
      <w:r>
        <w:rPr>
          <w:rFonts w:ascii="Arial" w:hAnsi="Arial" w:cs="Arial"/>
          <w:sz w:val="18"/>
          <w:szCs w:val="18"/>
        </w:rPr>
        <w:t>17</w:t>
      </w:r>
      <w:r>
        <w:rPr>
          <w:rFonts w:cs="Times New Roman" w:hint="eastAsia"/>
          <w:sz w:val="18"/>
          <w:szCs w:val="18"/>
        </w:rPr>
        <w:t>号》（财会〔</w:t>
      </w:r>
      <w:r>
        <w:rPr>
          <w:rFonts w:ascii="Arial" w:hAnsi="Arial" w:cs="Arial"/>
          <w:sz w:val="18"/>
          <w:szCs w:val="18"/>
        </w:rPr>
        <w:t>2023</w:t>
      </w:r>
      <w:r>
        <w:rPr>
          <w:rFonts w:cs="Times New Roman" w:hint="eastAsia"/>
          <w:sz w:val="18"/>
          <w:szCs w:val="18"/>
        </w:rPr>
        <w:t>〕</w:t>
      </w:r>
      <w:r>
        <w:rPr>
          <w:rFonts w:ascii="Arial" w:hAnsi="Arial" w:cs="Arial"/>
          <w:sz w:val="18"/>
          <w:szCs w:val="18"/>
        </w:rPr>
        <w:t>21</w:t>
      </w:r>
      <w:r>
        <w:rPr>
          <w:rFonts w:cs="Times New Roman" w:hint="eastAsia"/>
          <w:sz w:val="18"/>
          <w:szCs w:val="18"/>
        </w:rPr>
        <w:t>号）（以下简称</w:t>
      </w:r>
      <w:r>
        <w:rPr>
          <w:rFonts w:ascii="Arial" w:hAnsi="Arial" w:cs="Arial"/>
          <w:sz w:val="18"/>
          <w:szCs w:val="18"/>
        </w:rPr>
        <w:t>“</w:t>
      </w:r>
      <w:r>
        <w:rPr>
          <w:rFonts w:cs="Times New Roman" w:hint="eastAsia"/>
          <w:sz w:val="18"/>
          <w:szCs w:val="18"/>
        </w:rPr>
        <w:t>解释第</w:t>
      </w:r>
      <w:r>
        <w:rPr>
          <w:rFonts w:ascii="Arial" w:hAnsi="Arial" w:cs="Arial"/>
          <w:sz w:val="18"/>
          <w:szCs w:val="18"/>
        </w:rPr>
        <w:t>17</w:t>
      </w:r>
      <w:r>
        <w:rPr>
          <w:rFonts w:cs="Times New Roman" w:hint="eastAsia"/>
          <w:sz w:val="18"/>
          <w:szCs w:val="18"/>
        </w:rPr>
        <w:t>号</w:t>
      </w:r>
      <w:r>
        <w:rPr>
          <w:rFonts w:ascii="Arial" w:hAnsi="Arial" w:cs="Arial"/>
          <w:sz w:val="18"/>
          <w:szCs w:val="18"/>
        </w:rPr>
        <w:t>”</w:t>
      </w:r>
      <w:r>
        <w:rPr>
          <w:rFonts w:cs="Times New Roman" w:hint="eastAsia"/>
          <w:sz w:val="18"/>
          <w:szCs w:val="18"/>
        </w:rPr>
        <w:t>）。规定“关于流动负债与非流动负债的划分”“关于供应商融资安排的披露”“关于售后租回交易的会计处理”等内容。</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本公司自</w:t>
      </w:r>
      <w:r>
        <w:rPr>
          <w:rFonts w:ascii="Arial" w:hAnsi="Arial" w:cs="Arial"/>
          <w:sz w:val="18"/>
          <w:szCs w:val="18"/>
        </w:rPr>
        <w:t>2024</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日起执行该规定，并对可比期间信息进行调整。</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采用解释第</w:t>
      </w:r>
      <w:r>
        <w:rPr>
          <w:rFonts w:ascii="Arial" w:hAnsi="Arial" w:cs="Arial"/>
          <w:sz w:val="18"/>
          <w:szCs w:val="18"/>
        </w:rPr>
        <w:t>17</w:t>
      </w:r>
      <w:r>
        <w:rPr>
          <w:rFonts w:cs="Times New Roman" w:hint="eastAsia"/>
          <w:sz w:val="18"/>
          <w:szCs w:val="18"/>
        </w:rPr>
        <w:t>号未对本报告期财务报表产生重大影响。</w:t>
      </w:r>
    </w:p>
    <w:p w:rsidR="00A95787" w:rsidRDefault="005D3CC1">
      <w:pPr>
        <w:pStyle w:val="a6"/>
        <w:spacing w:before="0" w:beforeAutospacing="0" w:after="0" w:afterAutospacing="0"/>
        <w:ind w:firstLine="361"/>
        <w:jc w:val="both"/>
        <w:rPr>
          <w:rFonts w:ascii="Times New Roman" w:hAnsi="Times New Roman" w:cs="Times New Roman"/>
          <w:sz w:val="21"/>
          <w:szCs w:val="21"/>
        </w:rPr>
      </w:pPr>
      <w:r>
        <w:rPr>
          <w:rStyle w:val="a7"/>
          <w:rFonts w:cs="Times New Roman" w:hint="eastAsia"/>
          <w:sz w:val="18"/>
          <w:szCs w:val="18"/>
        </w:rPr>
        <w:t>②企业会计准则解释第</w:t>
      </w:r>
      <w:r>
        <w:rPr>
          <w:rStyle w:val="a7"/>
          <w:rFonts w:ascii="Arial" w:hAnsi="Arial" w:cs="Arial"/>
          <w:sz w:val="18"/>
          <w:szCs w:val="18"/>
        </w:rPr>
        <w:t>18</w:t>
      </w:r>
      <w:r>
        <w:rPr>
          <w:rStyle w:val="a7"/>
          <w:rFonts w:cs="Times New Roman" w:hint="eastAsia"/>
          <w:sz w:val="18"/>
          <w:szCs w:val="18"/>
        </w:rPr>
        <w:t>号</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财政部于</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6</w:t>
      </w:r>
      <w:r>
        <w:rPr>
          <w:rFonts w:cs="Times New Roman" w:hint="eastAsia"/>
          <w:sz w:val="18"/>
          <w:szCs w:val="18"/>
        </w:rPr>
        <w:t>日发布了《企业会计准则解释第</w:t>
      </w:r>
      <w:r>
        <w:rPr>
          <w:rFonts w:ascii="Arial" w:hAnsi="Arial" w:cs="Arial"/>
          <w:sz w:val="18"/>
          <w:szCs w:val="18"/>
        </w:rPr>
        <w:t>18</w:t>
      </w:r>
      <w:r>
        <w:rPr>
          <w:rFonts w:cs="Times New Roman" w:hint="eastAsia"/>
          <w:sz w:val="18"/>
          <w:szCs w:val="18"/>
        </w:rPr>
        <w:t>号》（财会〔</w:t>
      </w:r>
      <w:r>
        <w:rPr>
          <w:rFonts w:ascii="Arial" w:hAnsi="Arial" w:cs="Arial"/>
          <w:sz w:val="18"/>
          <w:szCs w:val="18"/>
        </w:rPr>
        <w:t>2024</w:t>
      </w:r>
      <w:r>
        <w:rPr>
          <w:rFonts w:cs="Times New Roman" w:hint="eastAsia"/>
          <w:sz w:val="18"/>
          <w:szCs w:val="18"/>
        </w:rPr>
        <w:t>〕</w:t>
      </w:r>
      <w:r>
        <w:rPr>
          <w:rFonts w:ascii="Arial" w:hAnsi="Arial" w:cs="Arial"/>
          <w:sz w:val="18"/>
          <w:szCs w:val="18"/>
        </w:rPr>
        <w:t>24</w:t>
      </w:r>
      <w:r>
        <w:rPr>
          <w:rFonts w:cs="Times New Roman" w:hint="eastAsia"/>
          <w:sz w:val="18"/>
          <w:szCs w:val="18"/>
        </w:rPr>
        <w:t>号，解释第</w:t>
      </w:r>
      <w:r>
        <w:rPr>
          <w:rFonts w:ascii="Arial" w:hAnsi="Arial" w:cs="Arial"/>
          <w:sz w:val="18"/>
          <w:szCs w:val="18"/>
        </w:rPr>
        <w:t>18</w:t>
      </w:r>
      <w:r>
        <w:rPr>
          <w:rFonts w:cs="Times New Roman" w:hint="eastAsia"/>
          <w:sz w:val="18"/>
          <w:szCs w:val="18"/>
        </w:rPr>
        <w:t>号）。</w:t>
      </w:r>
    </w:p>
    <w:p w:rsidR="00A95787" w:rsidRDefault="005D3CC1">
      <w:pPr>
        <w:pStyle w:val="a6"/>
        <w:spacing w:before="0" w:beforeAutospacing="0" w:after="0" w:afterAutospacing="0"/>
        <w:ind w:firstLine="361"/>
        <w:jc w:val="both"/>
        <w:rPr>
          <w:rFonts w:ascii="Times New Roman" w:hAnsi="Times New Roman" w:cs="Times New Roman"/>
          <w:sz w:val="21"/>
          <w:szCs w:val="21"/>
        </w:rPr>
      </w:pPr>
      <w:r>
        <w:rPr>
          <w:rStyle w:val="a7"/>
          <w:rFonts w:cs="Times New Roman" w:hint="eastAsia"/>
          <w:sz w:val="18"/>
          <w:szCs w:val="18"/>
        </w:rPr>
        <w:t>不属于单项履约义务的保证类质量保证的会计处理</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lastRenderedPageBreak/>
        <w:t>解释第</w:t>
      </w:r>
      <w:r>
        <w:rPr>
          <w:rFonts w:ascii="Arial" w:hAnsi="Arial" w:cs="Arial"/>
          <w:sz w:val="18"/>
          <w:szCs w:val="18"/>
        </w:rPr>
        <w:t>18</w:t>
      </w:r>
      <w:r>
        <w:rPr>
          <w:rFonts w:cs="Times New Roman" w:hint="eastAsia"/>
          <w:sz w:val="18"/>
          <w:szCs w:val="18"/>
        </w:rPr>
        <w:t>号规定，在对不属于单项履约义务的保证类质量保证产生的预计负债进行会计核算时，企业应当根据《企业会计准则第</w:t>
      </w:r>
      <w:r>
        <w:rPr>
          <w:rFonts w:ascii="Arial" w:hAnsi="Arial" w:cs="Arial"/>
          <w:sz w:val="18"/>
          <w:szCs w:val="18"/>
        </w:rPr>
        <w:t>13</w:t>
      </w:r>
      <w:r>
        <w:rPr>
          <w:rFonts w:cs="Times New Roman" w:hint="eastAsia"/>
          <w:sz w:val="18"/>
          <w:szCs w:val="18"/>
        </w:rPr>
        <w:t>号</w:t>
      </w:r>
      <w:r>
        <w:rPr>
          <w:rFonts w:ascii="Arial" w:hAnsi="Arial" w:cs="Arial"/>
          <w:sz w:val="18"/>
          <w:szCs w:val="18"/>
        </w:rPr>
        <w:t>——</w:t>
      </w:r>
      <w:r>
        <w:rPr>
          <w:rFonts w:cs="Times New Roman" w:hint="eastAsia"/>
          <w:sz w:val="18"/>
          <w:szCs w:val="18"/>
        </w:rPr>
        <w:t>或有事项》有关规定，按确定的预计负债金额，借记</w:t>
      </w:r>
      <w:r>
        <w:rPr>
          <w:rFonts w:ascii="Arial" w:hAnsi="Arial" w:cs="Arial"/>
          <w:sz w:val="18"/>
          <w:szCs w:val="18"/>
        </w:rPr>
        <w:t>“</w:t>
      </w:r>
      <w:r>
        <w:rPr>
          <w:rFonts w:cs="Times New Roman" w:hint="eastAsia"/>
          <w:sz w:val="18"/>
          <w:szCs w:val="18"/>
        </w:rPr>
        <w:t>主营业务成本</w:t>
      </w:r>
      <w:r>
        <w:rPr>
          <w:rFonts w:ascii="Arial" w:hAnsi="Arial" w:cs="Arial"/>
          <w:sz w:val="18"/>
          <w:szCs w:val="18"/>
        </w:rPr>
        <w:t>”</w:t>
      </w:r>
      <w:r>
        <w:rPr>
          <w:rFonts w:cs="Times New Roman" w:hint="eastAsia"/>
          <w:sz w:val="18"/>
          <w:szCs w:val="18"/>
        </w:rPr>
        <w:t>、</w:t>
      </w:r>
      <w:r>
        <w:rPr>
          <w:rFonts w:ascii="Arial" w:hAnsi="Arial" w:cs="Arial"/>
          <w:sz w:val="18"/>
          <w:szCs w:val="18"/>
        </w:rPr>
        <w:t>“</w:t>
      </w:r>
      <w:r>
        <w:rPr>
          <w:rFonts w:cs="Times New Roman" w:hint="eastAsia"/>
          <w:sz w:val="18"/>
          <w:szCs w:val="18"/>
        </w:rPr>
        <w:t>其他业务成本</w:t>
      </w:r>
      <w:r>
        <w:rPr>
          <w:rFonts w:ascii="Arial" w:hAnsi="Arial" w:cs="Arial"/>
          <w:sz w:val="18"/>
          <w:szCs w:val="18"/>
        </w:rPr>
        <w:t>”</w:t>
      </w:r>
      <w:r>
        <w:rPr>
          <w:rFonts w:cs="Times New Roman" w:hint="eastAsia"/>
          <w:sz w:val="18"/>
          <w:szCs w:val="18"/>
        </w:rPr>
        <w:t>等科目，贷记</w:t>
      </w:r>
      <w:r>
        <w:rPr>
          <w:rFonts w:ascii="Arial" w:hAnsi="Arial" w:cs="Arial"/>
          <w:sz w:val="18"/>
          <w:szCs w:val="18"/>
        </w:rPr>
        <w:t>“</w:t>
      </w:r>
      <w:r>
        <w:rPr>
          <w:rFonts w:cs="Times New Roman" w:hint="eastAsia"/>
          <w:sz w:val="18"/>
          <w:szCs w:val="18"/>
        </w:rPr>
        <w:t>预计负债</w:t>
      </w:r>
      <w:r>
        <w:rPr>
          <w:rFonts w:ascii="Arial" w:hAnsi="Arial" w:cs="Arial"/>
          <w:sz w:val="18"/>
          <w:szCs w:val="18"/>
        </w:rPr>
        <w:t>”</w:t>
      </w:r>
      <w:r>
        <w:rPr>
          <w:rFonts w:cs="Times New Roman" w:hint="eastAsia"/>
          <w:sz w:val="18"/>
          <w:szCs w:val="18"/>
        </w:rPr>
        <w:t>科目，并相应在利润表中的</w:t>
      </w:r>
      <w:r>
        <w:rPr>
          <w:rFonts w:ascii="Arial" w:hAnsi="Arial" w:cs="Arial"/>
          <w:sz w:val="18"/>
          <w:szCs w:val="18"/>
        </w:rPr>
        <w:t>“</w:t>
      </w:r>
      <w:r>
        <w:rPr>
          <w:rFonts w:cs="Times New Roman" w:hint="eastAsia"/>
          <w:sz w:val="18"/>
          <w:szCs w:val="18"/>
        </w:rPr>
        <w:t>营业成本</w:t>
      </w:r>
      <w:r>
        <w:rPr>
          <w:rFonts w:ascii="Arial" w:hAnsi="Arial" w:cs="Arial"/>
          <w:sz w:val="18"/>
          <w:szCs w:val="18"/>
        </w:rPr>
        <w:t>”</w:t>
      </w:r>
      <w:r>
        <w:rPr>
          <w:rFonts w:cs="Times New Roman" w:hint="eastAsia"/>
          <w:sz w:val="18"/>
          <w:szCs w:val="18"/>
        </w:rPr>
        <w:t>和资产负债表中的</w:t>
      </w:r>
      <w:r>
        <w:rPr>
          <w:rFonts w:ascii="Arial" w:hAnsi="Arial" w:cs="Arial"/>
          <w:sz w:val="18"/>
          <w:szCs w:val="18"/>
        </w:rPr>
        <w:t>“</w:t>
      </w:r>
      <w:r>
        <w:rPr>
          <w:rFonts w:cs="Times New Roman" w:hint="eastAsia"/>
          <w:sz w:val="18"/>
          <w:szCs w:val="18"/>
        </w:rPr>
        <w:t>其他流动负债</w:t>
      </w:r>
      <w:r>
        <w:rPr>
          <w:rFonts w:ascii="Arial" w:hAnsi="Arial" w:cs="Arial"/>
          <w:sz w:val="18"/>
          <w:szCs w:val="18"/>
        </w:rPr>
        <w:t>”</w:t>
      </w:r>
      <w:r>
        <w:rPr>
          <w:rFonts w:cs="Times New Roman" w:hint="eastAsia"/>
          <w:sz w:val="18"/>
          <w:szCs w:val="18"/>
        </w:rPr>
        <w:t>、</w:t>
      </w:r>
      <w:r>
        <w:rPr>
          <w:rFonts w:ascii="Arial" w:hAnsi="Arial" w:cs="Arial"/>
          <w:sz w:val="18"/>
          <w:szCs w:val="18"/>
        </w:rPr>
        <w:t>“</w:t>
      </w:r>
      <w:r>
        <w:rPr>
          <w:rFonts w:cs="Times New Roman" w:hint="eastAsia"/>
          <w:sz w:val="18"/>
          <w:szCs w:val="18"/>
        </w:rPr>
        <w:t>一年内到期的非流动负债</w:t>
      </w:r>
      <w:r>
        <w:rPr>
          <w:rFonts w:ascii="Arial" w:hAnsi="Arial" w:cs="Arial"/>
          <w:sz w:val="18"/>
          <w:szCs w:val="18"/>
        </w:rPr>
        <w:t>”</w:t>
      </w:r>
      <w:r>
        <w:rPr>
          <w:rFonts w:cs="Times New Roman" w:hint="eastAsia"/>
          <w:sz w:val="18"/>
          <w:szCs w:val="18"/>
        </w:rPr>
        <w:t>、</w:t>
      </w:r>
      <w:r>
        <w:rPr>
          <w:rFonts w:ascii="Arial" w:hAnsi="Arial" w:cs="Arial"/>
          <w:sz w:val="18"/>
          <w:szCs w:val="18"/>
        </w:rPr>
        <w:t>“</w:t>
      </w:r>
      <w:r>
        <w:rPr>
          <w:rFonts w:cs="Times New Roman" w:hint="eastAsia"/>
          <w:sz w:val="18"/>
          <w:szCs w:val="18"/>
        </w:rPr>
        <w:t>预计负债</w:t>
      </w:r>
      <w:r>
        <w:rPr>
          <w:rFonts w:ascii="Arial" w:hAnsi="Arial" w:cs="Arial"/>
          <w:sz w:val="18"/>
          <w:szCs w:val="18"/>
        </w:rPr>
        <w:t>”</w:t>
      </w:r>
      <w:r>
        <w:rPr>
          <w:rFonts w:cs="Times New Roman" w:hint="eastAsia"/>
          <w:sz w:val="18"/>
          <w:szCs w:val="18"/>
        </w:rPr>
        <w:t>等项目列示。</w:t>
      </w:r>
    </w:p>
    <w:p w:rsidR="00A95787" w:rsidRDefault="005D3CC1">
      <w:pPr>
        <w:pStyle w:val="a6"/>
        <w:spacing w:before="0" w:beforeAutospacing="0" w:after="0" w:afterAutospacing="0"/>
        <w:ind w:firstLine="360"/>
        <w:jc w:val="both"/>
        <w:rPr>
          <w:rFonts w:ascii="Times New Roman" w:hAnsi="Times New Roman" w:cs="Times New Roman"/>
          <w:sz w:val="21"/>
          <w:szCs w:val="21"/>
        </w:rPr>
      </w:pPr>
      <w:r>
        <w:rPr>
          <w:rFonts w:cs="Times New Roman" w:hint="eastAsia"/>
          <w:sz w:val="18"/>
          <w:szCs w:val="18"/>
        </w:rPr>
        <w:t>本公司自解释第</w:t>
      </w:r>
      <w:r>
        <w:rPr>
          <w:rFonts w:ascii="Arial" w:hAnsi="Arial" w:cs="Arial"/>
          <w:sz w:val="18"/>
          <w:szCs w:val="18"/>
        </w:rPr>
        <w:t>18</w:t>
      </w:r>
      <w:r>
        <w:rPr>
          <w:rFonts w:cs="Times New Roman" w:hint="eastAsia"/>
          <w:sz w:val="18"/>
          <w:szCs w:val="18"/>
        </w:rPr>
        <w:t>号印发之日起执行该规定，并进行追溯调整，执行解释第</w:t>
      </w:r>
      <w:r>
        <w:rPr>
          <w:rFonts w:ascii="Arial" w:hAnsi="Arial" w:cs="Arial"/>
          <w:sz w:val="18"/>
          <w:szCs w:val="18"/>
        </w:rPr>
        <w:t>18</w:t>
      </w:r>
      <w:r>
        <w:rPr>
          <w:rFonts w:cs="Times New Roman" w:hint="eastAsia"/>
          <w:sz w:val="18"/>
          <w:szCs w:val="18"/>
        </w:rPr>
        <w:t>号未对本报告期财务报表产生重大影响。</w:t>
      </w:r>
    </w:p>
    <w:p w:rsidR="00A95787" w:rsidRDefault="005D3CC1">
      <w:pPr>
        <w:keepNext/>
        <w:keepLines/>
        <w:spacing w:before="300" w:after="300"/>
        <w:outlineLvl w:val="3"/>
        <w:rPr>
          <w:rFonts w:ascii="宋体" w:eastAsia="宋体" w:hAnsi="宋体" w:cs="宋体"/>
          <w:b/>
          <w:bCs/>
          <w:sz w:val="18"/>
          <w:szCs w:val="18"/>
        </w:rPr>
      </w:pPr>
      <w:bookmarkStart w:id="208" w:name="_Toc989093"/>
      <w:r>
        <w:rPr>
          <w:rFonts w:ascii="宋体" w:eastAsia="宋体" w:hAnsi="宋体" w:cs="宋体"/>
          <w:b/>
          <w:bCs/>
          <w:sz w:val="18"/>
          <w:szCs w:val="18"/>
        </w:rPr>
        <w:t>（2） 重要会计估计变更</w:t>
      </w:r>
      <w:bookmarkEnd w:id="208"/>
    </w:p>
    <w:p w:rsidR="00A95787" w:rsidRDefault="005D3CC1">
      <w:pPr>
        <w:spacing w:before="100" w:after="10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outlineLvl w:val="3"/>
        <w:rPr>
          <w:rFonts w:ascii="宋体" w:eastAsia="宋体" w:hAnsi="宋体" w:cs="宋体"/>
          <w:b/>
          <w:bCs/>
          <w:sz w:val="18"/>
          <w:szCs w:val="18"/>
        </w:rPr>
      </w:pPr>
      <w:bookmarkStart w:id="209" w:name="_Toc989094"/>
      <w:r>
        <w:rPr>
          <w:rFonts w:ascii="宋体" w:eastAsia="宋体" w:hAnsi="宋体" w:cs="宋体"/>
          <w:b/>
          <w:bCs/>
          <w:sz w:val="18"/>
          <w:szCs w:val="18"/>
        </w:rPr>
        <w:t>（3） 2024年起首次执行新会计准则调整首次执行当年年初财务报表相关项目情况</w:t>
      </w:r>
      <w:bookmarkEnd w:id="209"/>
    </w:p>
    <w:p w:rsidR="00A95787" w:rsidRDefault="005D3CC1">
      <w:pPr>
        <w:spacing w:before="40" w:after="4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210" w:name="_Toc989095"/>
      <w:r>
        <w:rPr>
          <w:rFonts w:ascii="宋体" w:eastAsia="宋体" w:hAnsi="宋体" w:cs="宋体"/>
          <w:b/>
          <w:bCs/>
          <w:sz w:val="24"/>
          <w:szCs w:val="24"/>
        </w:rPr>
        <w:t>六、税项</w:t>
      </w:r>
      <w:bookmarkEnd w:id="210"/>
    </w:p>
    <w:p w:rsidR="00A95787" w:rsidRDefault="005D3CC1">
      <w:pPr>
        <w:pStyle w:val="3"/>
        <w:spacing w:line="280" w:lineRule="exact"/>
        <w:jc w:val="left"/>
        <w:rPr>
          <w:rFonts w:ascii="宋体" w:hAnsi="宋体" w:cs="宋体"/>
          <w:b/>
          <w:bCs/>
        </w:rPr>
      </w:pPr>
      <w:bookmarkStart w:id="211" w:name="_Toc989096"/>
      <w:r>
        <w:rPr>
          <w:rFonts w:ascii="宋体" w:hAnsi="宋体" w:cs="宋体"/>
          <w:b/>
          <w:bCs/>
        </w:rPr>
        <w:t>1、主要税种及税率</w:t>
      </w:r>
      <w:bookmarkEnd w:id="211"/>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计税依据</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税率</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增值税计税销售额</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投资管理业务6%；工业产品销售13%；码头业务6%；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流转税额</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5%、7%</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应纳税所得额</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25%、15%</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流转税额</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5%</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39"/>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纳税主体名称</w:t>
            </w:r>
          </w:p>
        </w:tc>
        <w:tc>
          <w:tcPr>
            <w:tcW w:w="49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所得税税率</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江苏华西村股份有限公司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15%</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江阴华西村资本有限公司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上海鑫华汐实业有限公司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25%</w:t>
            </w:r>
          </w:p>
        </w:tc>
      </w:tr>
    </w:tbl>
    <w:p w:rsidR="00A95787" w:rsidRDefault="005D3CC1">
      <w:pPr>
        <w:pStyle w:val="3"/>
        <w:spacing w:line="280" w:lineRule="exact"/>
        <w:jc w:val="left"/>
        <w:rPr>
          <w:rFonts w:ascii="宋体" w:hAnsi="宋体" w:cs="宋体"/>
          <w:b/>
          <w:bCs/>
        </w:rPr>
      </w:pPr>
      <w:bookmarkStart w:id="212" w:name="_Toc989097"/>
      <w:r>
        <w:rPr>
          <w:rFonts w:ascii="宋体" w:hAnsi="宋体" w:cs="宋体"/>
          <w:b/>
          <w:bCs/>
        </w:rPr>
        <w:t>2、税收优惠</w:t>
      </w:r>
      <w:bookmarkEnd w:id="212"/>
    </w:p>
    <w:p w:rsidR="00A95787" w:rsidRDefault="005D3CC1">
      <w:pPr>
        <w:pStyle w:val="a6"/>
        <w:spacing w:before="0" w:beforeAutospacing="0" w:after="0" w:afterAutospacing="0" w:line="400" w:lineRule="atLeast"/>
        <w:ind w:firstLine="360"/>
        <w:jc w:val="both"/>
        <w:textAlignment w:val="bottom"/>
        <w:rPr>
          <w:rFonts w:ascii="Times New Roman" w:hAnsi="Times New Roman" w:cs="Times New Roman"/>
          <w:sz w:val="21"/>
          <w:szCs w:val="21"/>
        </w:rPr>
      </w:pPr>
      <w:r>
        <w:rPr>
          <w:rFonts w:cs="Times New Roman" w:hint="eastAsia"/>
          <w:sz w:val="18"/>
          <w:szCs w:val="18"/>
        </w:rPr>
        <w:t>根据《中华人民共和国企业所得税法》的规定，对国家需要重点扶持的高新技术企业，减按</w:t>
      </w:r>
      <w:r>
        <w:rPr>
          <w:rFonts w:ascii="Arial" w:hAnsi="Arial" w:cs="Arial"/>
          <w:sz w:val="18"/>
          <w:szCs w:val="18"/>
        </w:rPr>
        <w:t xml:space="preserve"> 15%</w:t>
      </w:r>
      <w:r>
        <w:rPr>
          <w:rFonts w:cs="Times New Roman" w:hint="eastAsia"/>
          <w:sz w:val="18"/>
          <w:szCs w:val="18"/>
        </w:rPr>
        <w:t>的税率征收企业所得税。本公司的子公司江阴华西化工码头有限公司于</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月获得高新技术企业证书，有效期</w:t>
      </w:r>
      <w:r>
        <w:rPr>
          <w:rFonts w:ascii="Arial" w:hAnsi="Arial" w:cs="Arial"/>
          <w:sz w:val="18"/>
          <w:szCs w:val="18"/>
        </w:rPr>
        <w:t>3</w:t>
      </w:r>
      <w:r>
        <w:rPr>
          <w:rFonts w:cs="Times New Roman" w:hint="eastAsia"/>
          <w:sz w:val="18"/>
          <w:szCs w:val="18"/>
        </w:rPr>
        <w:t>年，</w:t>
      </w:r>
      <w:r>
        <w:rPr>
          <w:rFonts w:ascii="Arial" w:hAnsi="Arial" w:cs="Arial"/>
          <w:sz w:val="18"/>
          <w:szCs w:val="18"/>
        </w:rPr>
        <w:t>2024</w:t>
      </w:r>
      <w:r>
        <w:rPr>
          <w:rFonts w:cs="Times New Roman" w:hint="eastAsia"/>
          <w:sz w:val="18"/>
          <w:szCs w:val="18"/>
        </w:rPr>
        <w:t>年度享受高新技术企业减按</w:t>
      </w:r>
      <w:r>
        <w:rPr>
          <w:rFonts w:ascii="Arial" w:hAnsi="Arial" w:cs="Arial"/>
          <w:sz w:val="18"/>
          <w:szCs w:val="18"/>
        </w:rPr>
        <w:t>15%</w:t>
      </w:r>
      <w:r>
        <w:rPr>
          <w:rFonts w:cs="Times New Roman" w:hint="eastAsia"/>
          <w:sz w:val="18"/>
          <w:szCs w:val="18"/>
        </w:rPr>
        <w:t>税率征收企业所得税的税收优惠政策。</w:t>
      </w:r>
    </w:p>
    <w:p w:rsidR="00A95787" w:rsidRDefault="005D3CC1">
      <w:pPr>
        <w:pStyle w:val="2"/>
        <w:spacing w:before="300" w:after="300" w:line="320" w:lineRule="exact"/>
        <w:rPr>
          <w:rFonts w:ascii="宋体" w:eastAsia="宋体" w:hAnsi="宋体" w:cs="宋体"/>
          <w:b/>
          <w:bCs/>
          <w:sz w:val="24"/>
          <w:szCs w:val="24"/>
        </w:rPr>
      </w:pPr>
      <w:bookmarkStart w:id="213" w:name="_Toc989098"/>
      <w:r>
        <w:rPr>
          <w:rFonts w:ascii="宋体" w:eastAsia="宋体" w:hAnsi="宋体" w:cs="宋体"/>
          <w:b/>
          <w:bCs/>
          <w:sz w:val="24"/>
          <w:szCs w:val="24"/>
        </w:rPr>
        <w:lastRenderedPageBreak/>
        <w:t>七、合并财务报表项目注释</w:t>
      </w:r>
      <w:bookmarkEnd w:id="213"/>
    </w:p>
    <w:p w:rsidR="00A95787" w:rsidRDefault="005D3CC1">
      <w:pPr>
        <w:pStyle w:val="3"/>
        <w:spacing w:line="280" w:lineRule="exact"/>
        <w:jc w:val="left"/>
        <w:rPr>
          <w:rFonts w:ascii="宋体" w:hAnsi="宋体" w:cs="宋体"/>
          <w:b/>
          <w:bCs/>
        </w:rPr>
      </w:pPr>
      <w:bookmarkStart w:id="214" w:name="_Toc989099"/>
      <w:r>
        <w:rPr>
          <w:rFonts w:ascii="宋体" w:hAnsi="宋体" w:cs="宋体"/>
          <w:b/>
          <w:bCs/>
        </w:rPr>
        <w:t>1、货币资金</w:t>
      </w:r>
      <w:bookmarkEnd w:id="21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242,616,392.69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427,765,657.20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199,162,522.14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238,571,479.62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存放财务公司款项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441,778,914.83</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666,337,136.82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4F647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bl>
    <w:p w:rsidR="00A95787" w:rsidRDefault="00A95787">
      <w:pPr>
        <w:pStyle w:val="a6"/>
        <w:spacing w:before="120" w:beforeAutospacing="0" w:after="120" w:afterAutospacing="0"/>
        <w:ind w:firstLine="360"/>
        <w:jc w:val="both"/>
        <w:rPr>
          <w:rFonts w:cs="Times New Roman"/>
          <w:sz w:val="18"/>
          <w:szCs w:val="18"/>
        </w:rPr>
      </w:pPr>
    </w:p>
    <w:p w:rsidR="00A95787" w:rsidRDefault="005D3CC1">
      <w:pPr>
        <w:pStyle w:val="a6"/>
        <w:spacing w:before="120" w:beforeAutospacing="0" w:after="120" w:afterAutospacing="0"/>
        <w:ind w:firstLine="360"/>
        <w:jc w:val="both"/>
        <w:rPr>
          <w:rFonts w:ascii="Times New Roman" w:hAnsi="Times New Roman" w:cs="Times New Roman"/>
          <w:sz w:val="21"/>
          <w:szCs w:val="21"/>
        </w:rPr>
      </w:pPr>
      <w:r>
        <w:rPr>
          <w:rFonts w:cs="Times New Roman" w:hint="eastAsia"/>
          <w:sz w:val="18"/>
          <w:szCs w:val="18"/>
        </w:rPr>
        <w:t>其他货币资金明细：</w:t>
      </w:r>
    </w:p>
    <w:tbl>
      <w:tblPr>
        <w:tblW w:w="9668" w:type="dxa"/>
        <w:jc w:val="center"/>
        <w:tblCellMar>
          <w:left w:w="0" w:type="dxa"/>
          <w:right w:w="0" w:type="dxa"/>
        </w:tblCellMar>
        <w:tblLook w:val="04A0" w:firstRow="1" w:lastRow="0" w:firstColumn="1" w:lastColumn="0" w:noHBand="0" w:noVBand="1"/>
      </w:tblPr>
      <w:tblGrid>
        <w:gridCol w:w="4270"/>
        <w:gridCol w:w="2670"/>
        <w:gridCol w:w="2728"/>
      </w:tblGrid>
      <w:tr w:rsidR="00A95787">
        <w:trPr>
          <w:trHeight w:val="360"/>
          <w:tblHeader/>
          <w:jc w:val="center"/>
        </w:trPr>
        <w:tc>
          <w:tcPr>
            <w:tcW w:w="42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26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7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Arial" w:hint="eastAsia"/>
                <w:sz w:val="18"/>
                <w:szCs w:val="18"/>
              </w:rPr>
              <w:t>借款保证金</w:t>
            </w:r>
            <w:r>
              <w:rPr>
                <w:rFonts w:ascii="Arial" w:hAnsi="Arial" w:cs="Arial"/>
                <w:sz w:val="18"/>
                <w:szCs w:val="18"/>
              </w:rPr>
              <w:t> </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66,200,000.00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118,700,000.00</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Arial" w:hint="eastAsia"/>
                <w:sz w:val="18"/>
                <w:szCs w:val="18"/>
              </w:rPr>
              <w:t>国际信用证保证金</w:t>
            </w:r>
            <w:r>
              <w:rPr>
                <w:rFonts w:ascii="Arial" w:hAnsi="Arial" w:cs="Arial"/>
                <w:sz w:val="18"/>
                <w:szCs w:val="18"/>
              </w:rPr>
              <w:t> </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33,016,427.67</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16,885,814.57</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Arial" w:hint="eastAsia"/>
                <w:sz w:val="18"/>
                <w:szCs w:val="18"/>
              </w:rPr>
              <w:t>用于质押的定期存款</w:t>
            </w:r>
            <w:r>
              <w:rPr>
                <w:rFonts w:ascii="Arial" w:hAnsi="Arial" w:cs="Arial"/>
                <w:sz w:val="18"/>
                <w:szCs w:val="18"/>
              </w:rPr>
              <w:t> </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30,000,000.00 </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20,000,000.00</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69,831,458.20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82,865,331.72</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存款应计利息</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114,636.27 </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120,333.33</w:t>
            </w:r>
          </w:p>
        </w:tc>
      </w:tr>
      <w:tr w:rsidR="00A95787">
        <w:trPr>
          <w:trHeight w:val="360"/>
          <w:jc w:val="center"/>
        </w:trPr>
        <w:tc>
          <w:tcPr>
            <w:tcW w:w="4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Pr>
                <w:rFonts w:ascii="Arial" w:hAnsi="Arial" w:cs="Arial"/>
                <w:sz w:val="18"/>
                <w:szCs w:val="18"/>
              </w:rPr>
              <w:t xml:space="preserve">    </w:t>
            </w:r>
            <w:r>
              <w:rPr>
                <w:rFonts w:cs="Times New Roman" w:hint="eastAsia"/>
                <w:sz w:val="18"/>
                <w:szCs w:val="18"/>
              </w:rPr>
              <w:t>计</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199,162,522.14 </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238,571,479.62</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注：期末因抵押、质押或冻结等对使用有限制的款项合计</w:t>
      </w:r>
      <w:r>
        <w:rPr>
          <w:rFonts w:ascii="Arial" w:hAnsi="Arial" w:cs="Arial"/>
          <w:sz w:val="18"/>
          <w:szCs w:val="18"/>
        </w:rPr>
        <w:t>129,331,063.94</w:t>
      </w:r>
      <w:r>
        <w:rPr>
          <w:rFonts w:cs="Times New Roman" w:hint="eastAsia"/>
          <w:sz w:val="18"/>
          <w:szCs w:val="18"/>
        </w:rPr>
        <w:t>元，其中借款保证金</w:t>
      </w:r>
      <w:r>
        <w:rPr>
          <w:rFonts w:ascii="Arial" w:hAnsi="Arial" w:cs="Arial"/>
          <w:sz w:val="18"/>
          <w:szCs w:val="18"/>
        </w:rPr>
        <w:t>66,200,000.00</w:t>
      </w:r>
      <w:r>
        <w:rPr>
          <w:rFonts w:cs="Times New Roman" w:hint="eastAsia"/>
          <w:sz w:val="18"/>
          <w:szCs w:val="18"/>
        </w:rPr>
        <w:t>元，国际信用证保证金</w:t>
      </w:r>
      <w:r>
        <w:rPr>
          <w:rFonts w:ascii="Arial" w:hAnsi="Arial" w:cs="Arial"/>
          <w:sz w:val="18"/>
          <w:szCs w:val="18"/>
        </w:rPr>
        <w:t>33,016,427.67</w:t>
      </w:r>
      <w:r>
        <w:rPr>
          <w:rFonts w:cs="Times New Roman" w:hint="eastAsia"/>
          <w:sz w:val="18"/>
          <w:szCs w:val="18"/>
        </w:rPr>
        <w:t>元，用于质押的定期存款</w:t>
      </w:r>
      <w:r>
        <w:rPr>
          <w:rFonts w:ascii="Arial" w:hAnsi="Arial" w:cs="Arial"/>
          <w:sz w:val="18"/>
          <w:szCs w:val="18"/>
        </w:rPr>
        <w:t>30,000,000.00</w:t>
      </w:r>
      <w:r>
        <w:rPr>
          <w:rFonts w:cs="Times New Roman" w:hint="eastAsia"/>
          <w:sz w:val="18"/>
          <w:szCs w:val="18"/>
        </w:rPr>
        <w:t>元，定期存款利息</w:t>
      </w:r>
      <w:r>
        <w:rPr>
          <w:rFonts w:ascii="Arial" w:hAnsi="Arial" w:cs="Arial"/>
          <w:sz w:val="18"/>
          <w:szCs w:val="18"/>
        </w:rPr>
        <w:t>114,636.27</w:t>
      </w:r>
      <w:r>
        <w:rPr>
          <w:rFonts w:cs="Times New Roman" w:hint="eastAsia"/>
          <w:sz w:val="18"/>
          <w:szCs w:val="18"/>
        </w:rPr>
        <w:t>元，无存放境外且资金汇回受到限制的款项。</w:t>
      </w:r>
    </w:p>
    <w:p w:rsidR="00A95787" w:rsidRDefault="005D3CC1">
      <w:pPr>
        <w:pStyle w:val="3"/>
        <w:spacing w:line="280" w:lineRule="exact"/>
        <w:jc w:val="left"/>
        <w:rPr>
          <w:rFonts w:ascii="宋体" w:hAnsi="宋体" w:cs="宋体"/>
          <w:b/>
          <w:bCs/>
        </w:rPr>
      </w:pPr>
      <w:bookmarkStart w:id="215" w:name="_Toc989100"/>
      <w:r>
        <w:rPr>
          <w:rFonts w:ascii="宋体" w:hAnsi="宋体" w:cs="宋体"/>
          <w:b/>
          <w:bCs/>
        </w:rPr>
        <w:t>2、交易性金融资产</w:t>
      </w:r>
      <w:bookmarkEnd w:id="21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237,252,629.51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309,897,476.06</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225,152,000.00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306,943,207.20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26,215.00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12,074,414.51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2,954,268.86</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237,252,629.51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309,897,476.06</w:t>
            </w:r>
          </w:p>
        </w:tc>
      </w:tr>
    </w:tbl>
    <w:p w:rsidR="00A95787" w:rsidRDefault="005D3CC1">
      <w:pPr>
        <w:pStyle w:val="3"/>
        <w:spacing w:line="280" w:lineRule="exact"/>
        <w:jc w:val="left"/>
        <w:rPr>
          <w:rFonts w:ascii="宋体" w:hAnsi="宋体" w:cs="宋体"/>
          <w:b/>
          <w:bCs/>
        </w:rPr>
      </w:pPr>
      <w:bookmarkStart w:id="216" w:name="_Toc989101"/>
      <w:r>
        <w:rPr>
          <w:rFonts w:ascii="宋体" w:hAnsi="宋体" w:cs="宋体"/>
          <w:b/>
          <w:bCs/>
        </w:rPr>
        <w:lastRenderedPageBreak/>
        <w:t>3、应收票据</w:t>
      </w:r>
      <w:bookmarkEnd w:id="216"/>
    </w:p>
    <w:p w:rsidR="00A95787" w:rsidRDefault="005D3CC1">
      <w:pPr>
        <w:keepNext/>
        <w:keepLines/>
        <w:spacing w:before="300" w:after="300" w:line="280" w:lineRule="exact"/>
        <w:outlineLvl w:val="3"/>
        <w:rPr>
          <w:rFonts w:ascii="宋体" w:eastAsia="宋体" w:hAnsi="宋体" w:cs="宋体"/>
          <w:b/>
          <w:bCs/>
          <w:szCs w:val="21"/>
        </w:rPr>
      </w:pPr>
      <w:bookmarkStart w:id="217" w:name="_Toc989102"/>
      <w:r>
        <w:rPr>
          <w:rFonts w:ascii="宋体" w:eastAsia="宋体" w:hAnsi="宋体" w:cs="宋体"/>
          <w:b/>
          <w:bCs/>
          <w:szCs w:val="21"/>
        </w:rPr>
        <w:t>（1） 应收票据分类列示</w:t>
      </w:r>
      <w:bookmarkEnd w:id="21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41"/>
        <w:gridCol w:w="3213"/>
        <w:gridCol w:w="3321"/>
      </w:tblGrid>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119,568,708.24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51,216,616.87</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119,568,708.24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51,216,616.87</w:t>
            </w:r>
          </w:p>
        </w:tc>
      </w:tr>
    </w:tbl>
    <w:p w:rsidR="00A95787" w:rsidRDefault="005D3CC1">
      <w:pPr>
        <w:pStyle w:val="a6"/>
        <w:spacing w:before="0" w:beforeAutospacing="0" w:after="0" w:afterAutospacing="0" w:line="400" w:lineRule="atLeast"/>
        <w:ind w:firstLine="360"/>
        <w:jc w:val="both"/>
        <w:rPr>
          <w:rFonts w:cs="Times New Roman"/>
          <w:sz w:val="18"/>
          <w:szCs w:val="18"/>
        </w:rPr>
      </w:pPr>
      <w:bookmarkStart w:id="218" w:name="_Toc989103"/>
      <w:r>
        <w:rPr>
          <w:rFonts w:cs="Times New Roman" w:hint="eastAsia"/>
          <w:sz w:val="18"/>
          <w:szCs w:val="18"/>
        </w:rPr>
        <w:t>注：本公司无单项计提减值准备的银行承兑汇票。本期末，本公司认为所持有的银行承兑汇票不存在重大信用风险，不会因银行违约而产生重大损失。</w:t>
      </w:r>
    </w:p>
    <w:p w:rsidR="00A95787" w:rsidRDefault="005D3CC1">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期末公司已质押的应收票据</w:t>
      </w:r>
      <w:bookmarkEnd w:id="21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48"/>
        <w:gridCol w:w="4927"/>
      </w:tblGrid>
      <w:tr w:rsidR="00A95787">
        <w:trPr>
          <w:trHeight w:val="240"/>
        </w:trPr>
        <w:tc>
          <w:tcPr>
            <w:tcW w:w="47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92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A95787">
        <w:trPr>
          <w:trHeight w:val="240"/>
        </w:trPr>
        <w:tc>
          <w:tcPr>
            <w:tcW w:w="47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银行承兑票据</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14,195,101.20</w:t>
            </w:r>
          </w:p>
        </w:tc>
      </w:tr>
      <w:tr w:rsidR="00A95787">
        <w:trPr>
          <w:trHeight w:val="240"/>
        </w:trPr>
        <w:tc>
          <w:tcPr>
            <w:tcW w:w="47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商业承兑票据</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47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49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14,195,101.20</w:t>
            </w:r>
          </w:p>
        </w:tc>
      </w:tr>
    </w:tbl>
    <w:p w:rsidR="00A95787" w:rsidRDefault="005D3CC1">
      <w:pPr>
        <w:keepNext/>
        <w:keepLines/>
        <w:spacing w:before="300" w:after="300" w:line="280" w:lineRule="exact"/>
        <w:outlineLvl w:val="3"/>
        <w:rPr>
          <w:rFonts w:ascii="宋体" w:eastAsia="宋体" w:hAnsi="宋体" w:cs="宋体"/>
          <w:b/>
          <w:bCs/>
          <w:szCs w:val="21"/>
        </w:rPr>
      </w:pPr>
      <w:bookmarkStart w:id="219" w:name="_Toc989104"/>
      <w:r>
        <w:rPr>
          <w:rFonts w:ascii="宋体" w:eastAsia="宋体" w:hAnsi="宋体" w:cs="宋体"/>
          <w:b/>
          <w:bCs/>
          <w:szCs w:val="21"/>
        </w:rPr>
        <w:t>（3） 期末公司已背书或贴现且在资产负债表日尚未到期的应收票据</w:t>
      </w:r>
      <w:bookmarkEnd w:id="21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41"/>
        <w:gridCol w:w="3213"/>
        <w:gridCol w:w="3308"/>
      </w:tblGrid>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66,063,775.94</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66,063,775.94</w:t>
            </w:r>
          </w:p>
        </w:tc>
      </w:tr>
    </w:tbl>
    <w:p w:rsidR="00A95787" w:rsidRDefault="005D3CC1">
      <w:pPr>
        <w:spacing w:line="400" w:lineRule="exact"/>
        <w:ind w:firstLineChars="200" w:firstLine="360"/>
        <w:rPr>
          <w:rFonts w:ascii="宋体" w:eastAsia="宋体" w:hAnsi="宋体" w:cs="Arial"/>
          <w:sz w:val="18"/>
          <w:szCs w:val="18"/>
        </w:rPr>
      </w:pPr>
      <w:bookmarkStart w:id="220" w:name="_Toc989105"/>
      <w:r>
        <w:rPr>
          <w:rFonts w:ascii="宋体" w:eastAsia="宋体" w:hAnsi="宋体" w:cs="Arial"/>
          <w:sz w:val="18"/>
          <w:szCs w:val="18"/>
        </w:rPr>
        <w:t>注：本公司用于背书或贴现的银行承兑汇票如由信用等级较高银行承兑，信用风险和延期付款风险很小，并且票据相关的利率风险已转移给银行，可以判断票据所有权上的主要风险和报酬已经转移，故终止确认；本公司用于背书或贴现的银行承兑汇票如由信用级别一般的银行承兑，背书或贴现不影响追索权，票据相关的信用风险和延期付款风险仍没有转移，故未终止确认。</w:t>
      </w:r>
    </w:p>
    <w:p w:rsidR="00A95787" w:rsidRDefault="005D3CC1">
      <w:pPr>
        <w:pStyle w:val="3"/>
        <w:spacing w:line="280" w:lineRule="exact"/>
        <w:jc w:val="left"/>
        <w:rPr>
          <w:rFonts w:ascii="宋体" w:hAnsi="宋体" w:cs="宋体"/>
          <w:b/>
          <w:bCs/>
        </w:rPr>
      </w:pPr>
      <w:bookmarkStart w:id="221" w:name="_Toc989106"/>
      <w:bookmarkEnd w:id="220"/>
      <w:r>
        <w:rPr>
          <w:rFonts w:ascii="宋体" w:hAnsi="宋体" w:cs="宋体"/>
          <w:b/>
          <w:bCs/>
        </w:rPr>
        <w:t>4、应收账款</w:t>
      </w:r>
      <w:bookmarkEnd w:id="221"/>
    </w:p>
    <w:p w:rsidR="00A95787" w:rsidRDefault="005D3CC1">
      <w:pPr>
        <w:keepNext/>
        <w:keepLines/>
        <w:spacing w:before="300" w:after="300" w:line="280" w:lineRule="exact"/>
        <w:outlineLvl w:val="3"/>
        <w:rPr>
          <w:rFonts w:ascii="宋体" w:eastAsia="宋体" w:hAnsi="宋体" w:cs="宋体"/>
          <w:b/>
          <w:bCs/>
          <w:szCs w:val="21"/>
        </w:rPr>
      </w:pPr>
      <w:bookmarkStart w:id="222" w:name="_Toc989107"/>
      <w:r>
        <w:rPr>
          <w:rFonts w:ascii="宋体" w:eastAsia="宋体" w:hAnsi="宋体" w:cs="宋体"/>
          <w:b/>
          <w:bCs/>
          <w:szCs w:val="21"/>
        </w:rPr>
        <w:t>（1） 按账龄披露</w:t>
      </w:r>
      <w:bookmarkEnd w:id="222"/>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08"/>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118,836,835.61</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110,757,427.32</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118,836,835.61</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110,757,427.32</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lastRenderedPageBreak/>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15,007,759.64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5,017,334.06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2,538,245.84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4,787.58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1,389,931.26</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5,927,926.11</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89.98</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1,539.91</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10,302.78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1,389,841.28</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5,916,083.42</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137,772,772.35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121,707,475.07</w:t>
            </w:r>
          </w:p>
        </w:tc>
      </w:tr>
    </w:tbl>
    <w:p w:rsidR="00A95787" w:rsidRDefault="005D3CC1">
      <w:pPr>
        <w:keepNext/>
        <w:keepLines/>
        <w:spacing w:before="300" w:after="300" w:line="280" w:lineRule="exact"/>
        <w:outlineLvl w:val="3"/>
        <w:rPr>
          <w:rFonts w:ascii="宋体" w:eastAsia="宋体" w:hAnsi="宋体" w:cs="宋体"/>
          <w:b/>
          <w:bCs/>
          <w:szCs w:val="21"/>
        </w:rPr>
      </w:pPr>
      <w:bookmarkStart w:id="223" w:name="_Toc989108"/>
      <w:r>
        <w:rPr>
          <w:rFonts w:ascii="宋体" w:eastAsia="宋体" w:hAnsi="宋体" w:cs="宋体"/>
          <w:b/>
          <w:bCs/>
          <w:szCs w:val="21"/>
        </w:rPr>
        <w:t>（2） 按坏账计提方法分类披露</w:t>
      </w:r>
      <w:bookmarkEnd w:id="22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8"/>
        <w:gridCol w:w="1009"/>
        <w:gridCol w:w="938"/>
        <w:gridCol w:w="950"/>
        <w:gridCol w:w="750"/>
        <w:gridCol w:w="937"/>
        <w:gridCol w:w="938"/>
        <w:gridCol w:w="787"/>
        <w:gridCol w:w="888"/>
        <w:gridCol w:w="750"/>
        <w:gridCol w:w="925"/>
      </w:tblGrid>
      <w:tr w:rsidR="00A95787">
        <w:trPr>
          <w:trHeight w:val="240"/>
        </w:trPr>
        <w:tc>
          <w:tcPr>
            <w:tcW w:w="77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58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88"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77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4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0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9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9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77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9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9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10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10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10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128,178,794.58</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10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10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128,178,794.58</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6.96%</w:t>
            </w:r>
          </w:p>
        </w:tc>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128,178,794.58</w:t>
            </w:r>
          </w:p>
        </w:tc>
        <w:tc>
          <w:tcPr>
            <w:tcW w:w="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7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按组合计提坏账准备：9,593,977.77元</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25"/>
        <w:gridCol w:w="2410"/>
        <w:gridCol w:w="2410"/>
        <w:gridCol w:w="2505"/>
      </w:tblGrid>
      <w:tr w:rsidR="00A95787">
        <w:trPr>
          <w:trHeight w:val="240"/>
        </w:trPr>
        <w:tc>
          <w:tcPr>
            <w:tcW w:w="23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32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3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6.96%</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137,772,772.35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9,593,977.77</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Cs w:val="21"/>
        </w:rPr>
      </w:pPr>
      <w:bookmarkStart w:id="224" w:name="_Toc989109"/>
      <w:r>
        <w:rPr>
          <w:rFonts w:ascii="宋体" w:eastAsia="宋体" w:hAnsi="宋体" w:cs="宋体"/>
          <w:b/>
          <w:bCs/>
          <w:szCs w:val="21"/>
        </w:rPr>
        <w:lastRenderedPageBreak/>
        <w:t>（3） 本期计提、收回或转回的坏账准备情况</w:t>
      </w:r>
      <w:bookmarkEnd w:id="22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545"/>
        <w:gridCol w:w="1325"/>
        <w:gridCol w:w="1261"/>
        <w:gridCol w:w="1377"/>
        <w:gridCol w:w="1377"/>
        <w:gridCol w:w="1497"/>
      </w:tblGrid>
      <w:tr w:rsidR="00A95787">
        <w:trPr>
          <w:trHeight w:val="240"/>
        </w:trPr>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类别</w:t>
            </w:r>
          </w:p>
        </w:tc>
        <w:tc>
          <w:tcPr>
            <w:tcW w:w="154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期初余额</w:t>
            </w:r>
          </w:p>
        </w:tc>
        <w:tc>
          <w:tcPr>
            <w:tcW w:w="534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54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计提</w:t>
            </w:r>
          </w:p>
        </w:tc>
        <w:tc>
          <w:tcPr>
            <w:tcW w:w="126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其他</w:t>
            </w:r>
          </w:p>
        </w:tc>
        <w:tc>
          <w:tcPr>
            <w:tcW w:w="149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坏账准备</w:t>
            </w:r>
          </w:p>
        </w:tc>
        <w:tc>
          <w:tcPr>
            <w:tcW w:w="15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11,966,136.65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2,184,469.73</w:t>
            </w:r>
          </w:p>
        </w:tc>
        <w:tc>
          <w:tcPr>
            <w:tcW w:w="12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4,556,628.61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9,593,977.77</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合计</w:t>
            </w:r>
          </w:p>
        </w:tc>
        <w:tc>
          <w:tcPr>
            <w:tcW w:w="15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11,966,136.65</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2,184,469.73</w:t>
            </w:r>
          </w:p>
        </w:tc>
        <w:tc>
          <w:tcPr>
            <w:tcW w:w="12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4,556,628.61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9,593,977.77</w:t>
            </w:r>
          </w:p>
        </w:tc>
      </w:tr>
    </w:tbl>
    <w:p w:rsidR="00A95787" w:rsidRDefault="005D3CC1">
      <w:pPr>
        <w:keepNext/>
        <w:keepLines/>
        <w:spacing w:before="300" w:after="300" w:line="280" w:lineRule="exact"/>
        <w:outlineLvl w:val="3"/>
        <w:rPr>
          <w:rFonts w:ascii="宋体" w:eastAsia="宋体" w:hAnsi="宋体" w:cs="宋体"/>
          <w:b/>
          <w:bCs/>
          <w:szCs w:val="21"/>
        </w:rPr>
      </w:pPr>
      <w:bookmarkStart w:id="225" w:name="_Toc989110"/>
      <w:r>
        <w:rPr>
          <w:rFonts w:ascii="宋体" w:eastAsia="宋体" w:hAnsi="宋体" w:cs="宋体"/>
          <w:b/>
          <w:bCs/>
          <w:szCs w:val="21"/>
        </w:rPr>
        <w:t>（4） 本期实际核销的应收账款情况</w:t>
      </w:r>
      <w:bookmarkEnd w:id="22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23"/>
        <w:gridCol w:w="4939"/>
      </w:tblGrid>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9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核销金额</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实际核销的应收账款</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4,556,628.61</w:t>
            </w:r>
          </w:p>
        </w:tc>
      </w:tr>
    </w:tbl>
    <w:p w:rsidR="00A95787" w:rsidRDefault="005D3CC1">
      <w:pPr>
        <w:keepNext/>
        <w:keepLines/>
        <w:spacing w:before="300" w:after="300" w:line="280" w:lineRule="exact"/>
        <w:outlineLvl w:val="3"/>
        <w:rPr>
          <w:rFonts w:ascii="宋体" w:eastAsia="宋体" w:hAnsi="宋体" w:cs="宋体"/>
          <w:b/>
          <w:bCs/>
          <w:szCs w:val="21"/>
        </w:rPr>
      </w:pPr>
      <w:bookmarkStart w:id="226" w:name="_Toc989111"/>
      <w:r>
        <w:rPr>
          <w:rFonts w:ascii="宋体" w:eastAsia="宋体" w:hAnsi="宋体" w:cs="宋体"/>
          <w:b/>
          <w:bCs/>
          <w:szCs w:val="21"/>
        </w:rPr>
        <w:t>（5） 按欠款方归集的期末余额前五名的应收账款和合同资产情况</w:t>
      </w:r>
      <w:bookmarkEnd w:id="22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09"/>
        <w:gridCol w:w="1606"/>
        <w:gridCol w:w="1606"/>
        <w:gridCol w:w="1607"/>
        <w:gridCol w:w="1607"/>
        <w:gridCol w:w="1727"/>
      </w:tblGrid>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72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19,578,237.67</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19,578,237.67</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14.21%</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978,911.88</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18,481,788.06</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13.41%</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2,101,232.26</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17,113,423.88</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17,113,423.88</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12.42%</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855,671.19</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15,156,128.95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15,156,128.95</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11.00%</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757,806.45</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12,221,757.22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12,221,757.22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8.87%</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611,087.86</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82,551,335.78</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6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82,551,335.78</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59.91%</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5,304,709.64</w:t>
            </w:r>
          </w:p>
        </w:tc>
      </w:tr>
    </w:tbl>
    <w:p w:rsidR="00A95787" w:rsidRDefault="005D3CC1">
      <w:pPr>
        <w:pStyle w:val="3"/>
        <w:spacing w:line="280" w:lineRule="exact"/>
        <w:jc w:val="left"/>
        <w:rPr>
          <w:rFonts w:ascii="宋体" w:hAnsi="宋体" w:cs="宋体"/>
          <w:b/>
          <w:bCs/>
        </w:rPr>
      </w:pPr>
      <w:bookmarkStart w:id="227" w:name="_Toc989112"/>
      <w:r>
        <w:rPr>
          <w:rFonts w:ascii="宋体" w:hAnsi="宋体" w:cs="宋体"/>
          <w:b/>
          <w:bCs/>
        </w:rPr>
        <w:t>5、应收款项融资</w:t>
      </w:r>
      <w:bookmarkEnd w:id="227"/>
    </w:p>
    <w:p w:rsidR="00A95787" w:rsidRDefault="005D3CC1">
      <w:pPr>
        <w:keepNext/>
        <w:keepLines/>
        <w:spacing w:before="300" w:after="300" w:line="280" w:lineRule="exact"/>
        <w:outlineLvl w:val="3"/>
        <w:rPr>
          <w:rFonts w:ascii="宋体" w:eastAsia="宋体" w:hAnsi="宋体" w:cs="宋体"/>
          <w:b/>
          <w:bCs/>
          <w:szCs w:val="21"/>
        </w:rPr>
      </w:pPr>
      <w:bookmarkStart w:id="228" w:name="_Toc989113"/>
      <w:r>
        <w:rPr>
          <w:rFonts w:ascii="宋体" w:eastAsia="宋体" w:hAnsi="宋体" w:cs="宋体"/>
          <w:b/>
          <w:bCs/>
          <w:szCs w:val="21"/>
        </w:rPr>
        <w:t>（1） 应收款项融资分类列示</w:t>
      </w:r>
      <w:bookmarkEnd w:id="22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33"/>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200,883,796.09</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141,899,872.44</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200,883,796.09</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141,899,872.44</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bookmarkStart w:id="229" w:name="_Toc989114"/>
      <w:r>
        <w:rPr>
          <w:rFonts w:cs="Times New Roman" w:hint="eastAsia"/>
          <w:sz w:val="18"/>
          <w:szCs w:val="18"/>
        </w:rPr>
        <w:t>注：本公司及所属部分子公司视其日常资金管理的需要将一部分银行承兑汇票进行贴现和背书，故将该部分银行承兑汇票分类为以公允价值计量且其变动计入其他综合收益的金融资产。</w:t>
      </w:r>
    </w:p>
    <w:p w:rsidR="00A95787" w:rsidRDefault="005D3CC1">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期末公司已质押的应收款项融资</w:t>
      </w:r>
      <w:bookmarkEnd w:id="22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23"/>
        <w:gridCol w:w="4939"/>
      </w:tblGrid>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9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应收票据</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92,016,699.57</w:t>
            </w:r>
          </w:p>
        </w:tc>
      </w:tr>
      <w:tr w:rsidR="00A95787">
        <w:trPr>
          <w:trHeight w:val="240"/>
        </w:trPr>
        <w:tc>
          <w:tcPr>
            <w:tcW w:w="47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92,016,699.57</w:t>
            </w:r>
          </w:p>
        </w:tc>
      </w:tr>
    </w:tbl>
    <w:p w:rsidR="00A95787" w:rsidRDefault="005D3CC1">
      <w:pPr>
        <w:keepNext/>
        <w:keepLines/>
        <w:spacing w:before="300" w:after="300" w:line="280" w:lineRule="exact"/>
        <w:outlineLvl w:val="3"/>
        <w:rPr>
          <w:rFonts w:ascii="宋体" w:eastAsia="宋体" w:hAnsi="宋体" w:cs="宋体"/>
          <w:b/>
          <w:bCs/>
          <w:szCs w:val="21"/>
        </w:rPr>
      </w:pPr>
      <w:bookmarkStart w:id="230" w:name="_Toc989115"/>
      <w:r>
        <w:rPr>
          <w:rFonts w:ascii="宋体" w:eastAsia="宋体" w:hAnsi="宋体" w:cs="宋体"/>
          <w:b/>
          <w:bCs/>
          <w:szCs w:val="21"/>
        </w:rPr>
        <w:lastRenderedPageBreak/>
        <w:t>（3） 期末公司已背书或贴现且在资产负债表日尚未到期的应收款项融资</w:t>
      </w:r>
      <w:bookmarkEnd w:id="23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20,355,754.79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20,355,754.79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pStyle w:val="3"/>
        <w:spacing w:line="280" w:lineRule="exact"/>
        <w:jc w:val="left"/>
        <w:rPr>
          <w:rFonts w:ascii="宋体" w:hAnsi="宋体" w:cs="宋体"/>
          <w:b/>
          <w:bCs/>
        </w:rPr>
      </w:pPr>
      <w:bookmarkStart w:id="231" w:name="_Toc989117"/>
      <w:r>
        <w:rPr>
          <w:rFonts w:ascii="宋体" w:hAnsi="宋体" w:cs="宋体"/>
          <w:b/>
          <w:bCs/>
        </w:rPr>
        <w:t>6、其他应收款</w:t>
      </w:r>
      <w:bookmarkEnd w:id="23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1,300,752.20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1,423,307.95</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1,300,752.20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1,423,307.95</w:t>
            </w:r>
          </w:p>
        </w:tc>
      </w:tr>
    </w:tbl>
    <w:p w:rsidR="00A95787" w:rsidRDefault="005D3CC1">
      <w:pPr>
        <w:keepNext/>
        <w:keepLines/>
        <w:spacing w:before="300" w:after="300" w:line="280" w:lineRule="exact"/>
        <w:outlineLvl w:val="3"/>
        <w:rPr>
          <w:rFonts w:ascii="宋体" w:eastAsia="宋体" w:hAnsi="宋体" w:cs="宋体"/>
          <w:b/>
          <w:bCs/>
          <w:szCs w:val="21"/>
        </w:rPr>
      </w:pPr>
      <w:bookmarkStart w:id="232" w:name="_Toc989118"/>
      <w:r>
        <w:rPr>
          <w:rFonts w:ascii="宋体" w:eastAsia="宋体" w:hAnsi="宋体" w:cs="宋体"/>
          <w:b/>
          <w:bCs/>
          <w:szCs w:val="21"/>
        </w:rPr>
        <w:t>（1） 其他应收款</w:t>
      </w:r>
      <w:bookmarkEnd w:id="232"/>
    </w:p>
    <w:p w:rsidR="00A95787" w:rsidRDefault="005D3CC1">
      <w:pPr>
        <w:keepNext/>
        <w:keepLines/>
        <w:spacing w:before="300" w:after="300" w:line="280" w:lineRule="exact"/>
        <w:outlineLvl w:val="4"/>
        <w:rPr>
          <w:rFonts w:ascii="宋体" w:eastAsia="宋体" w:hAnsi="宋体" w:cs="宋体"/>
          <w:b/>
          <w:bCs/>
          <w:szCs w:val="21"/>
        </w:rPr>
      </w:pPr>
      <w:bookmarkStart w:id="233" w:name="_Toc989119"/>
      <w:r>
        <w:rPr>
          <w:rFonts w:ascii="宋体" w:eastAsia="宋体" w:hAnsi="宋体" w:cs="宋体"/>
          <w:b/>
          <w:bCs/>
          <w:szCs w:val="21"/>
        </w:rPr>
        <w:t>1） 其他应收款按款项性质分类情况</w:t>
      </w:r>
      <w:bookmarkEnd w:id="23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1,767,504.52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2,067,504.52</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65,000.00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547,222.84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362,532.48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7,079,849.90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36,838,307.06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9,441,577.26</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39,333,344.06</w:t>
            </w:r>
          </w:p>
        </w:tc>
      </w:tr>
    </w:tbl>
    <w:p w:rsidR="00A95787" w:rsidRDefault="005D3CC1">
      <w:pPr>
        <w:keepNext/>
        <w:keepLines/>
        <w:spacing w:before="300" w:after="300" w:line="280" w:lineRule="exact"/>
        <w:outlineLvl w:val="4"/>
        <w:rPr>
          <w:rFonts w:ascii="宋体" w:eastAsia="宋体" w:hAnsi="宋体" w:cs="宋体"/>
          <w:b/>
          <w:bCs/>
          <w:szCs w:val="21"/>
        </w:rPr>
      </w:pPr>
      <w:bookmarkStart w:id="234" w:name="_Toc989120"/>
      <w:r>
        <w:rPr>
          <w:rFonts w:ascii="宋体" w:eastAsia="宋体" w:hAnsi="宋体" w:cs="宋体"/>
          <w:b/>
          <w:bCs/>
          <w:szCs w:val="21"/>
        </w:rPr>
        <w:t>2） 按账龄披露</w:t>
      </w:r>
      <w:bookmarkEnd w:id="234"/>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期末账面余额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674,222.84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967,178.84</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674,222.84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967,178.84</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353.64</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8,167,354.42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38,305,811.58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900,000.00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35,521,036.70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7,567,354.42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1,884,774.88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9,441,577.26</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39,333,344.06</w:t>
            </w:r>
          </w:p>
        </w:tc>
      </w:tr>
    </w:tbl>
    <w:p w:rsidR="00A95787" w:rsidRDefault="005D3CC1">
      <w:pPr>
        <w:keepNext/>
        <w:keepLines/>
        <w:spacing w:before="300" w:after="300" w:line="280" w:lineRule="exact"/>
        <w:outlineLvl w:val="4"/>
        <w:rPr>
          <w:rFonts w:ascii="宋体" w:eastAsia="宋体" w:hAnsi="宋体" w:cs="宋体"/>
          <w:b/>
          <w:bCs/>
          <w:szCs w:val="21"/>
        </w:rPr>
      </w:pPr>
      <w:bookmarkStart w:id="235" w:name="_Toc989121"/>
      <w:r>
        <w:rPr>
          <w:rFonts w:ascii="宋体" w:eastAsia="宋体" w:hAnsi="宋体" w:cs="宋体"/>
          <w:b/>
          <w:bCs/>
          <w:szCs w:val="21"/>
        </w:rPr>
        <w:lastRenderedPageBreak/>
        <w:t>3） 按坏账计提方法分类披露</w:t>
      </w:r>
      <w:bookmarkEnd w:id="235"/>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8"/>
        <w:gridCol w:w="876"/>
        <w:gridCol w:w="877"/>
        <w:gridCol w:w="876"/>
        <w:gridCol w:w="877"/>
        <w:gridCol w:w="928"/>
        <w:gridCol w:w="950"/>
        <w:gridCol w:w="775"/>
        <w:gridCol w:w="950"/>
        <w:gridCol w:w="900"/>
        <w:gridCol w:w="863"/>
      </w:tblGrid>
      <w:tr w:rsidR="00A95787">
        <w:trPr>
          <w:trHeight w:val="240"/>
        </w:trPr>
        <w:tc>
          <w:tcPr>
            <w:tcW w:w="77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43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38"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77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8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77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74.14%</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90.31%</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25.86%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1,300,752.20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3,812,307.36</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9.69%</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62.67%</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1,423,307.95</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25.86%</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46.73%</w:t>
            </w:r>
          </w:p>
        </w:tc>
        <w:tc>
          <w:tcPr>
            <w:tcW w:w="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1,300,752.20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3,807,497.36</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9.68%</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62.74%</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1,418,497.95</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其他组合</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4,810.00</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4,810.00</w:t>
            </w:r>
          </w:p>
        </w:tc>
      </w:tr>
      <w:tr w:rsidR="00A95787">
        <w:trPr>
          <w:trHeight w:val="240"/>
        </w:trPr>
        <w:tc>
          <w:tcPr>
            <w:tcW w:w="77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9,441,577.26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8,140,825.06</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86.22%</w:t>
            </w:r>
          </w:p>
        </w:tc>
        <w:tc>
          <w:tcPr>
            <w:tcW w:w="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1,300,752.20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39,333,344.06</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96.38%</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1,423,307.95</w:t>
            </w:r>
          </w:p>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按单项计提坏账准备：6,999,849.90元</w:t>
      </w:r>
      <w:r w:rsidR="00B01AE1">
        <w:rPr>
          <w:rFonts w:ascii="宋体" w:eastAsia="宋体" w:hAnsi="宋体" w:cs="宋体"/>
          <w:sz w:val="18"/>
          <w:szCs w:val="18"/>
        </w:rPr>
        <w:t>。</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3"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93"/>
        <w:gridCol w:w="1377"/>
        <w:gridCol w:w="1377"/>
        <w:gridCol w:w="1377"/>
        <w:gridCol w:w="1377"/>
        <w:gridCol w:w="1377"/>
        <w:gridCol w:w="1485"/>
      </w:tblGrid>
      <w:tr w:rsidR="00A95787">
        <w:trPr>
          <w:trHeight w:val="240"/>
        </w:trPr>
        <w:tc>
          <w:tcPr>
            <w:tcW w:w="12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61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8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A95787">
        <w:trPr>
          <w:trHeight w:val="240"/>
        </w:trPr>
        <w:tc>
          <w:tcPr>
            <w:tcW w:w="12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按组合计提坏账准备：1,140,975.16元</w:t>
      </w:r>
      <w:r w:rsidR="00B01AE1">
        <w:rPr>
          <w:rFonts w:ascii="宋体" w:eastAsia="宋体" w:hAnsi="宋体" w:cs="宋体"/>
          <w:sz w:val="18"/>
          <w:szCs w:val="18"/>
        </w:rPr>
        <w:t>。</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12"/>
        <w:gridCol w:w="2410"/>
        <w:gridCol w:w="2410"/>
        <w:gridCol w:w="2505"/>
      </w:tblGrid>
      <w:tr w:rsidR="00A95787">
        <w:trPr>
          <w:trHeight w:val="240"/>
        </w:trPr>
        <w:tc>
          <w:tcPr>
            <w:tcW w:w="23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32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3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46.73%</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2,441,727.36</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1,140,975.16</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95787" w:rsidRDefault="005D3CC1">
      <w:pPr>
        <w:pStyle w:val="a6"/>
        <w:rPr>
          <w:sz w:val="18"/>
          <w:szCs w:val="18"/>
        </w:rPr>
      </w:pPr>
      <w:r>
        <w:rPr>
          <w:rFonts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38"/>
        <w:gridCol w:w="1612"/>
        <w:gridCol w:w="2025"/>
        <w:gridCol w:w="2113"/>
        <w:gridCol w:w="1450"/>
      </w:tblGrid>
      <w:tr w:rsidR="00A95787">
        <w:trPr>
          <w:trHeight w:val="240"/>
        </w:trPr>
        <w:tc>
          <w:tcPr>
            <w:tcW w:w="243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20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21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4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243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20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21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4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rPr>
                <w:rFonts w:ascii="宋体" w:eastAsia="宋体" w:hAnsi="宋体" w:cs="宋体"/>
                <w:sz w:val="18"/>
                <w:szCs w:val="18"/>
              </w:rPr>
            </w:pPr>
            <w:r>
              <w:rPr>
                <w:rFonts w:ascii="宋体" w:eastAsia="宋体" w:hAnsi="宋体" w:cs="宋体"/>
                <w:sz w:val="18"/>
                <w:szCs w:val="18"/>
              </w:rPr>
              <w:t>2024年1月1日余额</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2,388,999.41</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20" w:lineRule="exact"/>
              <w:jc w:val="right"/>
              <w:rPr>
                <w:rFonts w:ascii="宋体" w:eastAsia="宋体" w:hAnsi="宋体" w:cs="宋体"/>
                <w:sz w:val="18"/>
                <w:szCs w:val="18"/>
              </w:rPr>
            </w:pP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35,521,036.70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37,910,036.11</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lastRenderedPageBreak/>
              <w:t>2024年1月1日余额在本期</w:t>
            </w:r>
          </w:p>
        </w:tc>
        <w:tc>
          <w:tcPr>
            <w:tcW w:w="16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20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21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——转入第二阶段</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——转入第三阶段</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——转回第二阶段</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——转回第一阶段</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本期计提</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49,905.11</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49,905.11</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本期转回</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本期转销</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本期核销</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1,297,929.36</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28,521,186.80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29,819,116.16</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其他变动</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2024年12月31日余额</w:t>
            </w:r>
          </w:p>
        </w:tc>
        <w:tc>
          <w:tcPr>
            <w:tcW w:w="16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1,140,975.16</w:t>
            </w:r>
          </w:p>
        </w:tc>
        <w:tc>
          <w:tcPr>
            <w:tcW w:w="20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1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6,999,849.90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8,140,825.06</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4"/>
        <w:rPr>
          <w:rFonts w:ascii="宋体" w:eastAsia="宋体" w:hAnsi="宋体" w:cs="宋体"/>
          <w:b/>
          <w:bCs/>
          <w:szCs w:val="21"/>
        </w:rPr>
      </w:pPr>
      <w:bookmarkStart w:id="236" w:name="_Toc989122"/>
      <w:r>
        <w:rPr>
          <w:rFonts w:ascii="宋体" w:eastAsia="宋体" w:hAnsi="宋体" w:cs="宋体"/>
          <w:b/>
          <w:bCs/>
          <w:szCs w:val="21"/>
        </w:rPr>
        <w:t>4） 本期计提、收回或转回的坏账准备情况</w:t>
      </w:r>
      <w:bookmarkEnd w:id="23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8"/>
        <w:gridCol w:w="1457"/>
        <w:gridCol w:w="1297"/>
        <w:gridCol w:w="1377"/>
        <w:gridCol w:w="1539"/>
        <w:gridCol w:w="1215"/>
        <w:gridCol w:w="1472"/>
      </w:tblGrid>
      <w:tr w:rsidR="00A95787">
        <w:trPr>
          <w:trHeight w:val="240"/>
        </w:trPr>
        <w:tc>
          <w:tcPr>
            <w:tcW w:w="12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45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42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7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5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2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5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21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7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45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12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49,905.11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5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c>
          <w:tcPr>
            <w:tcW w:w="121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8,140,825.06</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5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12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49,905.11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5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c>
          <w:tcPr>
            <w:tcW w:w="121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8,140,825.06</w:t>
            </w:r>
          </w:p>
        </w:tc>
      </w:tr>
    </w:tbl>
    <w:p w:rsidR="00A95787" w:rsidRDefault="00A95787">
      <w:pPr>
        <w:rPr>
          <w:sz w:val="18"/>
          <w:szCs w:val="18"/>
        </w:rPr>
      </w:pPr>
    </w:p>
    <w:p w:rsidR="00A95787" w:rsidRDefault="005D3CC1">
      <w:pPr>
        <w:keepNext/>
        <w:keepLines/>
        <w:spacing w:before="300" w:after="300" w:line="280" w:lineRule="exact"/>
        <w:outlineLvl w:val="4"/>
        <w:rPr>
          <w:rFonts w:ascii="宋体" w:eastAsia="宋体" w:hAnsi="宋体" w:cs="宋体"/>
          <w:b/>
          <w:bCs/>
          <w:szCs w:val="21"/>
        </w:rPr>
      </w:pPr>
      <w:bookmarkStart w:id="237" w:name="_Toc989123"/>
      <w:r>
        <w:rPr>
          <w:rFonts w:ascii="宋体" w:eastAsia="宋体" w:hAnsi="宋体" w:cs="宋体"/>
          <w:b/>
          <w:bCs/>
          <w:szCs w:val="21"/>
        </w:rPr>
        <w:t>5） 本期实际核销的其他应收款情况</w:t>
      </w:r>
      <w:bookmarkEnd w:id="23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14"/>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91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实际核销的其他应收款</w:t>
            </w:r>
          </w:p>
        </w:tc>
        <w:tc>
          <w:tcPr>
            <w:tcW w:w="491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r>
    </w:tbl>
    <w:p w:rsidR="00A95787" w:rsidRDefault="005D3CC1">
      <w:pPr>
        <w:keepNext/>
        <w:keepLines/>
        <w:spacing w:before="300" w:after="300" w:line="280" w:lineRule="exact"/>
        <w:outlineLvl w:val="4"/>
        <w:rPr>
          <w:rFonts w:ascii="宋体" w:eastAsia="宋体" w:hAnsi="宋体" w:cs="宋体"/>
          <w:b/>
          <w:bCs/>
          <w:szCs w:val="21"/>
        </w:rPr>
      </w:pPr>
      <w:bookmarkStart w:id="238" w:name="_Toc989124"/>
      <w:r>
        <w:rPr>
          <w:rFonts w:ascii="宋体" w:eastAsia="宋体" w:hAnsi="宋体" w:cs="宋体"/>
          <w:b/>
          <w:bCs/>
          <w:szCs w:val="21"/>
        </w:rPr>
        <w:t>6） 按欠款方归集的期末余额前五名的其他应收款情况</w:t>
      </w:r>
      <w:bookmarkEnd w:id="23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09"/>
        <w:gridCol w:w="1606"/>
        <w:gridCol w:w="1606"/>
        <w:gridCol w:w="1607"/>
        <w:gridCol w:w="1607"/>
        <w:gridCol w:w="1702"/>
      </w:tblGrid>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74.14%</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1,200,000.00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1-2年、4-5年</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12.71%</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540,000.00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3.18%</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2.83%</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8,847,354.42</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93.71%</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8,111,354.42</w:t>
            </w:r>
          </w:p>
        </w:tc>
      </w:tr>
    </w:tbl>
    <w:p w:rsidR="00A95787" w:rsidRDefault="005D3CC1">
      <w:pPr>
        <w:pStyle w:val="3"/>
        <w:spacing w:line="280" w:lineRule="exact"/>
        <w:jc w:val="left"/>
        <w:rPr>
          <w:rFonts w:ascii="宋体" w:hAnsi="宋体" w:cs="宋体"/>
          <w:b/>
          <w:bCs/>
        </w:rPr>
      </w:pPr>
      <w:bookmarkStart w:id="239" w:name="_Toc989125"/>
      <w:r>
        <w:rPr>
          <w:rFonts w:ascii="宋体" w:hAnsi="宋体" w:cs="宋体"/>
          <w:b/>
          <w:bCs/>
        </w:rPr>
        <w:lastRenderedPageBreak/>
        <w:t>7、预付款项</w:t>
      </w:r>
      <w:bookmarkEnd w:id="239"/>
    </w:p>
    <w:p w:rsidR="00A95787" w:rsidRDefault="005D3CC1">
      <w:pPr>
        <w:keepNext/>
        <w:keepLines/>
        <w:spacing w:before="300" w:after="300" w:line="280" w:lineRule="exact"/>
        <w:outlineLvl w:val="3"/>
        <w:rPr>
          <w:rFonts w:ascii="宋体" w:eastAsia="宋体" w:hAnsi="宋体" w:cs="宋体"/>
          <w:b/>
          <w:bCs/>
          <w:szCs w:val="21"/>
        </w:rPr>
      </w:pPr>
      <w:bookmarkStart w:id="240" w:name="_Toc989126"/>
      <w:r>
        <w:rPr>
          <w:rFonts w:ascii="宋体" w:eastAsia="宋体" w:hAnsi="宋体" w:cs="宋体"/>
          <w:b/>
          <w:bCs/>
          <w:szCs w:val="21"/>
        </w:rPr>
        <w:t>（1） 预付款项按账龄列示</w:t>
      </w:r>
      <w:bookmarkEnd w:id="24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928"/>
        <w:gridCol w:w="1928"/>
        <w:gridCol w:w="1928"/>
        <w:gridCol w:w="2036"/>
      </w:tblGrid>
      <w:tr w:rsidR="00A95787">
        <w:trPr>
          <w:trHeight w:val="240"/>
        </w:trPr>
        <w:tc>
          <w:tcPr>
            <w:tcW w:w="18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96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8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25,147,721.92</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99.83%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35,428,702.68</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99.89%</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42,000.00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230.50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36,095.00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25,189,721.92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35,465,028.18</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注：账龄一年以上的预付账款为尚未结算的货款尾款</w:t>
      </w:r>
      <w:r>
        <w:rPr>
          <w:rStyle w:val="a7"/>
          <w:rFonts w:cs="Times New Roman" w:hint="eastAsia"/>
          <w:sz w:val="18"/>
          <w:szCs w:val="18"/>
        </w:rPr>
        <w:t>。</w:t>
      </w:r>
    </w:p>
    <w:p w:rsidR="00A95787" w:rsidRDefault="005D3CC1">
      <w:pPr>
        <w:keepNext/>
        <w:keepLines/>
        <w:spacing w:before="300" w:after="300" w:line="280" w:lineRule="exact"/>
        <w:outlineLvl w:val="3"/>
        <w:rPr>
          <w:rFonts w:ascii="宋体" w:eastAsia="宋体" w:hAnsi="宋体" w:cs="宋体"/>
          <w:b/>
          <w:bCs/>
          <w:szCs w:val="21"/>
        </w:rPr>
      </w:pPr>
      <w:bookmarkStart w:id="241" w:name="_Toc989127"/>
      <w:r>
        <w:rPr>
          <w:rFonts w:ascii="宋体" w:eastAsia="宋体" w:hAnsi="宋体" w:cs="宋体"/>
          <w:b/>
          <w:bCs/>
          <w:szCs w:val="21"/>
        </w:rPr>
        <w:t>（2） 按预付对象归集的期末余额前五名的预付款情况</w:t>
      </w:r>
      <w:bookmarkEnd w:id="241"/>
    </w:p>
    <w:p w:rsidR="00A95787" w:rsidRDefault="005D3CC1">
      <w:pPr>
        <w:pStyle w:val="a6"/>
        <w:jc w:val="right"/>
        <w:rPr>
          <w:sz w:val="18"/>
          <w:szCs w:val="18"/>
        </w:rPr>
      </w:pPr>
      <w:r>
        <w:rPr>
          <w:rFonts w:hint="eastAsia"/>
          <w:sz w:val="18"/>
          <w:szCs w:val="18"/>
        </w:rPr>
        <w:t>单位：元</w:t>
      </w:r>
    </w:p>
    <w:tbl>
      <w:tblPr>
        <w:tblW w:w="9647" w:type="dxa"/>
        <w:jc w:val="center"/>
        <w:tblCellMar>
          <w:left w:w="0" w:type="dxa"/>
          <w:right w:w="0" w:type="dxa"/>
        </w:tblCellMar>
        <w:tblLook w:val="04A0" w:firstRow="1" w:lastRow="0" w:firstColumn="1" w:lastColumn="0" w:noHBand="0" w:noVBand="1"/>
      </w:tblPr>
      <w:tblGrid>
        <w:gridCol w:w="3385"/>
        <w:gridCol w:w="3251"/>
        <w:gridCol w:w="3011"/>
      </w:tblGrid>
      <w:tr w:rsidR="00A95787">
        <w:trPr>
          <w:trHeight w:val="495"/>
          <w:tblHeader/>
          <w:jc w:val="center"/>
        </w:trPr>
        <w:tc>
          <w:tcPr>
            <w:tcW w:w="33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单位名称</w:t>
            </w:r>
          </w:p>
        </w:tc>
        <w:tc>
          <w:tcPr>
            <w:tcW w:w="32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3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ind w:left="-2" w:right="-73"/>
              <w:jc w:val="center"/>
              <w:rPr>
                <w:rFonts w:ascii="Times New Roman" w:hAnsi="Times New Roman" w:cs="Times New Roman"/>
                <w:sz w:val="21"/>
                <w:szCs w:val="21"/>
              </w:rPr>
            </w:pPr>
            <w:r>
              <w:rPr>
                <w:rFonts w:cs="Times New Roman" w:hint="eastAsia"/>
                <w:sz w:val="18"/>
                <w:szCs w:val="18"/>
              </w:rPr>
              <w:t>占预付账款期末余额合计数的比例（</w:t>
            </w:r>
            <w:r>
              <w:rPr>
                <w:rFonts w:ascii="Arial" w:hAnsi="Arial" w:cs="Arial"/>
                <w:sz w:val="18"/>
                <w:szCs w:val="18"/>
              </w:rPr>
              <w:t>%</w:t>
            </w:r>
            <w:r>
              <w:rPr>
                <w:rFonts w:cs="Times New Roman" w:hint="eastAsia"/>
                <w:sz w:val="18"/>
                <w:szCs w:val="18"/>
              </w:rPr>
              <w:t>）</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w:t>
            </w:r>
            <w:r>
              <w:rPr>
                <w:rFonts w:ascii="Arial" w:hAnsi="Arial" w:cs="Arial"/>
                <w:sz w:val="18"/>
                <w:szCs w:val="18"/>
              </w:rPr>
              <w:t>1</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10,105,610.64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40.12 </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w:t>
            </w:r>
            <w:r>
              <w:rPr>
                <w:rFonts w:ascii="Arial" w:hAnsi="Arial" w:cs="Arial"/>
                <w:sz w:val="18"/>
                <w:szCs w:val="18"/>
              </w:rPr>
              <w:t>2</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5,448,800.00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21.63 </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w:t>
            </w:r>
            <w:r>
              <w:rPr>
                <w:rFonts w:ascii="Arial" w:hAnsi="Arial" w:cs="Arial"/>
                <w:sz w:val="18"/>
                <w:szCs w:val="18"/>
              </w:rPr>
              <w:t>3</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3,852,170.91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15.29 </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w:t>
            </w:r>
            <w:r>
              <w:rPr>
                <w:rFonts w:ascii="Arial" w:hAnsi="Arial" w:cs="Arial"/>
                <w:sz w:val="18"/>
                <w:szCs w:val="18"/>
              </w:rPr>
              <w:t>4</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1,753,163.65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6.96 </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w:t>
            </w:r>
            <w:r>
              <w:rPr>
                <w:rFonts w:ascii="Arial" w:hAnsi="Arial" w:cs="Arial"/>
                <w:sz w:val="18"/>
                <w:szCs w:val="18"/>
              </w:rPr>
              <w:t>5</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1,422,589.50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5.65 </w:t>
            </w:r>
          </w:p>
        </w:tc>
      </w:tr>
      <w:tr w:rsidR="00A95787">
        <w:trPr>
          <w:trHeight w:val="345"/>
          <w:jc w:val="center"/>
        </w:trPr>
        <w:tc>
          <w:tcPr>
            <w:tcW w:w="3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22,582,334.70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color w:val="000000"/>
                <w:sz w:val="18"/>
                <w:szCs w:val="18"/>
              </w:rPr>
              <w:t xml:space="preserve">                89.65 </w:t>
            </w:r>
          </w:p>
        </w:tc>
      </w:tr>
    </w:tbl>
    <w:p w:rsidR="00A95787" w:rsidRDefault="005D3CC1">
      <w:pPr>
        <w:pStyle w:val="3"/>
        <w:spacing w:line="280" w:lineRule="exact"/>
        <w:jc w:val="left"/>
        <w:rPr>
          <w:rFonts w:ascii="宋体" w:hAnsi="宋体" w:cs="宋体"/>
          <w:b/>
          <w:bCs/>
        </w:rPr>
      </w:pPr>
      <w:bookmarkStart w:id="242" w:name="_Toc989128"/>
      <w:r>
        <w:rPr>
          <w:rFonts w:ascii="宋体" w:hAnsi="宋体" w:cs="宋体"/>
          <w:b/>
          <w:bCs/>
        </w:rPr>
        <w:t>8、存货</w:t>
      </w:r>
      <w:bookmarkEnd w:id="242"/>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否</w:t>
      </w:r>
    </w:p>
    <w:p w:rsidR="00A95787" w:rsidRDefault="005D3CC1">
      <w:pPr>
        <w:keepNext/>
        <w:keepLines/>
        <w:spacing w:before="300" w:after="300" w:line="280" w:lineRule="exact"/>
        <w:outlineLvl w:val="3"/>
        <w:rPr>
          <w:rFonts w:ascii="宋体" w:eastAsia="宋体" w:hAnsi="宋体" w:cs="宋体"/>
          <w:b/>
          <w:bCs/>
          <w:szCs w:val="21"/>
        </w:rPr>
      </w:pPr>
      <w:bookmarkStart w:id="243" w:name="_Toc989129"/>
      <w:r>
        <w:rPr>
          <w:rFonts w:ascii="宋体" w:eastAsia="宋体" w:hAnsi="宋体" w:cs="宋体"/>
          <w:b/>
          <w:bCs/>
          <w:szCs w:val="21"/>
        </w:rPr>
        <w:t>（1） 存货分类</w:t>
      </w:r>
      <w:bookmarkEnd w:id="24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25"/>
        <w:gridCol w:w="1375"/>
        <w:gridCol w:w="1387"/>
        <w:gridCol w:w="1225"/>
        <w:gridCol w:w="1350"/>
        <w:gridCol w:w="1413"/>
        <w:gridCol w:w="1375"/>
      </w:tblGrid>
      <w:tr w:rsidR="00A95787">
        <w:trPr>
          <w:trHeight w:val="240"/>
        </w:trPr>
        <w:tc>
          <w:tcPr>
            <w:tcW w:w="15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98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5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3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2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原材料</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202,578,219.18</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202,578,219.18</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108,137,496.73</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625,625.50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107,511,871.23</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在产品</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lastRenderedPageBreak/>
              <w:t>库存商品</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249,652,521.33</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4,751,823.51</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244,900,697.82</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215,547,322.30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4,809,345.83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210,737,976.47</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周转材料</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消耗性生物资产</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合同履约成本</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发出商品</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6,610,862.99</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6,610,862.99</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16,384,340.85</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16,384,340.85</w:t>
            </w:r>
          </w:p>
        </w:tc>
      </w:tr>
      <w:tr w:rsidR="00A95787">
        <w:trPr>
          <w:trHeight w:val="240"/>
        </w:trPr>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458,841,603.50</w:t>
            </w: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4,751,823.51</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454,089,779.99</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340,069,159.88</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5,434,971.33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334,634,188.55</w:t>
            </w:r>
          </w:p>
        </w:tc>
      </w:tr>
    </w:tbl>
    <w:p w:rsidR="00A95787" w:rsidRDefault="005D3CC1">
      <w:pPr>
        <w:keepNext/>
        <w:keepLines/>
        <w:spacing w:before="300" w:after="300" w:line="320" w:lineRule="exact"/>
        <w:outlineLvl w:val="3"/>
        <w:rPr>
          <w:rFonts w:ascii="宋体" w:eastAsia="宋体" w:hAnsi="宋体" w:cs="宋体"/>
          <w:b/>
          <w:bCs/>
          <w:szCs w:val="21"/>
        </w:rPr>
      </w:pPr>
      <w:bookmarkStart w:id="244" w:name="_Toc989130"/>
      <w:r>
        <w:rPr>
          <w:rFonts w:ascii="宋体" w:eastAsia="宋体" w:hAnsi="宋体" w:cs="宋体"/>
          <w:b/>
          <w:bCs/>
          <w:szCs w:val="21"/>
        </w:rPr>
        <w:t>（2） 存货跌价准备和合同履约成本减值准备</w:t>
      </w:r>
      <w:bookmarkEnd w:id="24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377"/>
        <w:gridCol w:w="1377"/>
        <w:gridCol w:w="1377"/>
        <w:gridCol w:w="1377"/>
        <w:gridCol w:w="1377"/>
        <w:gridCol w:w="1472"/>
      </w:tblGrid>
      <w:tr w:rsidR="00A95787">
        <w:trPr>
          <w:trHeight w:val="240"/>
        </w:trPr>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本期减少金额</w:t>
            </w:r>
          </w:p>
        </w:tc>
        <w:tc>
          <w:tcPr>
            <w:tcW w:w="147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其他</w:t>
            </w:r>
          </w:p>
        </w:tc>
        <w:tc>
          <w:tcPr>
            <w:tcW w:w="147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4,809,345.83</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4,734,350.68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4,791,873.00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4,751,823.51</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5,434,971.33</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4,734,350.68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5,417,498.50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4,751,823.51</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注：可变现净值以存货的估计售价减去至完工估计将要发生的成本、估计的销售费用以及相关税费后的金额为具体依据。</w:t>
      </w:r>
    </w:p>
    <w:p w:rsidR="00A95787" w:rsidRDefault="005D3CC1">
      <w:pPr>
        <w:keepNext/>
        <w:keepLines/>
        <w:spacing w:before="300" w:after="300" w:line="280" w:lineRule="exact"/>
        <w:outlineLvl w:val="3"/>
        <w:rPr>
          <w:rFonts w:ascii="宋体" w:eastAsia="宋体" w:hAnsi="宋体" w:cs="宋体"/>
          <w:b/>
          <w:bCs/>
          <w:szCs w:val="21"/>
        </w:rPr>
      </w:pPr>
      <w:bookmarkStart w:id="245" w:name="_Toc989131"/>
      <w:r>
        <w:rPr>
          <w:rFonts w:ascii="宋体" w:eastAsia="宋体" w:hAnsi="宋体" w:cs="宋体"/>
          <w:b/>
          <w:bCs/>
          <w:szCs w:val="21"/>
        </w:rPr>
        <w:t>（3） 一年内到期的其他债权投资</w:t>
      </w:r>
      <w:bookmarkEnd w:id="24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246" w:name="_Toc989132"/>
      <w:r>
        <w:rPr>
          <w:rFonts w:ascii="宋体" w:hAnsi="宋体" w:cs="宋体"/>
          <w:b/>
          <w:bCs/>
        </w:rPr>
        <w:t>9、其他流动资产</w:t>
      </w:r>
      <w:bookmarkEnd w:id="24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08"/>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合同取得成本</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应收退货成本</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22,282,109.44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22,582,103.06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12,144.23</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9,004,334.59</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22,294,253.67</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31,586,437.65</w:t>
            </w:r>
          </w:p>
        </w:tc>
      </w:tr>
    </w:tbl>
    <w:p w:rsidR="00A95787" w:rsidRDefault="005D3CC1">
      <w:pPr>
        <w:pStyle w:val="3"/>
        <w:spacing w:line="280" w:lineRule="exact"/>
        <w:jc w:val="left"/>
        <w:rPr>
          <w:rFonts w:ascii="宋体" w:hAnsi="宋体" w:cs="宋体"/>
          <w:b/>
          <w:bCs/>
        </w:rPr>
      </w:pPr>
      <w:bookmarkStart w:id="247" w:name="_Toc989133"/>
      <w:r>
        <w:rPr>
          <w:rFonts w:ascii="宋体" w:hAnsi="宋体" w:cs="宋体"/>
          <w:b/>
          <w:bCs/>
        </w:rPr>
        <w:lastRenderedPageBreak/>
        <w:t>10、长期股权投资</w:t>
      </w:r>
      <w:bookmarkEnd w:id="24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5"/>
        <w:gridCol w:w="838"/>
        <w:gridCol w:w="712"/>
        <w:gridCol w:w="650"/>
        <w:gridCol w:w="675"/>
        <w:gridCol w:w="850"/>
        <w:gridCol w:w="775"/>
        <w:gridCol w:w="738"/>
        <w:gridCol w:w="737"/>
        <w:gridCol w:w="675"/>
        <w:gridCol w:w="575"/>
        <w:gridCol w:w="850"/>
        <w:gridCol w:w="725"/>
      </w:tblGrid>
      <w:tr w:rsidR="00A95787">
        <w:trPr>
          <w:trHeight w:val="240"/>
        </w:trPr>
        <w:tc>
          <w:tcPr>
            <w:tcW w:w="8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3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675"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A95787">
        <w:trPr>
          <w:trHeight w:val="240"/>
        </w:trPr>
        <w:tc>
          <w:tcPr>
            <w:tcW w:w="8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3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6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5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A95787">
        <w:trPr>
          <w:trHeight w:val="240"/>
        </w:trPr>
        <w:tc>
          <w:tcPr>
            <w:tcW w:w="962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14,449,549.72</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-903,745.64</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13,545,804.08</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Source Photonics Holdings (Cayman) Limited（注）</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974,593,566.61</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89,818,703.78</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-7,800,960.11</w:t>
            </w: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4,339,506.91</w:t>
            </w: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1,060,950,817.19</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64,179,056.75</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-141,947.68</w:t>
            </w: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-10,517,921.57</w:t>
            </w: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1,340,100,683.74</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1,229,286,818.47</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-112,265,001.16</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346,040.56</w:t>
            </w: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55,367,857.87</w:t>
            </w: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1,062,000,000.00</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88,674,331.02</w:t>
            </w: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4,993,029.85</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740,148.10</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676,800.00</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5,056,377.95</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41,569,161.83</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-7,596,867.23</w:t>
            </w: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-6,178,414.66</w:t>
            </w: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62,063,036.43</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55,367,857.87</w:t>
            </w: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94,240,022.72</w:t>
            </w:r>
          </w:p>
        </w:tc>
      </w:tr>
      <w:tr w:rsidR="00A95787">
        <w:trPr>
          <w:trHeight w:val="240"/>
        </w:trPr>
        <w:tc>
          <w:tcPr>
            <w:tcW w:w="8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41,569,161.83</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-7,596,867.23</w:t>
            </w: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-6,178,414.66</w:t>
            </w:r>
          </w:p>
        </w:tc>
        <w:tc>
          <w:tcPr>
            <w:tcW w:w="7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62,063,036.43</w:t>
            </w:r>
          </w:p>
        </w:tc>
        <w:tc>
          <w:tcPr>
            <w:tcW w:w="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55,367,857.87</w:t>
            </w:r>
          </w:p>
        </w:tc>
        <w:tc>
          <w:tcPr>
            <w:tcW w:w="5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3,481,653,682.96</w:t>
            </w:r>
          </w:p>
        </w:tc>
        <w:tc>
          <w:tcPr>
            <w:tcW w:w="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94,240,022.72</w:t>
            </w:r>
          </w:p>
        </w:tc>
      </w:tr>
    </w:tbl>
    <w:p w:rsidR="00A95787" w:rsidRDefault="005D3CC1">
      <w:pPr>
        <w:spacing w:line="400" w:lineRule="exact"/>
        <w:ind w:firstLineChars="200" w:firstLine="360"/>
        <w:rPr>
          <w:rFonts w:ascii="宋体" w:eastAsia="宋体" w:hAnsi="宋体" w:cs="Arial"/>
          <w:bCs/>
          <w:sz w:val="18"/>
          <w:szCs w:val="18"/>
        </w:rPr>
      </w:pPr>
      <w:r>
        <w:rPr>
          <w:rFonts w:ascii="宋体" w:eastAsia="宋体" w:hAnsi="宋体" w:cs="Arial" w:hint="eastAsia"/>
          <w:bCs/>
          <w:sz w:val="18"/>
          <w:szCs w:val="18"/>
        </w:rPr>
        <w:t>注：考虑Source Photonics Holdings(Cayman) Limited股权架构拆分影响，以上数据为还原后VENUS PEARL SPV2 CO LIMITED的数据。</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248" w:name="_Toc989134"/>
      <w:r>
        <w:rPr>
          <w:rFonts w:ascii="宋体" w:hAnsi="宋体" w:cs="宋体"/>
          <w:b/>
          <w:bCs/>
        </w:rPr>
        <w:lastRenderedPageBreak/>
        <w:t>11、其他非流动金融资产</w:t>
      </w:r>
      <w:bookmarkEnd w:id="24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08"/>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widowControl/>
              <w:spacing w:line="400" w:lineRule="exact"/>
              <w:jc w:val="right"/>
              <w:rPr>
                <w:rFonts w:ascii="宋体" w:eastAsia="宋体" w:hAnsi="宋体" w:cs="Arial"/>
                <w:kern w:val="0"/>
                <w:sz w:val="18"/>
                <w:szCs w:val="18"/>
              </w:rPr>
            </w:pPr>
            <w:r>
              <w:rPr>
                <w:rFonts w:ascii="宋体" w:eastAsia="宋体" w:hAnsi="宋体" w:cs="Arial"/>
                <w:kern w:val="0"/>
                <w:sz w:val="18"/>
                <w:szCs w:val="18"/>
              </w:rPr>
              <w:t>841,950,369.04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widowControl/>
              <w:spacing w:line="400" w:lineRule="exact"/>
              <w:jc w:val="right"/>
              <w:rPr>
                <w:rFonts w:ascii="宋体" w:eastAsia="宋体" w:hAnsi="宋体" w:cs="Arial"/>
                <w:kern w:val="0"/>
                <w:sz w:val="18"/>
                <w:szCs w:val="18"/>
              </w:rPr>
            </w:pPr>
            <w:r>
              <w:rPr>
                <w:rFonts w:ascii="宋体" w:eastAsia="宋体" w:hAnsi="宋体" w:cs="Arial"/>
                <w:kern w:val="0"/>
                <w:sz w:val="18"/>
                <w:szCs w:val="18"/>
              </w:rPr>
              <w:t>659,909,863.78</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其中：权益工具投资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bl>
    <w:p w:rsidR="00A90E57" w:rsidRDefault="005D3CC1">
      <w:pPr>
        <w:pStyle w:val="a6"/>
        <w:spacing w:before="0" w:beforeAutospacing="0" w:after="0" w:afterAutospacing="0" w:line="400" w:lineRule="atLeast"/>
        <w:ind w:firstLine="360"/>
        <w:jc w:val="both"/>
        <w:rPr>
          <w:rFonts w:cs="Times New Roman"/>
          <w:sz w:val="18"/>
          <w:szCs w:val="18"/>
        </w:rPr>
      </w:pPr>
      <w:r>
        <w:rPr>
          <w:rFonts w:cs="Times New Roman" w:hint="eastAsia"/>
          <w:sz w:val="18"/>
          <w:szCs w:val="18"/>
        </w:rPr>
        <w:t>注：</w:t>
      </w:r>
      <w:bookmarkStart w:id="249" w:name="OLE_LINK5"/>
      <w:bookmarkStart w:id="250" w:name="OLE_LINK8"/>
      <w:r>
        <w:rPr>
          <w:rFonts w:cs="Times New Roman" w:hint="eastAsia"/>
          <w:sz w:val="18"/>
          <w:szCs w:val="18"/>
        </w:rPr>
        <w:t>报告期内，公司与无锡国联产业投资私募基金管理有限公司、无锡云商创业投资有限公司共同投资设立无锡锡创联华股权投资合伙企业</w:t>
      </w:r>
      <w:r>
        <w:rPr>
          <w:rFonts w:ascii="Arial" w:hAnsi="Arial" w:cs="Arial"/>
          <w:sz w:val="18"/>
          <w:szCs w:val="18"/>
        </w:rPr>
        <w:t>(</w:t>
      </w:r>
      <w:r>
        <w:rPr>
          <w:rFonts w:cs="Times New Roman" w:hint="eastAsia"/>
          <w:sz w:val="18"/>
          <w:szCs w:val="18"/>
        </w:rPr>
        <w:t>有限合伙</w:t>
      </w:r>
      <w:r>
        <w:rPr>
          <w:rFonts w:ascii="Arial" w:hAnsi="Arial" w:cs="Arial"/>
          <w:sz w:val="18"/>
          <w:szCs w:val="18"/>
        </w:rPr>
        <w:t>)</w:t>
      </w:r>
      <w:r>
        <w:rPr>
          <w:rFonts w:cs="Times New Roman" w:hint="eastAsia"/>
          <w:sz w:val="18"/>
          <w:szCs w:val="18"/>
        </w:rPr>
        <w:t>，</w:t>
      </w:r>
      <w:r w:rsidR="00A90E57" w:rsidRPr="00A90E57">
        <w:rPr>
          <w:rFonts w:cs="Times New Roman" w:hint="eastAsia"/>
          <w:sz w:val="18"/>
          <w:szCs w:val="18"/>
        </w:rPr>
        <w:t>同年无锡国联产业投资私募基金管</w:t>
      </w:r>
      <w:r w:rsidR="00A90E57">
        <w:rPr>
          <w:rFonts w:cs="Times New Roman" w:hint="eastAsia"/>
          <w:sz w:val="18"/>
          <w:szCs w:val="18"/>
        </w:rPr>
        <w:t>理有限公司将其持有份额转让给无锡市创新投资集团有限公司并退出合伙企业。</w:t>
      </w:r>
    </w:p>
    <w:p w:rsidR="00A95787" w:rsidRDefault="00A90E57">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公司实缴出资</w:t>
      </w:r>
      <w:r>
        <w:rPr>
          <w:rFonts w:ascii="Arial" w:hAnsi="Arial" w:cs="Arial"/>
          <w:sz w:val="18"/>
          <w:szCs w:val="18"/>
        </w:rPr>
        <w:t>16,750</w:t>
      </w:r>
      <w:r>
        <w:rPr>
          <w:rFonts w:cs="Times New Roman" w:hint="eastAsia"/>
          <w:sz w:val="18"/>
          <w:szCs w:val="18"/>
        </w:rPr>
        <w:t>万元人民币，</w:t>
      </w:r>
      <w:r w:rsidR="005D3CC1">
        <w:rPr>
          <w:rFonts w:cs="Times New Roman" w:hint="eastAsia"/>
          <w:sz w:val="18"/>
          <w:szCs w:val="18"/>
        </w:rPr>
        <w:t>截至本报告期末公允价值变动损益</w:t>
      </w:r>
      <w:r w:rsidR="005D3CC1">
        <w:rPr>
          <w:rFonts w:ascii="Arial" w:hAnsi="Arial" w:cs="Arial"/>
          <w:sz w:val="18"/>
          <w:szCs w:val="18"/>
        </w:rPr>
        <w:t>326.98</w:t>
      </w:r>
      <w:r w:rsidR="005D3CC1">
        <w:rPr>
          <w:rFonts w:cs="Times New Roman" w:hint="eastAsia"/>
          <w:sz w:val="18"/>
          <w:szCs w:val="18"/>
        </w:rPr>
        <w:t>万元。</w:t>
      </w:r>
    </w:p>
    <w:p w:rsidR="00A95787" w:rsidRDefault="005D3CC1">
      <w:pPr>
        <w:pStyle w:val="3"/>
        <w:spacing w:line="280" w:lineRule="exact"/>
        <w:jc w:val="left"/>
        <w:rPr>
          <w:rFonts w:ascii="宋体" w:hAnsi="宋体" w:cs="宋体"/>
          <w:b/>
          <w:bCs/>
        </w:rPr>
      </w:pPr>
      <w:bookmarkStart w:id="251" w:name="_Toc989135"/>
      <w:bookmarkEnd w:id="249"/>
      <w:bookmarkEnd w:id="250"/>
      <w:r>
        <w:rPr>
          <w:rFonts w:ascii="宋体" w:hAnsi="宋体" w:cs="宋体"/>
          <w:b/>
          <w:bCs/>
        </w:rPr>
        <w:t>12、固定资产</w:t>
      </w:r>
      <w:bookmarkEnd w:id="25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08"/>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552,829,127.63</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552,829,127.63</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bl>
    <w:p w:rsidR="00A95787" w:rsidRDefault="005D3CC1">
      <w:pPr>
        <w:keepNext/>
        <w:keepLines/>
        <w:spacing w:before="300" w:after="300" w:line="280" w:lineRule="exact"/>
        <w:outlineLvl w:val="3"/>
        <w:rPr>
          <w:rFonts w:ascii="宋体" w:eastAsia="宋体" w:hAnsi="宋体" w:cs="宋体"/>
          <w:b/>
          <w:bCs/>
          <w:szCs w:val="21"/>
        </w:rPr>
      </w:pPr>
      <w:bookmarkStart w:id="252" w:name="_Toc989136"/>
      <w:r>
        <w:rPr>
          <w:rFonts w:ascii="宋体" w:eastAsia="宋体" w:hAnsi="宋体" w:cs="宋体"/>
          <w:b/>
          <w:bCs/>
          <w:szCs w:val="21"/>
        </w:rPr>
        <w:t>（1） 固定资产情况</w:t>
      </w:r>
      <w:bookmarkEnd w:id="25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84"/>
        <w:gridCol w:w="1606"/>
        <w:gridCol w:w="1735"/>
        <w:gridCol w:w="1478"/>
        <w:gridCol w:w="1607"/>
        <w:gridCol w:w="1702"/>
      </w:tblGrid>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其它设备</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375,540,802.69</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1,297,939,960.24</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3,994,154.51</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32,248,351.31</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1,709,723,268.75</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39,332,631.55</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84,488,507.66</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298,079.65</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6,272,406.39</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130,391,625.25</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1,780,246.17</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298,079.65</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791,884.96</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2,870,210.78</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39,332,631.55</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82,708,261.49</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5,480,521.43</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127,521,414.47</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1,372,774.87</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3,432,023.00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4,804,797.87</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304,000.00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1,954,762.00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2,258,762.00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 xml:space="preserve">       （2）其他转出</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1,068,774.87</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1,477,261.00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2,546,035.87</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414,873,434.24</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1,381,055,693.03</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4,292,234.16</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35,088,734.70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1,835,310,096.13</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177,477,393.55</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1,027,111,916.01</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2,447,037.43</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24,465,701.42</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1,231,502,048.41</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w:t>
            </w:r>
            <w:r>
              <w:rPr>
                <w:rFonts w:ascii="宋体" w:eastAsia="宋体" w:hAnsi="宋体" w:cs="宋体"/>
                <w:sz w:val="18"/>
                <w:szCs w:val="18"/>
              </w:rPr>
              <w:lastRenderedPageBreak/>
              <w:t>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lastRenderedPageBreak/>
              <w:t>12,388,830.66</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28,367,828.36</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807,289.09</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1,699,530.84</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43,263,478.95</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（1）计提</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12,388,830.66</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28,367,828.36</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807,289.09</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1,699,530.84</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43,263,478.95</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687,588.12</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3,522,402.27</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4,209,990.39</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273,600.00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1,794,715.10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2,068,315.10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 xml:space="preserve">       （2）其他转出</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413,988.12</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1,727,687.17</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2,141,675.29</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189,866,224.21</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1,054,792,156.25</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3,254,326.52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22,642,829.99</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1,270,555,536.97</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225,007,210.03</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314,338,105.25</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1,037,907.64</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12,445,904.71</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552,829,127.63</w:t>
            </w:r>
          </w:p>
        </w:tc>
      </w:tr>
      <w:tr w:rsidR="00A95787">
        <w:trPr>
          <w:trHeight w:val="240"/>
        </w:trPr>
        <w:tc>
          <w:tcPr>
            <w:tcW w:w="14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198,063,409.14</w:t>
            </w:r>
          </w:p>
        </w:tc>
        <w:tc>
          <w:tcPr>
            <w:tcW w:w="173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258,902,612.70</w:t>
            </w:r>
          </w:p>
        </w:tc>
        <w:tc>
          <w:tcPr>
            <w:tcW w:w="147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1,547,117.08</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7,782,649.89</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bl>
    <w:p w:rsidR="00A95787" w:rsidRDefault="005D3CC1">
      <w:pPr>
        <w:pStyle w:val="3"/>
        <w:spacing w:line="280" w:lineRule="exact"/>
        <w:jc w:val="left"/>
        <w:rPr>
          <w:rFonts w:ascii="宋体" w:hAnsi="宋体" w:cs="宋体"/>
          <w:b/>
          <w:bCs/>
        </w:rPr>
      </w:pPr>
      <w:bookmarkStart w:id="253" w:name="_Toc989137"/>
      <w:r>
        <w:rPr>
          <w:rFonts w:ascii="宋体" w:hAnsi="宋体" w:cs="宋体"/>
          <w:b/>
          <w:bCs/>
        </w:rPr>
        <w:t>13、在建工程</w:t>
      </w:r>
      <w:bookmarkEnd w:id="25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08"/>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23,584,321.75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工程物资</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23,584,321.75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bl>
    <w:p w:rsidR="00A95787" w:rsidRDefault="005D3CC1">
      <w:pPr>
        <w:keepNext/>
        <w:keepLines/>
        <w:spacing w:before="300" w:after="300" w:line="280" w:lineRule="exact"/>
        <w:outlineLvl w:val="3"/>
        <w:rPr>
          <w:rFonts w:ascii="宋体" w:eastAsia="宋体" w:hAnsi="宋体" w:cs="宋体"/>
          <w:b/>
          <w:bCs/>
          <w:szCs w:val="21"/>
        </w:rPr>
      </w:pPr>
      <w:bookmarkStart w:id="254" w:name="_Toc989138"/>
      <w:r>
        <w:rPr>
          <w:rFonts w:ascii="宋体" w:eastAsia="宋体" w:hAnsi="宋体" w:cs="宋体"/>
          <w:b/>
          <w:bCs/>
          <w:szCs w:val="21"/>
        </w:rPr>
        <w:t>（1） 在建工程情况</w:t>
      </w:r>
      <w:bookmarkEnd w:id="25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63"/>
        <w:gridCol w:w="1500"/>
        <w:gridCol w:w="1237"/>
        <w:gridCol w:w="1425"/>
        <w:gridCol w:w="1463"/>
        <w:gridCol w:w="1150"/>
        <w:gridCol w:w="1387"/>
      </w:tblGrid>
      <w:tr w:rsidR="00A95787">
        <w:trPr>
          <w:trHeight w:val="240"/>
        </w:trPr>
        <w:tc>
          <w:tcPr>
            <w:tcW w:w="14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16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00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4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5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2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4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4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1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导热油炉改造项目</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19,372,524.96</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19,372,524.96</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热水改造项目</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987,059.62</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987,059.62</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805,864.93</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805,864.93</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聚一节能改造</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660,000.00</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660,000.00</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lastRenderedPageBreak/>
              <w:t>小码头新建</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528,301.89</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528,301.89</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消防泵房改造工程</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132,075.48</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132,075.48</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桁架抬高项目</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773,631.49</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773,631.49</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808,158.22</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808,158.22</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污水站项目</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313,230.09</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313,230.09</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储能系统</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16,742,843.08</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16,742,843.08</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尾气回收项目</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1,130,728.31</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1,130,728.31</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4,490,934.11</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4,490,934.11</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应急池</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411,000.00</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411,000.00</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聚一机械密封设备</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159,292.03</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159,292.03</w:t>
            </w:r>
          </w:p>
        </w:tc>
      </w:tr>
      <w:tr w:rsidR="00A95787">
        <w:trPr>
          <w:trHeight w:val="240"/>
        </w:trPr>
        <w:tc>
          <w:tcPr>
            <w:tcW w:w="14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23,584,321.75</w:t>
            </w:r>
          </w:p>
        </w:tc>
        <w:tc>
          <w:tcPr>
            <w:tcW w:w="12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23,584,321.75</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23,731,322.46</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23,731,322.46</w:t>
            </w:r>
          </w:p>
        </w:tc>
      </w:tr>
    </w:tbl>
    <w:p w:rsidR="00A95787" w:rsidRDefault="005D3CC1">
      <w:pPr>
        <w:keepNext/>
        <w:keepLines/>
        <w:spacing w:before="300" w:after="300" w:line="280" w:lineRule="exact"/>
        <w:outlineLvl w:val="3"/>
        <w:rPr>
          <w:rFonts w:ascii="宋体" w:eastAsia="宋体" w:hAnsi="宋体" w:cs="宋体"/>
          <w:b/>
          <w:bCs/>
          <w:szCs w:val="21"/>
        </w:rPr>
      </w:pPr>
      <w:bookmarkStart w:id="255" w:name="_Toc989139"/>
      <w:r>
        <w:rPr>
          <w:rFonts w:ascii="宋体" w:eastAsia="宋体" w:hAnsi="宋体" w:cs="宋体"/>
          <w:b/>
          <w:bCs/>
          <w:szCs w:val="21"/>
        </w:rPr>
        <w:t>（2） 重要在建工程项目本期变动情况</w:t>
      </w:r>
      <w:bookmarkEnd w:id="25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5"/>
        <w:gridCol w:w="742"/>
        <w:gridCol w:w="742"/>
        <w:gridCol w:w="742"/>
        <w:gridCol w:w="742"/>
        <w:gridCol w:w="742"/>
        <w:gridCol w:w="741"/>
        <w:gridCol w:w="891"/>
        <w:gridCol w:w="863"/>
        <w:gridCol w:w="762"/>
        <w:gridCol w:w="788"/>
        <w:gridCol w:w="637"/>
        <w:gridCol w:w="613"/>
      </w:tblGrid>
      <w:tr w:rsidR="00A95787">
        <w:trPr>
          <w:trHeight w:val="240"/>
        </w:trPr>
        <w:tc>
          <w:tcPr>
            <w:tcW w:w="64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项目名称</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预算数</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8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工程进度</w:t>
            </w:r>
          </w:p>
        </w:tc>
        <w:tc>
          <w:tcPr>
            <w:tcW w:w="7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其中：本期利息资本化金额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6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资金来源</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导热油炉改造项目</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19,372,524.96</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19,372,524.96</w:t>
            </w:r>
          </w:p>
        </w:tc>
        <w:tc>
          <w:tcPr>
            <w:tcW w:w="8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98.00%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98.00%</w:t>
            </w: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新建纺丝车间项目</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120,000,000.00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93,756,027.30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93,756,027.30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82.89%</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84.00%</w:t>
            </w: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聚三仓库改造</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5,418,130.60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5,418,130.60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储能项目</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16,742,843.08</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1,019,417.48</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17,762,260.56</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尾气回收项目</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10,500,000.00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4,490,934.11</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49,750.84</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3,409,956.64</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1,130,728.31</w:t>
            </w:r>
          </w:p>
        </w:tc>
        <w:tc>
          <w:tcPr>
            <w:tcW w:w="8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47.62%</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48.00%</w:t>
            </w: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r>
      <w:tr w:rsidR="00A95787">
        <w:trPr>
          <w:trHeight w:val="240"/>
        </w:trPr>
        <w:tc>
          <w:tcPr>
            <w:tcW w:w="64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178,500,000.00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21,233,777.19</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119,615,851.18</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120,346,375.10</w:t>
            </w:r>
          </w:p>
        </w:tc>
        <w:tc>
          <w:tcPr>
            <w:tcW w:w="74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20,503,253.27</w:t>
            </w:r>
          </w:p>
        </w:tc>
        <w:tc>
          <w:tcPr>
            <w:tcW w:w="8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7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6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bl>
    <w:p w:rsidR="00A95787" w:rsidRDefault="005D3CC1">
      <w:pPr>
        <w:keepNext/>
        <w:keepLines/>
        <w:spacing w:before="300" w:after="300" w:line="280" w:lineRule="exact"/>
        <w:outlineLvl w:val="3"/>
        <w:rPr>
          <w:rFonts w:ascii="宋体" w:eastAsia="宋体" w:hAnsi="宋体" w:cs="宋体"/>
          <w:b/>
          <w:bCs/>
          <w:szCs w:val="21"/>
        </w:rPr>
      </w:pPr>
      <w:bookmarkStart w:id="256" w:name="_Toc989140"/>
      <w:r>
        <w:rPr>
          <w:rFonts w:ascii="宋体" w:eastAsia="宋体" w:hAnsi="宋体" w:cs="宋体"/>
          <w:b/>
          <w:bCs/>
          <w:szCs w:val="21"/>
        </w:rPr>
        <w:t>（3） 在建工程的减值测试情况</w:t>
      </w:r>
      <w:bookmarkEnd w:id="25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257" w:name="_Toc989141"/>
      <w:r>
        <w:rPr>
          <w:rFonts w:ascii="宋体" w:hAnsi="宋体" w:cs="宋体"/>
          <w:b/>
          <w:bCs/>
        </w:rPr>
        <w:lastRenderedPageBreak/>
        <w:t>14、无形资产</w:t>
      </w:r>
      <w:bookmarkEnd w:id="257"/>
    </w:p>
    <w:p w:rsidR="00A95787" w:rsidRDefault="005D3CC1">
      <w:pPr>
        <w:keepNext/>
        <w:keepLines/>
        <w:spacing w:before="300" w:after="300" w:line="280" w:lineRule="exact"/>
        <w:outlineLvl w:val="3"/>
        <w:rPr>
          <w:rFonts w:ascii="宋体" w:eastAsia="宋体" w:hAnsi="宋体" w:cs="宋体"/>
          <w:b/>
          <w:bCs/>
          <w:szCs w:val="21"/>
        </w:rPr>
      </w:pPr>
      <w:bookmarkStart w:id="258" w:name="_Toc989142"/>
      <w:r>
        <w:rPr>
          <w:rFonts w:ascii="宋体" w:eastAsia="宋体" w:hAnsi="宋体" w:cs="宋体"/>
          <w:b/>
          <w:bCs/>
          <w:szCs w:val="21"/>
        </w:rPr>
        <w:t>（1） 无形资产情况</w:t>
      </w:r>
      <w:bookmarkEnd w:id="25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38"/>
        <w:gridCol w:w="1662"/>
        <w:gridCol w:w="1363"/>
        <w:gridCol w:w="1425"/>
        <w:gridCol w:w="1550"/>
        <w:gridCol w:w="1475"/>
      </w:tblGrid>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项目</w:t>
            </w:r>
          </w:p>
        </w:tc>
        <w:tc>
          <w:tcPr>
            <w:tcW w:w="16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土地使用权</w:t>
            </w:r>
          </w:p>
        </w:tc>
        <w:tc>
          <w:tcPr>
            <w:tcW w:w="13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专利权</w:t>
            </w:r>
          </w:p>
        </w:tc>
        <w:tc>
          <w:tcPr>
            <w:tcW w:w="14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非专利技术</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center"/>
              <w:rPr>
                <w:rFonts w:ascii="宋体" w:eastAsia="宋体" w:hAnsi="宋体" w:cs="宋体"/>
                <w:sz w:val="18"/>
                <w:szCs w:val="18"/>
              </w:rPr>
            </w:pPr>
            <w:r>
              <w:rPr>
                <w:rFonts w:ascii="宋体" w:eastAsia="宋体" w:hAnsi="宋体" w:cs="宋体"/>
                <w:sz w:val="18"/>
                <w:szCs w:val="18"/>
              </w:rPr>
              <w:t>软件</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一、账面原值</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29,466,428.32</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1,550,072.57</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31,016,500.89</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29,466,428.32</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1,550,072.57</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31,016,500.89</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二、累计摊销</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10,019,329.71</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900,135.57</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10,919,465.28</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624,025.66</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155,568.00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779,593.66</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624,025.66</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155,568.00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779,593.66</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10,643,355.37</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1,055,703.57</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11,699,058.94</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三、减值准备</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四、账面价值</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18,823,072.95</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494,369.00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19,317,441.95</w:t>
            </w:r>
          </w:p>
        </w:tc>
      </w:tr>
      <w:tr w:rsidR="00A95787">
        <w:trPr>
          <w:trHeight w:val="240"/>
        </w:trPr>
        <w:tc>
          <w:tcPr>
            <w:tcW w:w="2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19,447,098.61</w:t>
            </w:r>
          </w:p>
        </w:tc>
        <w:tc>
          <w:tcPr>
            <w:tcW w:w="13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4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649,937.00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20,097,035.61</w:t>
            </w:r>
          </w:p>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本期末通过公司内部研发形成的无形资产占无形资产余额的比例0.00%。</w:t>
      </w:r>
    </w:p>
    <w:p w:rsidR="00A95787" w:rsidRDefault="005D3CC1">
      <w:pPr>
        <w:pStyle w:val="3"/>
        <w:spacing w:line="280" w:lineRule="exact"/>
        <w:jc w:val="left"/>
        <w:rPr>
          <w:rFonts w:ascii="宋体" w:hAnsi="宋体" w:cs="宋体"/>
          <w:b/>
          <w:bCs/>
        </w:rPr>
      </w:pPr>
      <w:bookmarkStart w:id="259" w:name="_Toc989143"/>
      <w:r>
        <w:rPr>
          <w:rFonts w:ascii="宋体" w:hAnsi="宋体" w:cs="宋体"/>
          <w:b/>
          <w:bCs/>
        </w:rPr>
        <w:lastRenderedPageBreak/>
        <w:t>15、商誉</w:t>
      </w:r>
      <w:bookmarkEnd w:id="259"/>
    </w:p>
    <w:p w:rsidR="00A95787" w:rsidRDefault="005D3CC1">
      <w:pPr>
        <w:keepNext/>
        <w:keepLines/>
        <w:spacing w:before="300" w:after="300" w:line="280" w:lineRule="exact"/>
        <w:outlineLvl w:val="3"/>
        <w:rPr>
          <w:rFonts w:ascii="宋体" w:eastAsia="宋体" w:hAnsi="宋体" w:cs="宋体"/>
          <w:b/>
          <w:bCs/>
          <w:szCs w:val="21"/>
        </w:rPr>
      </w:pPr>
      <w:bookmarkStart w:id="260" w:name="_Toc989144"/>
      <w:r>
        <w:rPr>
          <w:rFonts w:ascii="宋体" w:eastAsia="宋体" w:hAnsi="宋体" w:cs="宋体"/>
          <w:b/>
          <w:bCs/>
          <w:szCs w:val="21"/>
        </w:rPr>
        <w:t>（1） 商誉账面原值</w:t>
      </w:r>
      <w:bookmarkEnd w:id="26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50"/>
        <w:gridCol w:w="1300"/>
        <w:gridCol w:w="1500"/>
        <w:gridCol w:w="1049"/>
        <w:gridCol w:w="1377"/>
        <w:gridCol w:w="1377"/>
        <w:gridCol w:w="1472"/>
      </w:tblGrid>
      <w:tr w:rsidR="00A95787">
        <w:trPr>
          <w:trHeight w:val="240"/>
        </w:trPr>
        <w:tc>
          <w:tcPr>
            <w:tcW w:w="15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54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47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5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3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04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center"/>
              <w:rPr>
                <w:rFonts w:ascii="宋体" w:eastAsia="宋体" w:hAnsi="宋体" w:cs="宋体"/>
                <w:sz w:val="18"/>
                <w:szCs w:val="18"/>
              </w:rPr>
            </w:pPr>
          </w:p>
        </w:tc>
        <w:tc>
          <w:tcPr>
            <w:tcW w:w="147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5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4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A95787">
        <w:trPr>
          <w:trHeight w:val="240"/>
        </w:trPr>
        <w:tc>
          <w:tcPr>
            <w:tcW w:w="15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4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7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A95787" w:rsidRDefault="005D3CC1">
      <w:pPr>
        <w:keepNext/>
        <w:keepLines/>
        <w:spacing w:before="300" w:after="300" w:line="280" w:lineRule="exact"/>
        <w:outlineLvl w:val="3"/>
        <w:rPr>
          <w:rFonts w:ascii="宋体" w:eastAsia="宋体" w:hAnsi="宋体" w:cs="宋体"/>
          <w:b/>
          <w:bCs/>
          <w:szCs w:val="21"/>
        </w:rPr>
      </w:pPr>
      <w:bookmarkStart w:id="261" w:name="_Toc989145"/>
      <w:r>
        <w:rPr>
          <w:rFonts w:ascii="宋体" w:eastAsia="宋体" w:hAnsi="宋体" w:cs="宋体"/>
          <w:b/>
          <w:bCs/>
          <w:szCs w:val="21"/>
        </w:rPr>
        <w:t>（2） 其他说明</w:t>
      </w:r>
      <w:bookmarkEnd w:id="261"/>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1</w:t>
      </w:r>
      <w:r>
        <w:rPr>
          <w:rFonts w:cs="Times New Roman" w:hint="eastAsia"/>
          <w:sz w:val="18"/>
          <w:szCs w:val="18"/>
        </w:rPr>
        <w:t>）系非同一控制下企业合并形成的长期股权投资差额，商誉减值准备系以其账面价值与预计可收回金额之间的差额计算确定，因公司在可预见的将来并无出售此投资的计划，故按未来现金流量现值来确定有关资产组的预计可收回金额。经测试，截至</w:t>
      </w:r>
      <w:r>
        <w:rPr>
          <w:rFonts w:ascii="Arial" w:eastAsia="仿宋" w:hAnsi="Arial" w:cs="Arial"/>
          <w:sz w:val="18"/>
          <w:szCs w:val="18"/>
        </w:rPr>
        <w:t>2024</w:t>
      </w:r>
      <w:r>
        <w:rPr>
          <w:rFonts w:cs="Times New Roman" w:hint="eastAsia"/>
          <w:sz w:val="18"/>
          <w:szCs w:val="18"/>
        </w:rPr>
        <w:t>年</w:t>
      </w:r>
      <w:r>
        <w:rPr>
          <w:rFonts w:ascii="Arial" w:eastAsia="仿宋" w:hAnsi="Arial" w:cs="Arial"/>
          <w:sz w:val="18"/>
          <w:szCs w:val="18"/>
        </w:rPr>
        <w:t>12</w:t>
      </w:r>
      <w:r>
        <w:rPr>
          <w:rFonts w:cs="Times New Roman" w:hint="eastAsia"/>
          <w:sz w:val="18"/>
          <w:szCs w:val="18"/>
        </w:rPr>
        <w:t>月</w:t>
      </w:r>
      <w:r>
        <w:rPr>
          <w:rFonts w:ascii="Arial" w:eastAsia="仿宋" w:hAnsi="Arial" w:cs="Arial"/>
          <w:sz w:val="18"/>
          <w:szCs w:val="18"/>
        </w:rPr>
        <w:t>31</w:t>
      </w:r>
      <w:r>
        <w:rPr>
          <w:rFonts w:cs="Times New Roman" w:hint="eastAsia"/>
          <w:sz w:val="18"/>
          <w:szCs w:val="18"/>
        </w:rPr>
        <w:t>日，此项商誉不存在减值情况。</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2</w:t>
      </w:r>
      <w:r>
        <w:rPr>
          <w:rFonts w:cs="Times New Roman" w:hint="eastAsia"/>
          <w:sz w:val="18"/>
          <w:szCs w:val="18"/>
        </w:rPr>
        <w:t>）商誉所属资产组或资产组组合的相关信息</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商誉所属资产组为江阴华西化工码头有限公司固定资产、无形资产等经营性长期资产，与以前年度保持一致。</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3</w:t>
      </w:r>
      <w:r>
        <w:rPr>
          <w:rFonts w:cs="Times New Roman" w:hint="eastAsia"/>
          <w:sz w:val="18"/>
          <w:szCs w:val="18"/>
        </w:rPr>
        <w:t>）可收回金额的具体确定方法</w:t>
      </w:r>
    </w:p>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cs="Times New Roman" w:hint="eastAsia"/>
          <w:sz w:val="18"/>
          <w:szCs w:val="18"/>
        </w:rPr>
        <w:t>可收回金额按预计未来现金流量的现值确定，预测期的年限为</w:t>
      </w:r>
      <w:r>
        <w:rPr>
          <w:rFonts w:ascii="Arial" w:eastAsia="仿宋" w:hAnsi="Arial" w:cs="Arial"/>
          <w:sz w:val="18"/>
          <w:szCs w:val="18"/>
        </w:rPr>
        <w:t>5</w:t>
      </w:r>
      <w:r>
        <w:rPr>
          <w:rFonts w:cs="Times New Roman" w:hint="eastAsia"/>
          <w:sz w:val="18"/>
          <w:szCs w:val="18"/>
        </w:rPr>
        <w:t>年，预测期内的收入增长率为</w:t>
      </w:r>
      <w:r>
        <w:rPr>
          <w:rFonts w:ascii="Arial" w:eastAsia="仿宋" w:hAnsi="Arial" w:cs="Arial"/>
          <w:sz w:val="18"/>
          <w:szCs w:val="18"/>
        </w:rPr>
        <w:t>2%</w:t>
      </w:r>
      <w:r>
        <w:rPr>
          <w:rFonts w:cs="Times New Roman" w:hint="eastAsia"/>
          <w:sz w:val="18"/>
          <w:szCs w:val="18"/>
        </w:rPr>
        <w:t>，稳定期增长率</w:t>
      </w:r>
      <w:r>
        <w:rPr>
          <w:rFonts w:ascii="Arial" w:eastAsia="仿宋" w:hAnsi="Arial" w:cs="Arial"/>
          <w:sz w:val="18"/>
          <w:szCs w:val="18"/>
        </w:rPr>
        <w:t>2%</w:t>
      </w:r>
      <w:r>
        <w:rPr>
          <w:rFonts w:cs="Times New Roman" w:hint="eastAsia"/>
          <w:sz w:val="18"/>
          <w:szCs w:val="18"/>
        </w:rPr>
        <w:t>，折现率为</w:t>
      </w:r>
      <w:r>
        <w:rPr>
          <w:rFonts w:ascii="Arial" w:eastAsia="仿宋" w:hAnsi="Arial" w:cs="Arial"/>
          <w:sz w:val="18"/>
          <w:szCs w:val="18"/>
        </w:rPr>
        <w:t>10%</w:t>
      </w:r>
      <w:r>
        <w:rPr>
          <w:rFonts w:cs="Times New Roman" w:hint="eastAsia"/>
          <w:sz w:val="18"/>
          <w:szCs w:val="18"/>
        </w:rPr>
        <w:t>。</w:t>
      </w:r>
    </w:p>
    <w:p w:rsidR="00A95787" w:rsidRDefault="005D3CC1">
      <w:pPr>
        <w:pStyle w:val="3"/>
        <w:spacing w:line="280" w:lineRule="exact"/>
        <w:jc w:val="left"/>
        <w:rPr>
          <w:rFonts w:ascii="宋体" w:hAnsi="宋体" w:cs="宋体"/>
          <w:b/>
          <w:bCs/>
        </w:rPr>
      </w:pPr>
      <w:bookmarkStart w:id="262" w:name="_Toc989146"/>
      <w:r>
        <w:rPr>
          <w:rFonts w:ascii="宋体" w:hAnsi="宋体" w:cs="宋体"/>
          <w:b/>
          <w:bCs/>
        </w:rPr>
        <w:t>16、递延所得税资产/递延所得税负债</w:t>
      </w:r>
      <w:bookmarkEnd w:id="262"/>
    </w:p>
    <w:p w:rsidR="00A95787" w:rsidRDefault="005D3CC1">
      <w:pPr>
        <w:keepNext/>
        <w:keepLines/>
        <w:spacing w:before="300" w:after="300" w:line="280" w:lineRule="exact"/>
        <w:outlineLvl w:val="3"/>
        <w:rPr>
          <w:rFonts w:ascii="宋体" w:eastAsia="宋体" w:hAnsi="宋体" w:cs="宋体"/>
          <w:b/>
          <w:bCs/>
          <w:szCs w:val="21"/>
        </w:rPr>
      </w:pPr>
      <w:bookmarkStart w:id="263" w:name="_Toc989147"/>
      <w:r>
        <w:rPr>
          <w:rFonts w:ascii="宋体" w:eastAsia="宋体" w:hAnsi="宋体" w:cs="宋体"/>
          <w:b/>
          <w:bCs/>
          <w:szCs w:val="21"/>
        </w:rPr>
        <w:t>（1） 未经抵销的递延所得税资产</w:t>
      </w:r>
      <w:bookmarkEnd w:id="26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5"/>
        <w:gridCol w:w="1928"/>
        <w:gridCol w:w="1928"/>
        <w:gridCol w:w="1928"/>
        <w:gridCol w:w="2036"/>
      </w:tblGrid>
      <w:tr w:rsidR="00A95787">
        <w:trPr>
          <w:trHeight w:val="240"/>
        </w:trPr>
        <w:tc>
          <w:tcPr>
            <w:tcW w:w="18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96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8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hint="eastAsia"/>
                <w:sz w:val="18"/>
                <w:szCs w:val="18"/>
              </w:rPr>
              <w:t>存货</w:t>
            </w:r>
            <w:r w:rsidR="00B157BE">
              <w:rPr>
                <w:rFonts w:ascii="宋体" w:eastAsia="宋体" w:hAnsi="宋体" w:cs="宋体"/>
                <w:sz w:val="18"/>
                <w:szCs w:val="18"/>
              </w:rPr>
              <w:t>跌价</w:t>
            </w:r>
            <w:r>
              <w:rPr>
                <w:rFonts w:ascii="宋体" w:eastAsia="宋体" w:hAnsi="宋体" w:cs="宋体"/>
                <w:sz w:val="18"/>
                <w:szCs w:val="18"/>
              </w:rPr>
              <w:t>准备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4,751,823.51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1,187,955.88</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5,299,258.12</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1,324,814.53</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10,709,534.80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2,677,383.70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17,734,757.84</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4,255,544.33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49,876,039.67</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12,301,073.60</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45,731.16</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11,432.79</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72,728,690.17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18,182,172.54</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83,361,809.28</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20,840,452.32</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94,240,022.72</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23,560,005.68</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9,718,041.22</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562,800.00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633,150.00</w:t>
            </w:r>
          </w:p>
        </w:tc>
      </w:tr>
      <w:tr w:rsidR="00A95787">
        <w:trPr>
          <w:trHeight w:val="240"/>
        </w:trPr>
        <w:tc>
          <w:tcPr>
            <w:tcW w:w="18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203,936,829.04</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50,428,862.13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181,696,003.08</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44,831,964.46</w:t>
            </w:r>
          </w:p>
        </w:tc>
      </w:tr>
    </w:tbl>
    <w:p w:rsidR="00A95787" w:rsidRDefault="005D3CC1">
      <w:pPr>
        <w:keepNext/>
        <w:keepLines/>
        <w:spacing w:before="300" w:after="300" w:line="280" w:lineRule="exact"/>
        <w:outlineLvl w:val="3"/>
        <w:rPr>
          <w:rFonts w:ascii="宋体" w:eastAsia="宋体" w:hAnsi="宋体" w:cs="宋体"/>
          <w:b/>
          <w:bCs/>
          <w:szCs w:val="21"/>
        </w:rPr>
      </w:pPr>
      <w:bookmarkStart w:id="264" w:name="_Toc989148"/>
      <w:r>
        <w:rPr>
          <w:rFonts w:ascii="宋体" w:eastAsia="宋体" w:hAnsi="宋体" w:cs="宋体"/>
          <w:b/>
          <w:bCs/>
          <w:szCs w:val="21"/>
        </w:rPr>
        <w:lastRenderedPageBreak/>
        <w:t>（2） 未经抵销的递延所得税负债</w:t>
      </w:r>
      <w:bookmarkEnd w:id="26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2032"/>
        <w:gridCol w:w="1925"/>
        <w:gridCol w:w="1938"/>
        <w:gridCol w:w="1925"/>
      </w:tblGrid>
      <w:tr w:rsidR="00A95787">
        <w:trPr>
          <w:trHeight w:val="240"/>
        </w:trPr>
        <w:tc>
          <w:tcPr>
            <w:tcW w:w="18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项目</w:t>
            </w:r>
          </w:p>
        </w:tc>
        <w:tc>
          <w:tcPr>
            <w:tcW w:w="395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期末余额</w:t>
            </w:r>
          </w:p>
        </w:tc>
        <w:tc>
          <w:tcPr>
            <w:tcW w:w="38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8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60" w:lineRule="exact"/>
            </w:pPr>
          </w:p>
        </w:tc>
        <w:tc>
          <w:tcPr>
            <w:tcW w:w="20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非同一控制企业合并资产评估增值</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其他债权投资公允价值变动</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167,706,743.30</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41,926,685.82</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209,014,146.52</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52,253,536.62</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6,554,989.71</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1,638,747.42</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2,647,603.56</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661,900.89</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60" w:lineRule="exact"/>
              <w:rPr>
                <w:rFonts w:ascii="宋体" w:eastAsia="宋体" w:hAnsi="宋体" w:cs="宋体"/>
                <w:sz w:val="18"/>
                <w:szCs w:val="18"/>
              </w:rPr>
            </w:pPr>
            <w:r>
              <w:rPr>
                <w:rFonts w:ascii="宋体" w:eastAsia="宋体" w:hAnsi="宋体" w:cs="宋体"/>
                <w:sz w:val="18"/>
                <w:szCs w:val="18"/>
              </w:rPr>
              <w:t>合计</w:t>
            </w:r>
          </w:p>
        </w:tc>
        <w:tc>
          <w:tcPr>
            <w:tcW w:w="20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174,261,733.01</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43,565,433.24</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211,661,750.08</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60" w:lineRule="exact"/>
              <w:jc w:val="right"/>
              <w:rPr>
                <w:rFonts w:ascii="宋体" w:eastAsia="宋体" w:hAnsi="宋体" w:cs="宋体"/>
                <w:sz w:val="18"/>
                <w:szCs w:val="18"/>
              </w:rPr>
            </w:pPr>
            <w:r>
              <w:rPr>
                <w:rFonts w:ascii="宋体" w:eastAsia="宋体" w:hAnsi="宋体" w:cs="宋体"/>
                <w:sz w:val="18"/>
                <w:szCs w:val="18"/>
              </w:rPr>
              <w:t>52,915,437.51</w:t>
            </w:r>
          </w:p>
        </w:tc>
      </w:tr>
    </w:tbl>
    <w:p w:rsidR="00A95787" w:rsidRDefault="005D3CC1">
      <w:pPr>
        <w:keepNext/>
        <w:keepLines/>
        <w:spacing w:before="300" w:after="300" w:line="280" w:lineRule="exact"/>
        <w:outlineLvl w:val="3"/>
        <w:rPr>
          <w:rFonts w:ascii="宋体" w:eastAsia="宋体" w:hAnsi="宋体" w:cs="宋体"/>
          <w:b/>
          <w:bCs/>
          <w:szCs w:val="21"/>
        </w:rPr>
      </w:pPr>
      <w:bookmarkStart w:id="265" w:name="_Toc989149"/>
      <w:r>
        <w:rPr>
          <w:rFonts w:ascii="宋体" w:eastAsia="宋体" w:hAnsi="宋体" w:cs="宋体"/>
          <w:b/>
          <w:bCs/>
          <w:szCs w:val="21"/>
        </w:rPr>
        <w:t>（3） 以抵销后净额列示的递延所得税资产或负债</w:t>
      </w:r>
      <w:bookmarkEnd w:id="26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2020"/>
        <w:gridCol w:w="1937"/>
        <w:gridCol w:w="1938"/>
        <w:gridCol w:w="1925"/>
      </w:tblGrid>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02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202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14,298,835.01</w:t>
            </w:r>
          </w:p>
        </w:tc>
        <w:tc>
          <w:tcPr>
            <w:tcW w:w="1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36,130,027.12</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23,131,362.52</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202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14,298,835.01</w:t>
            </w:r>
          </w:p>
        </w:tc>
        <w:tc>
          <w:tcPr>
            <w:tcW w:w="1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29,266,598.23</w:t>
            </w:r>
          </w:p>
        </w:tc>
        <w:tc>
          <w:tcPr>
            <w:tcW w:w="19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31,214,835.57</w:t>
            </w:r>
          </w:p>
        </w:tc>
      </w:tr>
    </w:tbl>
    <w:p w:rsidR="00A95787" w:rsidRDefault="005D3CC1">
      <w:pPr>
        <w:keepNext/>
        <w:keepLines/>
        <w:spacing w:before="300" w:after="300" w:line="280" w:lineRule="exact"/>
        <w:outlineLvl w:val="3"/>
        <w:rPr>
          <w:rFonts w:ascii="宋体" w:eastAsia="宋体" w:hAnsi="宋体" w:cs="宋体"/>
          <w:b/>
          <w:bCs/>
          <w:szCs w:val="21"/>
        </w:rPr>
      </w:pPr>
      <w:bookmarkStart w:id="266" w:name="_Toc989150"/>
      <w:r>
        <w:rPr>
          <w:rFonts w:ascii="宋体" w:eastAsia="宋体" w:hAnsi="宋体" w:cs="宋体"/>
          <w:b/>
          <w:bCs/>
          <w:szCs w:val="21"/>
        </w:rPr>
        <w:t>（4） 未确认递延所得税资产明细</w:t>
      </w:r>
      <w:bookmarkEnd w:id="26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11,925,476.52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12,061,277.83</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700,671.64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12,626,148.16</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12,061,277.83</w:t>
            </w:r>
          </w:p>
        </w:tc>
      </w:tr>
    </w:tbl>
    <w:p w:rsidR="00A95787" w:rsidRDefault="005D3CC1">
      <w:pPr>
        <w:pStyle w:val="3"/>
        <w:spacing w:line="280" w:lineRule="exact"/>
        <w:jc w:val="left"/>
        <w:rPr>
          <w:rFonts w:ascii="宋体" w:hAnsi="宋体" w:cs="宋体"/>
          <w:b/>
          <w:bCs/>
        </w:rPr>
      </w:pPr>
      <w:bookmarkStart w:id="267" w:name="_Toc989151"/>
      <w:r>
        <w:rPr>
          <w:rFonts w:ascii="宋体" w:hAnsi="宋体" w:cs="宋体"/>
          <w:b/>
          <w:bCs/>
        </w:rPr>
        <w:t>17、其他非流动资产</w:t>
      </w:r>
      <w:bookmarkEnd w:id="26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3"/>
        <w:gridCol w:w="1475"/>
        <w:gridCol w:w="1287"/>
        <w:gridCol w:w="1325"/>
        <w:gridCol w:w="1413"/>
        <w:gridCol w:w="1412"/>
        <w:gridCol w:w="1313"/>
      </w:tblGrid>
      <w:tr w:rsidR="00A95787">
        <w:trPr>
          <w:trHeight w:val="240"/>
        </w:trPr>
        <w:tc>
          <w:tcPr>
            <w:tcW w:w="14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08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4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合同取得成本</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应收退货成本</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7,880,500.00</w:t>
            </w:r>
          </w:p>
        </w:tc>
      </w:tr>
      <w:tr w:rsidR="00A95787">
        <w:trPr>
          <w:trHeight w:val="240"/>
        </w:trPr>
        <w:tc>
          <w:tcPr>
            <w:tcW w:w="14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1,548,900.00</w:t>
            </w:r>
          </w:p>
        </w:tc>
        <w:tc>
          <w:tcPr>
            <w:tcW w:w="14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4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7,880,500.00</w:t>
            </w:r>
          </w:p>
        </w:tc>
      </w:tr>
    </w:tbl>
    <w:p w:rsidR="00A95787" w:rsidRDefault="005D3CC1">
      <w:pPr>
        <w:pStyle w:val="3"/>
        <w:spacing w:line="280" w:lineRule="exact"/>
        <w:jc w:val="left"/>
        <w:rPr>
          <w:rFonts w:ascii="宋体" w:hAnsi="宋体" w:cs="宋体"/>
          <w:b/>
          <w:bCs/>
        </w:rPr>
      </w:pPr>
      <w:bookmarkStart w:id="268" w:name="_Toc989152"/>
      <w:r>
        <w:rPr>
          <w:rFonts w:ascii="宋体" w:hAnsi="宋体" w:cs="宋体"/>
          <w:b/>
          <w:bCs/>
        </w:rPr>
        <w:lastRenderedPageBreak/>
        <w:t>18、所有权或使用权受到限制的资产</w:t>
      </w:r>
      <w:bookmarkEnd w:id="26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4"/>
        <w:gridCol w:w="1163"/>
        <w:gridCol w:w="1188"/>
        <w:gridCol w:w="862"/>
        <w:gridCol w:w="1250"/>
        <w:gridCol w:w="1188"/>
        <w:gridCol w:w="1137"/>
        <w:gridCol w:w="709"/>
        <w:gridCol w:w="1179"/>
      </w:tblGrid>
      <w:tr w:rsidR="00A95787">
        <w:trPr>
          <w:trHeight w:val="240"/>
        </w:trPr>
        <w:tc>
          <w:tcPr>
            <w:tcW w:w="97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46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A95787">
        <w:trPr>
          <w:trHeight w:val="240"/>
        </w:trPr>
        <w:tc>
          <w:tcPr>
            <w:tcW w:w="97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受限</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2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受限</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1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129,331,063.94</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129,331,063.94</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借款保证金、国际信用证保证金、质押的定期存款及利息</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70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借款保证金、信用证保证金、质押的定期存款及利息</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1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14,195,101.20</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14,195,101.20</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70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票据质押</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1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92,016,699.57</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92,016,699.57</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70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票据质押</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11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339,050,246.99</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339,050,246.99</w:t>
            </w:r>
          </w:p>
        </w:tc>
        <w:tc>
          <w:tcPr>
            <w:tcW w:w="8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2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中国工商银行借款4,000.00万元由江苏华西集团有限公司提供担保及公司持有的江阴华西化工码头有限公司75%股权质押</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436,567,504.89</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436,567,504.89</w:t>
            </w:r>
          </w:p>
        </w:tc>
        <w:tc>
          <w:tcPr>
            <w:tcW w:w="70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中国工商银行借款2,000.00万元由江苏华西集团有限公司提供担保及公司持有的江阴华西化工码头有限公司75%股权质押</w:t>
            </w:r>
          </w:p>
        </w:tc>
      </w:tr>
      <w:tr w:rsidR="00A95787">
        <w:trPr>
          <w:trHeight w:val="240"/>
        </w:trPr>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1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574,593,111.70</w:t>
            </w:r>
          </w:p>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574,593,111.70</w:t>
            </w:r>
          </w:p>
        </w:tc>
        <w:tc>
          <w:tcPr>
            <w:tcW w:w="8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2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11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pStyle w:val="3"/>
        <w:spacing w:line="280" w:lineRule="exact"/>
        <w:jc w:val="left"/>
        <w:rPr>
          <w:rFonts w:ascii="宋体" w:hAnsi="宋体" w:cs="宋体"/>
          <w:b/>
          <w:bCs/>
        </w:rPr>
      </w:pPr>
      <w:bookmarkStart w:id="269" w:name="_Toc989153"/>
      <w:r>
        <w:rPr>
          <w:rFonts w:ascii="宋体" w:hAnsi="宋体" w:cs="宋体"/>
          <w:b/>
          <w:bCs/>
        </w:rPr>
        <w:t>19、短期借款</w:t>
      </w:r>
      <w:bookmarkEnd w:id="269"/>
    </w:p>
    <w:p w:rsidR="00A95787" w:rsidRDefault="005D3CC1">
      <w:pPr>
        <w:keepNext/>
        <w:keepLines/>
        <w:spacing w:before="300" w:after="300" w:line="280" w:lineRule="exact"/>
        <w:outlineLvl w:val="3"/>
        <w:rPr>
          <w:rFonts w:ascii="宋体" w:eastAsia="宋体" w:hAnsi="宋体" w:cs="宋体"/>
          <w:b/>
          <w:bCs/>
          <w:szCs w:val="21"/>
        </w:rPr>
      </w:pPr>
      <w:bookmarkStart w:id="270" w:name="_Toc989154"/>
      <w:r>
        <w:rPr>
          <w:rFonts w:ascii="宋体" w:eastAsia="宋体" w:hAnsi="宋体" w:cs="宋体"/>
          <w:b/>
          <w:bCs/>
          <w:szCs w:val="21"/>
        </w:rPr>
        <w:t>（1） 短期借款分类</w:t>
      </w:r>
      <w:bookmarkEnd w:id="27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332,338,618.49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423,971,038.22</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645,501,655.54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669,629,209.30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450,679.17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575,663.63</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978,290,953.20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bl>
    <w:p w:rsidR="00A95787" w:rsidRDefault="005D3CC1">
      <w:pPr>
        <w:keepNext/>
        <w:keepLines/>
        <w:spacing w:before="300" w:after="300" w:line="280" w:lineRule="exact"/>
        <w:outlineLvl w:val="3"/>
        <w:rPr>
          <w:rFonts w:ascii="宋体" w:eastAsia="宋体" w:hAnsi="宋体" w:cs="宋体"/>
          <w:b/>
          <w:bCs/>
          <w:szCs w:val="21"/>
        </w:rPr>
      </w:pPr>
      <w:bookmarkStart w:id="271" w:name="_Toc989155"/>
      <w:r>
        <w:rPr>
          <w:rFonts w:ascii="宋体" w:eastAsia="宋体" w:hAnsi="宋体" w:cs="宋体"/>
          <w:b/>
          <w:bCs/>
          <w:szCs w:val="21"/>
        </w:rPr>
        <w:t>（2） 已逾期未偿还的短期借款情况</w:t>
      </w:r>
      <w:bookmarkEnd w:id="271"/>
    </w:p>
    <w:p w:rsidR="00A95787" w:rsidRDefault="005D3CC1">
      <w:pPr>
        <w:pStyle w:val="a6"/>
        <w:rPr>
          <w:sz w:val="18"/>
          <w:szCs w:val="18"/>
        </w:rPr>
      </w:pPr>
      <w:r>
        <w:rPr>
          <w:rFonts w:hint="eastAsia"/>
          <w:sz w:val="18"/>
          <w:szCs w:val="18"/>
        </w:rPr>
        <w:t>  截至报告期末，公司无已逾期未偿还短期借款。</w:t>
      </w:r>
    </w:p>
    <w:p w:rsidR="00A95787" w:rsidRDefault="005D3CC1">
      <w:pPr>
        <w:pStyle w:val="3"/>
        <w:spacing w:line="280" w:lineRule="exact"/>
        <w:jc w:val="left"/>
        <w:rPr>
          <w:rFonts w:ascii="宋体" w:hAnsi="宋体" w:cs="宋体"/>
          <w:b/>
          <w:bCs/>
        </w:rPr>
      </w:pPr>
      <w:bookmarkStart w:id="272" w:name="_Toc989156"/>
      <w:r>
        <w:rPr>
          <w:rFonts w:ascii="宋体" w:hAnsi="宋体" w:cs="宋体"/>
          <w:b/>
          <w:bCs/>
        </w:rPr>
        <w:lastRenderedPageBreak/>
        <w:t>20、应付账款</w:t>
      </w:r>
      <w:bookmarkEnd w:id="272"/>
    </w:p>
    <w:p w:rsidR="00A95787" w:rsidRDefault="005D3CC1">
      <w:pPr>
        <w:keepNext/>
        <w:keepLines/>
        <w:spacing w:before="300" w:after="300" w:line="280" w:lineRule="exact"/>
        <w:outlineLvl w:val="3"/>
        <w:rPr>
          <w:rFonts w:ascii="宋体" w:eastAsia="宋体" w:hAnsi="宋体" w:cs="宋体"/>
          <w:b/>
          <w:bCs/>
          <w:sz w:val="18"/>
          <w:szCs w:val="18"/>
        </w:rPr>
      </w:pPr>
      <w:bookmarkStart w:id="273" w:name="_Toc989157"/>
      <w:r>
        <w:rPr>
          <w:rFonts w:ascii="宋体" w:eastAsia="宋体" w:hAnsi="宋体" w:cs="宋体"/>
          <w:b/>
          <w:bCs/>
          <w:sz w:val="18"/>
          <w:szCs w:val="18"/>
        </w:rPr>
        <w:t>（1） 应付账款列示</w:t>
      </w:r>
      <w:bookmarkEnd w:id="27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135,347,030.11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64,019,142.17</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22,197,924.16</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13,377,044.31</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157,544,954.27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77,396,186.48</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274" w:name="_Toc989158"/>
      <w:r>
        <w:rPr>
          <w:rFonts w:ascii="宋体" w:eastAsia="宋体" w:hAnsi="宋体" w:cs="宋体"/>
          <w:b/>
          <w:bCs/>
          <w:sz w:val="18"/>
          <w:szCs w:val="18"/>
        </w:rPr>
        <w:t>（2） 账龄超过1年或逾期的重要应付账款</w:t>
      </w:r>
      <w:bookmarkEnd w:id="27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33"/>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未偿还或结转的原因</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应付单位A</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7,540,000.00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款项尚未结算</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7,540,000.00</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pStyle w:val="3"/>
        <w:spacing w:line="280" w:lineRule="exact"/>
        <w:jc w:val="left"/>
        <w:rPr>
          <w:rFonts w:ascii="宋体" w:hAnsi="宋体" w:cs="宋体"/>
          <w:b/>
          <w:bCs/>
        </w:rPr>
      </w:pPr>
      <w:bookmarkStart w:id="275" w:name="_Toc989159"/>
      <w:r>
        <w:rPr>
          <w:rFonts w:ascii="宋体" w:hAnsi="宋体" w:cs="宋体"/>
          <w:b/>
          <w:bCs/>
        </w:rPr>
        <w:t>21、其他应付款</w:t>
      </w:r>
      <w:bookmarkEnd w:id="27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33"/>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544,749.91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607,183.47</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544,749.91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607,183.47</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276" w:name="_Toc989160"/>
      <w:r>
        <w:rPr>
          <w:rFonts w:ascii="宋体" w:eastAsia="宋体" w:hAnsi="宋体" w:cs="宋体"/>
          <w:b/>
          <w:bCs/>
          <w:sz w:val="18"/>
          <w:szCs w:val="18"/>
        </w:rPr>
        <w:t>（1） 其他应付款</w:t>
      </w:r>
      <w:bookmarkEnd w:id="276"/>
    </w:p>
    <w:p w:rsidR="00A95787" w:rsidRDefault="005D3CC1">
      <w:pPr>
        <w:keepNext/>
        <w:keepLines/>
        <w:spacing w:before="300" w:after="300" w:line="280" w:lineRule="exact"/>
        <w:outlineLvl w:val="4"/>
        <w:rPr>
          <w:rFonts w:ascii="宋体" w:eastAsia="宋体" w:hAnsi="宋体" w:cs="宋体"/>
          <w:b/>
          <w:bCs/>
          <w:sz w:val="18"/>
          <w:szCs w:val="18"/>
        </w:rPr>
      </w:pPr>
      <w:bookmarkStart w:id="277" w:name="_Toc989161"/>
      <w:r>
        <w:rPr>
          <w:rFonts w:ascii="宋体" w:eastAsia="宋体" w:hAnsi="宋体" w:cs="宋体"/>
          <w:b/>
          <w:bCs/>
          <w:sz w:val="18"/>
          <w:szCs w:val="18"/>
        </w:rPr>
        <w:t>1） 按款项性质列示其他应付款</w:t>
      </w:r>
      <w:bookmarkEnd w:id="27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122,041.10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203,354.87</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22,708.81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3,828.60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544,749.91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607,183.47</w:t>
            </w:r>
          </w:p>
        </w:tc>
      </w:tr>
    </w:tbl>
    <w:p w:rsidR="00A95787" w:rsidRDefault="005D3CC1">
      <w:pPr>
        <w:keepNext/>
        <w:keepLines/>
        <w:spacing w:before="300" w:after="300" w:line="280" w:lineRule="exact"/>
        <w:outlineLvl w:val="4"/>
        <w:rPr>
          <w:rFonts w:ascii="宋体" w:eastAsia="宋体" w:hAnsi="宋体" w:cs="宋体"/>
          <w:b/>
          <w:bCs/>
          <w:sz w:val="18"/>
          <w:szCs w:val="18"/>
        </w:rPr>
      </w:pPr>
      <w:bookmarkStart w:id="278" w:name="_Toc989162"/>
      <w:r>
        <w:rPr>
          <w:rFonts w:ascii="宋体" w:eastAsia="宋体" w:hAnsi="宋体" w:cs="宋体"/>
          <w:b/>
          <w:bCs/>
          <w:sz w:val="18"/>
          <w:szCs w:val="18"/>
        </w:rPr>
        <w:t>2） 账龄超过1年或逾期的重要其他应付款</w:t>
      </w:r>
      <w:bookmarkEnd w:id="278"/>
    </w:p>
    <w:p w:rsidR="00A95787" w:rsidRDefault="005D3CC1">
      <w:pPr>
        <w:rPr>
          <w:sz w:val="18"/>
          <w:szCs w:val="18"/>
        </w:rPr>
      </w:pPr>
      <w:r>
        <w:rPr>
          <w:rFonts w:ascii="宋体" w:hAnsi="宋体" w:cs="Arial" w:hint="eastAsia"/>
          <w:sz w:val="18"/>
          <w:szCs w:val="18"/>
        </w:rPr>
        <w:t>公司无账龄超过1年的重要其他应付款。</w:t>
      </w:r>
    </w:p>
    <w:p w:rsidR="00A95787" w:rsidRDefault="005D3CC1">
      <w:pPr>
        <w:pStyle w:val="3"/>
        <w:spacing w:line="280" w:lineRule="exact"/>
        <w:jc w:val="left"/>
        <w:rPr>
          <w:rFonts w:ascii="宋体" w:hAnsi="宋体" w:cs="宋体"/>
          <w:b/>
          <w:bCs/>
        </w:rPr>
      </w:pPr>
      <w:bookmarkStart w:id="279" w:name="_Toc989163"/>
      <w:r>
        <w:rPr>
          <w:rFonts w:ascii="宋体" w:hAnsi="宋体" w:cs="宋体"/>
          <w:b/>
          <w:bCs/>
        </w:rPr>
        <w:t>22、预收款项</w:t>
      </w:r>
      <w:bookmarkEnd w:id="279"/>
    </w:p>
    <w:p w:rsidR="00A95787" w:rsidRDefault="005D3CC1" w:rsidP="00507B8E">
      <w:pPr>
        <w:keepNext/>
        <w:keepLines/>
        <w:spacing w:before="300" w:after="300" w:line="280" w:lineRule="exact"/>
        <w:outlineLvl w:val="3"/>
        <w:rPr>
          <w:rFonts w:ascii="宋体" w:eastAsia="宋体" w:hAnsi="宋体" w:cs="宋体"/>
          <w:sz w:val="18"/>
          <w:szCs w:val="18"/>
        </w:rPr>
      </w:pPr>
      <w:bookmarkStart w:id="280" w:name="_Toc989164"/>
      <w:r>
        <w:rPr>
          <w:rFonts w:ascii="宋体" w:eastAsia="宋体" w:hAnsi="宋体" w:cs="宋体"/>
          <w:b/>
          <w:bCs/>
          <w:sz w:val="18"/>
          <w:szCs w:val="18"/>
        </w:rPr>
        <w:t>（1） 预收款项列示</w:t>
      </w:r>
      <w:bookmarkEnd w:id="280"/>
      <w:r w:rsidR="00507B8E">
        <w:rPr>
          <w:rFonts w:ascii="宋体" w:eastAsia="宋体" w:hAnsi="宋体" w:cs="宋体" w:hint="eastAsia"/>
          <w:b/>
          <w:bCs/>
          <w:sz w:val="18"/>
          <w:szCs w:val="18"/>
        </w:rPr>
        <w:t xml:space="preserve">                                                                             </w:t>
      </w: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预收仓储款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3,295,307.31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7,126,997.60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3,295,307.31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7,126,997.60</w:t>
            </w:r>
          </w:p>
        </w:tc>
      </w:tr>
    </w:tbl>
    <w:p w:rsidR="00A95787" w:rsidRDefault="005D3CC1" w:rsidP="00FD52B9">
      <w:pPr>
        <w:keepNext/>
        <w:keepLines/>
        <w:adjustRightInd w:val="0"/>
        <w:snapToGrid w:val="0"/>
        <w:spacing w:before="300" w:after="300" w:line="276" w:lineRule="auto"/>
        <w:outlineLvl w:val="3"/>
        <w:rPr>
          <w:rFonts w:ascii="宋体" w:eastAsia="宋体" w:hAnsi="宋体" w:cs="宋体"/>
          <w:b/>
          <w:bCs/>
          <w:sz w:val="18"/>
          <w:szCs w:val="18"/>
        </w:rPr>
      </w:pPr>
      <w:bookmarkStart w:id="281" w:name="_Toc989165"/>
      <w:r>
        <w:rPr>
          <w:rFonts w:ascii="宋体" w:eastAsia="宋体" w:hAnsi="宋体" w:cs="宋体"/>
          <w:b/>
          <w:bCs/>
          <w:sz w:val="18"/>
          <w:szCs w:val="18"/>
        </w:rPr>
        <w:lastRenderedPageBreak/>
        <w:t>（2） 账龄超过1年或逾期的重要预收款项</w:t>
      </w:r>
      <w:bookmarkEnd w:id="281"/>
    </w:p>
    <w:p w:rsidR="00A95787" w:rsidRDefault="005D3CC1" w:rsidP="00FD52B9">
      <w:pPr>
        <w:adjustRightInd w:val="0"/>
        <w:snapToGrid w:val="0"/>
        <w:spacing w:line="276" w:lineRule="auto"/>
        <w:rPr>
          <w:rFonts w:ascii="宋体" w:hAnsi="宋体" w:cs="Arial"/>
          <w:sz w:val="18"/>
          <w:szCs w:val="18"/>
        </w:rPr>
      </w:pPr>
      <w:r>
        <w:rPr>
          <w:rFonts w:ascii="宋体" w:hAnsi="宋体" w:cs="Arial" w:hint="eastAsia"/>
          <w:sz w:val="18"/>
          <w:szCs w:val="18"/>
        </w:rPr>
        <w:t>公司无账龄超过1年的重要预收款项。</w:t>
      </w:r>
    </w:p>
    <w:p w:rsidR="00A95787" w:rsidRDefault="005D3CC1">
      <w:pPr>
        <w:pStyle w:val="3"/>
        <w:spacing w:line="280" w:lineRule="exact"/>
        <w:jc w:val="left"/>
        <w:rPr>
          <w:rFonts w:ascii="宋体" w:hAnsi="宋体" w:cs="宋体"/>
          <w:b/>
          <w:bCs/>
        </w:rPr>
      </w:pPr>
      <w:bookmarkStart w:id="282" w:name="_Toc989166"/>
      <w:r>
        <w:rPr>
          <w:rFonts w:ascii="宋体" w:hAnsi="宋体" w:cs="宋体"/>
          <w:b/>
          <w:bCs/>
        </w:rPr>
        <w:t>23、合同负债</w:t>
      </w:r>
      <w:bookmarkEnd w:id="28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562"/>
        <w:gridCol w:w="2767"/>
        <w:gridCol w:w="3296"/>
      </w:tblGrid>
      <w:tr w:rsidR="00A95787">
        <w:trPr>
          <w:trHeight w:val="240"/>
        </w:trPr>
        <w:tc>
          <w:tcPr>
            <w:tcW w:w="35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76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5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276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98,613,171.27</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64,710,771.18</w:t>
            </w:r>
          </w:p>
        </w:tc>
      </w:tr>
      <w:tr w:rsidR="00A95787">
        <w:trPr>
          <w:trHeight w:val="240"/>
        </w:trPr>
        <w:tc>
          <w:tcPr>
            <w:tcW w:w="35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减：计入其他流动负债（附注七、26）</w:t>
            </w:r>
          </w:p>
        </w:tc>
        <w:tc>
          <w:tcPr>
            <w:tcW w:w="276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11,089,764.99</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6,749,895.30</w:t>
            </w:r>
          </w:p>
        </w:tc>
      </w:tr>
      <w:tr w:rsidR="00A95787">
        <w:trPr>
          <w:trHeight w:val="240"/>
        </w:trPr>
        <w:tc>
          <w:tcPr>
            <w:tcW w:w="35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76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87,523,406.28</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57,960,875.88</w:t>
            </w:r>
          </w:p>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账龄超过1年的重要合同负债</w:t>
      </w:r>
    </w:p>
    <w:p w:rsidR="00A95787" w:rsidRDefault="005D3CC1">
      <w:pPr>
        <w:spacing w:line="240" w:lineRule="exact"/>
        <w:rPr>
          <w:rFonts w:ascii="宋体" w:eastAsia="宋体" w:hAnsi="宋体" w:cs="宋体"/>
          <w:sz w:val="18"/>
          <w:szCs w:val="18"/>
        </w:rPr>
      </w:pPr>
      <w:r>
        <w:rPr>
          <w:rFonts w:ascii="宋体" w:hAnsi="宋体" w:cs="Arial" w:hint="eastAsia"/>
          <w:sz w:val="18"/>
          <w:szCs w:val="18"/>
        </w:rPr>
        <w:t>公司无账龄超过1年的重要合同负债。</w:t>
      </w:r>
    </w:p>
    <w:p w:rsidR="00A95787" w:rsidRDefault="005D3CC1">
      <w:pPr>
        <w:pStyle w:val="3"/>
        <w:spacing w:line="280" w:lineRule="exact"/>
        <w:jc w:val="left"/>
        <w:rPr>
          <w:rFonts w:ascii="宋体" w:hAnsi="宋体" w:cs="宋体"/>
          <w:b/>
          <w:bCs/>
        </w:rPr>
      </w:pPr>
      <w:bookmarkStart w:id="283" w:name="_Toc989167"/>
      <w:r>
        <w:rPr>
          <w:rFonts w:ascii="宋体" w:hAnsi="宋体" w:cs="宋体"/>
          <w:b/>
          <w:bCs/>
        </w:rPr>
        <w:t>24、应付职工薪酬</w:t>
      </w:r>
      <w:bookmarkEnd w:id="283"/>
    </w:p>
    <w:p w:rsidR="00A95787" w:rsidRDefault="005D3CC1">
      <w:pPr>
        <w:keepNext/>
        <w:keepLines/>
        <w:spacing w:before="300" w:after="300" w:line="280" w:lineRule="exact"/>
        <w:outlineLvl w:val="3"/>
        <w:rPr>
          <w:rFonts w:ascii="宋体" w:eastAsia="宋体" w:hAnsi="宋体" w:cs="宋体"/>
          <w:b/>
          <w:bCs/>
          <w:szCs w:val="21"/>
        </w:rPr>
      </w:pPr>
      <w:bookmarkStart w:id="284" w:name="_Toc989168"/>
      <w:r>
        <w:rPr>
          <w:rFonts w:ascii="宋体" w:eastAsia="宋体" w:hAnsi="宋体" w:cs="宋体"/>
          <w:b/>
          <w:bCs/>
          <w:szCs w:val="21"/>
        </w:rPr>
        <w:t>（1） 应付职工薪酬列示</w:t>
      </w:r>
      <w:bookmarkEnd w:id="28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588" w:type="dxa"/>
        <w:tblInd w:w="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38"/>
        <w:gridCol w:w="2000"/>
        <w:gridCol w:w="1750"/>
        <w:gridCol w:w="1900"/>
        <w:gridCol w:w="1900"/>
      </w:tblGrid>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35,169,624.37</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107,495,323.11</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107,651,430.64</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35,013,516.84</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16,472.07</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7,513,734.92</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7,508,427.18</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21,779.81</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四、一年内到期的其他福利</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35,186,096.44</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115,009,058.03</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115,159,857.82</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35,035,296.65</w:t>
            </w:r>
          </w:p>
        </w:tc>
      </w:tr>
    </w:tbl>
    <w:p w:rsidR="00A95787" w:rsidRDefault="005D3CC1" w:rsidP="00FD52B9">
      <w:pPr>
        <w:keepNext/>
        <w:keepLines/>
        <w:spacing w:before="300" w:after="300"/>
        <w:outlineLvl w:val="3"/>
        <w:rPr>
          <w:rFonts w:ascii="宋体" w:eastAsia="宋体" w:hAnsi="宋体" w:cs="宋体"/>
          <w:sz w:val="18"/>
          <w:szCs w:val="18"/>
        </w:rPr>
      </w:pPr>
      <w:bookmarkStart w:id="285" w:name="_Toc989169"/>
      <w:r>
        <w:rPr>
          <w:rFonts w:ascii="宋体" w:eastAsia="宋体" w:hAnsi="宋体" w:cs="宋体"/>
          <w:b/>
          <w:bCs/>
          <w:szCs w:val="21"/>
        </w:rPr>
        <w:t>（2） 短期薪酬列示</w:t>
      </w:r>
      <w:bookmarkEnd w:id="285"/>
      <w:r w:rsidR="00FD52B9">
        <w:rPr>
          <w:rFonts w:ascii="宋体" w:eastAsia="宋体" w:hAnsi="宋体" w:cs="宋体" w:hint="eastAsia"/>
          <w:b/>
          <w:bCs/>
          <w:szCs w:val="21"/>
        </w:rPr>
        <w:t xml:space="preserve">                                                               </w:t>
      </w: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50"/>
        <w:gridCol w:w="2000"/>
        <w:gridCol w:w="1763"/>
        <w:gridCol w:w="1912"/>
        <w:gridCol w:w="1900"/>
      </w:tblGrid>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33,912,373.67</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94,439,362.71</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94,817,967.52</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33,533,768.86</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6,054,201.87</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6,054,201.87</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10,238.66</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4,094,880.94</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4,091,581.79</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13,537.81</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9,983.09</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3,313,637.06</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3,310,420.26</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13,199.89</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255.57</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428,467.97</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428,385.62</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337.92</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352,775.91</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352,775.91</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4,360.00</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1,529,549.00</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1,527,509.00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6,400.00</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1,242,652.04</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1,377,328.59</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1,160,170.46</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1,459,810.17</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6、短期带薪缺勤</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7、短期利润分享计划</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0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35,169,624.37</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107,495,323.11</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107,651,430.64</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35,013,516.84</w:t>
            </w:r>
          </w:p>
        </w:tc>
      </w:tr>
    </w:tbl>
    <w:p w:rsidR="00A95787" w:rsidRDefault="005D3CC1">
      <w:pPr>
        <w:keepNext/>
        <w:keepLines/>
        <w:spacing w:before="300" w:after="300" w:line="280" w:lineRule="exact"/>
        <w:outlineLvl w:val="3"/>
        <w:rPr>
          <w:rFonts w:ascii="宋体" w:eastAsia="宋体" w:hAnsi="宋体" w:cs="宋体"/>
          <w:b/>
          <w:bCs/>
          <w:szCs w:val="21"/>
        </w:rPr>
      </w:pPr>
      <w:bookmarkStart w:id="286" w:name="_Toc989170"/>
      <w:r>
        <w:rPr>
          <w:rFonts w:ascii="宋体" w:eastAsia="宋体" w:hAnsi="宋体" w:cs="宋体"/>
          <w:b/>
          <w:bCs/>
          <w:szCs w:val="21"/>
        </w:rPr>
        <w:lastRenderedPageBreak/>
        <w:t>（3） 设定提存计划列示</w:t>
      </w:r>
      <w:bookmarkEnd w:id="28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38"/>
        <w:gridCol w:w="2012"/>
        <w:gridCol w:w="1763"/>
        <w:gridCol w:w="1912"/>
        <w:gridCol w:w="1900"/>
      </w:tblGrid>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0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15,972.91</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7,279,931.21</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7,274,784.32</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21,119.80</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499.16</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233,803.71</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233,642.86</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660.01</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3、企业年金缴费</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0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16,472.07</w:t>
            </w:r>
          </w:p>
        </w:tc>
        <w:tc>
          <w:tcPr>
            <w:tcW w:w="1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7,513,734.92</w:t>
            </w:r>
          </w:p>
        </w:tc>
        <w:tc>
          <w:tcPr>
            <w:tcW w:w="1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7,508,427.18</w:t>
            </w:r>
          </w:p>
        </w:tc>
        <w:tc>
          <w:tcPr>
            <w:tcW w:w="1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21,779.81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本公司按规定参加由政府机构设立的养老保险、失业保险计划，根据该等计划，本公司分别按员工基本工资的</w:t>
      </w:r>
      <w:r>
        <w:rPr>
          <w:rFonts w:ascii="Arial" w:hAnsi="Arial" w:cs="Arial"/>
          <w:sz w:val="18"/>
          <w:szCs w:val="18"/>
        </w:rPr>
        <w:t>16.00%</w:t>
      </w:r>
      <w:r>
        <w:rPr>
          <w:rFonts w:cs="Times New Roman" w:hint="eastAsia"/>
          <w:sz w:val="18"/>
          <w:szCs w:val="18"/>
        </w:rPr>
        <w:t>、</w:t>
      </w:r>
      <w:r>
        <w:rPr>
          <w:rFonts w:ascii="Arial" w:hAnsi="Arial" w:cs="Arial"/>
          <w:sz w:val="18"/>
          <w:szCs w:val="18"/>
        </w:rPr>
        <w:t>0.50%</w:t>
      </w:r>
      <w:r>
        <w:rPr>
          <w:rFonts w:cs="Times New Roman" w:hint="eastAsia"/>
          <w:sz w:val="18"/>
          <w:szCs w:val="18"/>
        </w:rPr>
        <w:t>，每月向该等计划缴存费用。除上述每月缴存费用外，本公司不再承担进一步支付义务。相应的支出于发生时计入当期损益或相关资产的成本。</w:t>
      </w:r>
    </w:p>
    <w:p w:rsidR="00A95787" w:rsidRDefault="005D3CC1">
      <w:pPr>
        <w:pStyle w:val="3"/>
        <w:spacing w:line="280" w:lineRule="exact"/>
        <w:jc w:val="left"/>
        <w:rPr>
          <w:rFonts w:ascii="宋体" w:hAnsi="宋体" w:cs="宋体"/>
          <w:b/>
          <w:bCs/>
        </w:rPr>
      </w:pPr>
      <w:bookmarkStart w:id="287" w:name="_Toc989171"/>
      <w:r>
        <w:rPr>
          <w:rFonts w:ascii="宋体" w:hAnsi="宋体" w:cs="宋体"/>
          <w:b/>
          <w:bCs/>
        </w:rPr>
        <w:t>25、应交税费</w:t>
      </w:r>
      <w:bookmarkEnd w:id="28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79"/>
        <w:gridCol w:w="3213"/>
        <w:gridCol w:w="3333"/>
      </w:tblGrid>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250,726.00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731,205.48</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11,821,815.76</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234,568.06</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298,919.13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138,561.36</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4,253.54</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51,736.34</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3,880.75</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42,325.03</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641,779.07</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602,112.03</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235,320.80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128,045.00</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583,143.07</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649,504.21</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9,231.90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11,218.15</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13,849,070.02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2,589,275.66</w:t>
            </w:r>
          </w:p>
        </w:tc>
      </w:tr>
    </w:tbl>
    <w:p w:rsidR="00A95787" w:rsidRDefault="005D3CC1">
      <w:pPr>
        <w:pStyle w:val="3"/>
        <w:spacing w:line="280" w:lineRule="exact"/>
        <w:jc w:val="left"/>
        <w:rPr>
          <w:rFonts w:ascii="宋体" w:hAnsi="宋体" w:cs="宋体"/>
          <w:b/>
          <w:bCs/>
        </w:rPr>
      </w:pPr>
      <w:bookmarkStart w:id="288" w:name="_Toc989172"/>
      <w:r>
        <w:rPr>
          <w:rFonts w:ascii="宋体" w:hAnsi="宋体" w:cs="宋体"/>
          <w:b/>
          <w:bCs/>
        </w:rPr>
        <w:t>26、其他流动负债</w:t>
      </w:r>
      <w:bookmarkEnd w:id="28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rPr>
                <w:rFonts w:ascii="宋体" w:eastAsia="宋体" w:hAnsi="宋体" w:cs="宋体"/>
                <w:sz w:val="18"/>
                <w:szCs w:val="18"/>
              </w:rPr>
            </w:pPr>
            <w:r>
              <w:rPr>
                <w:rFonts w:ascii="宋体" w:eastAsia="宋体" w:hAnsi="宋体" w:cs="宋体"/>
                <w:sz w:val="18"/>
                <w:szCs w:val="18"/>
              </w:rPr>
              <w:t>短期应付债券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rPr>
                <w:rFonts w:ascii="宋体" w:eastAsia="宋体" w:hAnsi="宋体" w:cs="宋体"/>
                <w:sz w:val="18"/>
                <w:szCs w:val="18"/>
              </w:rPr>
            </w:pPr>
            <w:r>
              <w:rPr>
                <w:rFonts w:ascii="宋体" w:eastAsia="宋体" w:hAnsi="宋体" w:cs="宋体"/>
                <w:sz w:val="18"/>
                <w:szCs w:val="18"/>
              </w:rPr>
              <w:t>应付退货款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11,089,764.99</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6,749,895.30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66,063,775.94</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23,656,519.00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20,000.00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20,000.00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77,173,540.93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30,426,414.30</w:t>
            </w:r>
          </w:p>
        </w:tc>
      </w:tr>
    </w:tbl>
    <w:p w:rsidR="00A95787" w:rsidRDefault="005D3CC1">
      <w:pPr>
        <w:pStyle w:val="3"/>
        <w:spacing w:line="280" w:lineRule="exact"/>
        <w:jc w:val="left"/>
        <w:rPr>
          <w:rFonts w:ascii="宋体" w:hAnsi="宋体" w:cs="宋体"/>
          <w:b/>
          <w:bCs/>
        </w:rPr>
      </w:pPr>
      <w:bookmarkStart w:id="289" w:name="_Toc989173"/>
      <w:r>
        <w:rPr>
          <w:rFonts w:ascii="宋体" w:hAnsi="宋体" w:cs="宋体"/>
          <w:b/>
          <w:bCs/>
        </w:rPr>
        <w:lastRenderedPageBreak/>
        <w:t>27、长期借款</w:t>
      </w:r>
      <w:bookmarkEnd w:id="289"/>
    </w:p>
    <w:p w:rsidR="00A95787" w:rsidRDefault="005D3CC1">
      <w:pPr>
        <w:keepNext/>
        <w:keepLines/>
        <w:spacing w:before="300" w:after="300" w:line="280" w:lineRule="exact"/>
        <w:outlineLvl w:val="3"/>
        <w:rPr>
          <w:rFonts w:ascii="宋体" w:eastAsia="宋体" w:hAnsi="宋体" w:cs="宋体"/>
          <w:b/>
          <w:bCs/>
          <w:sz w:val="18"/>
          <w:szCs w:val="18"/>
        </w:rPr>
      </w:pPr>
      <w:bookmarkStart w:id="290" w:name="_Toc989174"/>
      <w:r>
        <w:rPr>
          <w:rFonts w:ascii="宋体" w:eastAsia="宋体" w:hAnsi="宋体" w:cs="宋体"/>
          <w:b/>
          <w:bCs/>
          <w:sz w:val="18"/>
          <w:szCs w:val="18"/>
        </w:rPr>
        <w:t>（1） 长期借款分类</w:t>
      </w:r>
      <w:bookmarkEnd w:id="29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08"/>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19,500,000.00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19,743.75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19,519,743.75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bl>
    <w:p w:rsidR="00A95787" w:rsidRDefault="005D3CC1">
      <w:pPr>
        <w:pStyle w:val="3"/>
        <w:spacing w:line="280" w:lineRule="exact"/>
        <w:jc w:val="left"/>
        <w:rPr>
          <w:rFonts w:ascii="宋体" w:hAnsi="宋体" w:cs="宋体"/>
          <w:b/>
          <w:bCs/>
        </w:rPr>
      </w:pPr>
      <w:bookmarkStart w:id="291" w:name="_Toc989175"/>
      <w:r>
        <w:rPr>
          <w:rFonts w:ascii="宋体" w:hAnsi="宋体" w:cs="宋体"/>
          <w:b/>
          <w:bCs/>
        </w:rPr>
        <w:t>28、递延收益</w:t>
      </w:r>
      <w:bookmarkEnd w:id="29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97"/>
        <w:gridCol w:w="1606"/>
        <w:gridCol w:w="1606"/>
        <w:gridCol w:w="1607"/>
        <w:gridCol w:w="1607"/>
        <w:gridCol w:w="1702"/>
      </w:tblGrid>
      <w:tr w:rsidR="00A95787">
        <w:trPr>
          <w:trHeight w:val="240"/>
        </w:trPr>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A95787">
        <w:trPr>
          <w:trHeight w:val="240"/>
        </w:trPr>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70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收到生态环境保护专款</w:t>
            </w:r>
          </w:p>
        </w:tc>
      </w:tr>
      <w:tr w:rsidR="00A95787">
        <w:trPr>
          <w:trHeight w:val="240"/>
        </w:trPr>
        <w:tc>
          <w:tcPr>
            <w:tcW w:w="14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w:t>
            </w:r>
            <w:r w:rsidR="00FD52B9">
              <w:rPr>
                <w:rFonts w:ascii="宋体" w:eastAsia="宋体" w:hAnsi="宋体" w:cs="宋体" w:hint="eastAsia"/>
                <w:sz w:val="18"/>
                <w:szCs w:val="18"/>
              </w:rPr>
              <w:t xml:space="preserve">   </w:t>
            </w:r>
            <w:r>
              <w:rPr>
                <w:rFonts w:ascii="宋体" w:eastAsia="宋体" w:hAnsi="宋体" w:cs="宋体"/>
                <w:sz w:val="18"/>
                <w:szCs w:val="18"/>
              </w:rPr>
              <w:t>计</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pStyle w:val="a6"/>
        <w:spacing w:before="0" w:beforeAutospacing="0" w:after="0" w:afterAutospacing="0" w:line="400" w:lineRule="atLeast"/>
        <w:ind w:firstLine="360"/>
        <w:rPr>
          <w:rFonts w:ascii="Times New Roman" w:hAnsi="Times New Roman" w:cs="Times New Roman"/>
          <w:sz w:val="21"/>
          <w:szCs w:val="21"/>
        </w:rPr>
      </w:pPr>
      <w:r>
        <w:rPr>
          <w:rFonts w:cs="Times New Roman" w:hint="eastAsia"/>
          <w:sz w:val="18"/>
          <w:szCs w:val="18"/>
        </w:rPr>
        <w:t>注：计入递延收益的政府补助详</w:t>
      </w:r>
      <w:r>
        <w:rPr>
          <w:rFonts w:cs="Times New Roman" w:hint="eastAsia"/>
          <w:sz w:val="18"/>
          <w:szCs w:val="18"/>
          <w:shd w:val="clear" w:color="auto" w:fill="FFFFFF"/>
        </w:rPr>
        <w:t>见附注十、</w:t>
      </w:r>
      <w:r>
        <w:rPr>
          <w:rFonts w:ascii="Arial" w:hAnsi="Arial" w:cs="Arial"/>
          <w:sz w:val="18"/>
          <w:szCs w:val="18"/>
          <w:shd w:val="clear" w:color="auto" w:fill="FFFFFF"/>
        </w:rPr>
        <w:t>1</w:t>
      </w:r>
      <w:r>
        <w:rPr>
          <w:rFonts w:cs="Times New Roman" w:hint="eastAsia"/>
          <w:sz w:val="18"/>
          <w:szCs w:val="18"/>
          <w:shd w:val="clear" w:color="auto" w:fill="FFFFFF"/>
        </w:rPr>
        <w:t>、涉及政府补助的负债项目。</w:t>
      </w:r>
    </w:p>
    <w:p w:rsidR="00A95787" w:rsidRDefault="005D3CC1">
      <w:pPr>
        <w:pStyle w:val="3"/>
        <w:spacing w:line="280" w:lineRule="exact"/>
        <w:jc w:val="left"/>
        <w:rPr>
          <w:rFonts w:ascii="宋体" w:hAnsi="宋体" w:cs="宋体"/>
          <w:b/>
          <w:bCs/>
        </w:rPr>
      </w:pPr>
      <w:bookmarkStart w:id="292" w:name="_Toc989176"/>
      <w:r>
        <w:rPr>
          <w:rFonts w:ascii="宋体" w:hAnsi="宋体" w:cs="宋体"/>
          <w:b/>
          <w:bCs/>
        </w:rPr>
        <w:t>29、股本</w:t>
      </w:r>
      <w:bookmarkEnd w:id="29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5"/>
        <w:gridCol w:w="1505"/>
        <w:gridCol w:w="1138"/>
        <w:gridCol w:w="972"/>
        <w:gridCol w:w="1205"/>
        <w:gridCol w:w="1073"/>
        <w:gridCol w:w="1075"/>
        <w:gridCol w:w="1562"/>
      </w:tblGrid>
      <w:tr w:rsidR="00A95787">
        <w:trPr>
          <w:trHeight w:val="240"/>
        </w:trPr>
        <w:tc>
          <w:tcPr>
            <w:tcW w:w="109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463"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09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7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07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5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09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1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7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5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A95787" w:rsidRDefault="005D3CC1">
      <w:pPr>
        <w:pStyle w:val="3"/>
        <w:spacing w:line="280" w:lineRule="exact"/>
        <w:jc w:val="left"/>
        <w:rPr>
          <w:rFonts w:ascii="宋体" w:hAnsi="宋体" w:cs="宋体"/>
          <w:b/>
          <w:bCs/>
        </w:rPr>
      </w:pPr>
      <w:bookmarkStart w:id="293" w:name="_Toc989177"/>
      <w:r>
        <w:rPr>
          <w:rFonts w:ascii="宋体" w:hAnsi="宋体" w:cs="宋体"/>
          <w:b/>
          <w:bCs/>
        </w:rPr>
        <w:t>30、资本公积</w:t>
      </w:r>
      <w:bookmarkEnd w:id="29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88"/>
        <w:gridCol w:w="1887"/>
        <w:gridCol w:w="1775"/>
        <w:gridCol w:w="1752"/>
        <w:gridCol w:w="2023"/>
      </w:tblGrid>
      <w:tr w:rsidR="00A95787">
        <w:trPr>
          <w:trHeight w:val="240"/>
        </w:trPr>
        <w:tc>
          <w:tcPr>
            <w:tcW w:w="2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8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20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375,027,661.91</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A95787">
        <w:trPr>
          <w:trHeight w:val="240"/>
        </w:trPr>
        <w:tc>
          <w:tcPr>
            <w:tcW w:w="2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16,021,680.21</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6,178,414.66</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9,843,265.55</w:t>
            </w:r>
          </w:p>
        </w:tc>
      </w:tr>
      <w:tr w:rsidR="00A95787">
        <w:trPr>
          <w:trHeight w:val="240"/>
        </w:trPr>
        <w:tc>
          <w:tcPr>
            <w:tcW w:w="21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391,049,342.12</w:t>
            </w:r>
          </w:p>
        </w:tc>
        <w:tc>
          <w:tcPr>
            <w:tcW w:w="1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6,178,414.66</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384,870,927.46</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注：本期资本公积其他资本公积减少系公司对联营企业一村资本有限公司、</w:t>
      </w:r>
      <w:r>
        <w:rPr>
          <w:rFonts w:ascii="Arial" w:hAnsi="Arial" w:cs="Arial"/>
          <w:sz w:val="18"/>
          <w:szCs w:val="18"/>
        </w:rPr>
        <w:t>Source Photonics Holdings(Cayman) Limited</w:t>
      </w:r>
      <w:r>
        <w:rPr>
          <w:rFonts w:cs="Times New Roman" w:hint="eastAsia"/>
          <w:sz w:val="18"/>
          <w:szCs w:val="18"/>
        </w:rPr>
        <w:t>权益法核算时所致。</w:t>
      </w:r>
    </w:p>
    <w:p w:rsidR="00A95787" w:rsidRDefault="005D3CC1">
      <w:pPr>
        <w:pStyle w:val="3"/>
        <w:spacing w:line="280" w:lineRule="exact"/>
        <w:jc w:val="left"/>
        <w:rPr>
          <w:rFonts w:ascii="宋体" w:hAnsi="宋体" w:cs="宋体"/>
          <w:b/>
          <w:bCs/>
        </w:rPr>
      </w:pPr>
      <w:bookmarkStart w:id="294" w:name="_Toc989178"/>
      <w:r>
        <w:rPr>
          <w:rFonts w:ascii="宋体" w:hAnsi="宋体" w:cs="宋体"/>
          <w:b/>
          <w:bCs/>
        </w:rPr>
        <w:t>31、其他综合收益</w:t>
      </w:r>
      <w:bookmarkEnd w:id="29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2"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9"/>
        <w:gridCol w:w="1071"/>
        <w:gridCol w:w="1071"/>
        <w:gridCol w:w="1071"/>
        <w:gridCol w:w="1071"/>
        <w:gridCol w:w="1071"/>
        <w:gridCol w:w="1071"/>
        <w:gridCol w:w="1071"/>
        <w:gridCol w:w="1166"/>
      </w:tblGrid>
      <w:tr w:rsidR="00A95787">
        <w:trPr>
          <w:trHeight w:val="240"/>
        </w:trPr>
        <w:tc>
          <w:tcPr>
            <w:tcW w:w="94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11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94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1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9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lastRenderedPageBreak/>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6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9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6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5,334,249.49</w:t>
            </w:r>
          </w:p>
        </w:tc>
      </w:tr>
      <w:tr w:rsidR="00A95787">
        <w:trPr>
          <w:trHeight w:val="240"/>
        </w:trPr>
        <w:tc>
          <w:tcPr>
            <w:tcW w:w="9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6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5,334,249.49</w:t>
            </w:r>
          </w:p>
        </w:tc>
      </w:tr>
      <w:tr w:rsidR="00A95787">
        <w:trPr>
          <w:trHeight w:val="240"/>
        </w:trPr>
        <w:tc>
          <w:tcPr>
            <w:tcW w:w="94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-7,596,867.23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16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5,334,249.49</w:t>
            </w:r>
          </w:p>
        </w:tc>
      </w:tr>
    </w:tbl>
    <w:p w:rsidR="00A95787" w:rsidRDefault="005D3CC1">
      <w:pPr>
        <w:pStyle w:val="3"/>
        <w:spacing w:line="280" w:lineRule="exact"/>
        <w:jc w:val="left"/>
        <w:rPr>
          <w:rFonts w:ascii="宋体" w:hAnsi="宋体" w:cs="宋体"/>
          <w:b/>
          <w:bCs/>
        </w:rPr>
      </w:pPr>
      <w:bookmarkStart w:id="295" w:name="_Toc989179"/>
      <w:r>
        <w:rPr>
          <w:rFonts w:ascii="宋体" w:hAnsi="宋体" w:cs="宋体"/>
          <w:b/>
          <w:bCs/>
        </w:rPr>
        <w:t>32、盈余公积</w:t>
      </w:r>
      <w:bookmarkEnd w:id="29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928"/>
        <w:gridCol w:w="1928"/>
        <w:gridCol w:w="1928"/>
        <w:gridCol w:w="2036"/>
      </w:tblGrid>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435,671,944.53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14,973,036.07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450,644,980.60</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435,671,944.53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14,973,036.07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450,644,980.60</w:t>
            </w:r>
          </w:p>
        </w:tc>
      </w:tr>
    </w:tbl>
    <w:p w:rsidR="00A95787" w:rsidRDefault="005D3CC1">
      <w:pPr>
        <w:pStyle w:val="3"/>
        <w:spacing w:line="280" w:lineRule="exact"/>
        <w:jc w:val="left"/>
        <w:rPr>
          <w:rFonts w:ascii="宋体" w:hAnsi="宋体" w:cs="宋体"/>
          <w:b/>
          <w:bCs/>
        </w:rPr>
      </w:pPr>
      <w:bookmarkStart w:id="296" w:name="_Toc989180"/>
      <w:r>
        <w:rPr>
          <w:rFonts w:ascii="宋体" w:hAnsi="宋体" w:cs="宋体"/>
          <w:b/>
          <w:bCs/>
        </w:rPr>
        <w:t>33、未分配利润</w:t>
      </w:r>
      <w:bookmarkEnd w:id="29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625"/>
        <w:gridCol w:w="2704"/>
        <w:gridCol w:w="3321"/>
      </w:tblGrid>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7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调整前上期末未分配利润</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3,390,032,770.69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3,345,694,133.12</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调整后期初未分配利润</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3,390,032,770.69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3,345,694,133.12</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117,338,201.41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72,393,133.41</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减：提取法定盈余公积</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14,973,036.07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10,334,238.10</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35,440,515.48</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17,720,257.74</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期末未分配利润</w:t>
            </w:r>
          </w:p>
        </w:tc>
        <w:tc>
          <w:tcPr>
            <w:tcW w:w="27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3,456,957,420.55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3,390,032,770.69</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A95787" w:rsidRDefault="005D3CC1" w:rsidP="00507B8E">
      <w:pPr>
        <w:pStyle w:val="3"/>
        <w:spacing w:line="280" w:lineRule="exact"/>
        <w:jc w:val="left"/>
        <w:rPr>
          <w:rFonts w:ascii="宋体" w:hAnsi="宋体" w:cs="宋体"/>
          <w:sz w:val="18"/>
          <w:szCs w:val="18"/>
        </w:rPr>
      </w:pPr>
      <w:bookmarkStart w:id="297" w:name="_Toc989181"/>
      <w:r>
        <w:rPr>
          <w:rFonts w:ascii="宋体" w:hAnsi="宋体" w:cs="宋体"/>
          <w:b/>
          <w:bCs/>
        </w:rPr>
        <w:lastRenderedPageBreak/>
        <w:t>34、营业收入和营业成本</w:t>
      </w:r>
      <w:bookmarkEnd w:id="297"/>
      <w:r w:rsidR="00507B8E">
        <w:rPr>
          <w:rFonts w:ascii="宋体" w:hAnsi="宋体" w:cs="宋体" w:hint="eastAsia"/>
          <w:b/>
          <w:bCs/>
        </w:rPr>
        <w:t xml:space="preserve">                                                            </w:t>
      </w:r>
      <w:r>
        <w:rPr>
          <w:rFonts w:ascii="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30"/>
        <w:gridCol w:w="1928"/>
        <w:gridCol w:w="1928"/>
        <w:gridCol w:w="1928"/>
        <w:gridCol w:w="2036"/>
      </w:tblGrid>
      <w:tr w:rsidR="00A95787">
        <w:trPr>
          <w:trHeight w:val="240"/>
        </w:trPr>
        <w:tc>
          <w:tcPr>
            <w:tcW w:w="18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本期发生额</w:t>
            </w:r>
          </w:p>
        </w:tc>
        <w:tc>
          <w:tcPr>
            <w:tcW w:w="396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183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收入</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成本</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3,215,808,334.47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3,021,012,480.69</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2,830,825,037.37</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2,674,820,829.67</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45,503,569.05</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43,820,002.47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27,321,665.10</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26,452,779.06</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3,261,311,903.52</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3,064,832,483.16</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2,858,146,702.47</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2,701,273,608.73</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公司最近一个会计年度经审计利润总额、净利润、扣除非经常性损益后的净利润三者孰低为负值</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2"/>
        <w:gridCol w:w="1038"/>
        <w:gridCol w:w="1000"/>
        <w:gridCol w:w="962"/>
        <w:gridCol w:w="996"/>
        <w:gridCol w:w="1071"/>
        <w:gridCol w:w="1071"/>
        <w:gridCol w:w="1071"/>
        <w:gridCol w:w="1179"/>
      </w:tblGrid>
      <w:tr w:rsidR="00A95787">
        <w:trPr>
          <w:trHeight w:val="240"/>
        </w:trPr>
        <w:tc>
          <w:tcPr>
            <w:tcW w:w="12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合同分类</w:t>
            </w:r>
          </w:p>
        </w:tc>
        <w:tc>
          <w:tcPr>
            <w:tcW w:w="20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分部1</w:t>
            </w:r>
          </w:p>
        </w:tc>
        <w:tc>
          <w:tcPr>
            <w:tcW w:w="195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center"/>
              <w:rPr>
                <w:rFonts w:ascii="宋体" w:eastAsia="宋体" w:hAnsi="宋体" w:cs="宋体"/>
                <w:sz w:val="18"/>
                <w:szCs w:val="18"/>
              </w:rPr>
            </w:pPr>
            <w:r>
              <w:rPr>
                <w:rFonts w:ascii="宋体" w:eastAsia="宋体" w:hAnsi="宋体" w:cs="宋体"/>
                <w:sz w:val="18"/>
                <w:szCs w:val="18"/>
              </w:rPr>
              <w:t>本公司</w:t>
            </w:r>
          </w:p>
        </w:tc>
        <w:tc>
          <w:tcPr>
            <w:tcW w:w="22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12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营业收入</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营业成本</w:t>
            </w: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营业收入</w:t>
            </w: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营业收入</w:t>
            </w: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jc w:val="center"/>
              <w:rPr>
                <w:rFonts w:ascii="宋体" w:eastAsia="宋体" w:hAnsi="宋体" w:cs="宋体"/>
                <w:sz w:val="18"/>
                <w:szCs w:val="18"/>
              </w:rPr>
            </w:pPr>
            <w:r>
              <w:rPr>
                <w:rFonts w:ascii="宋体" w:eastAsia="宋体" w:hAnsi="宋体" w:cs="宋体"/>
                <w:sz w:val="18"/>
                <w:szCs w:val="18"/>
              </w:rPr>
              <w:t>营业成本</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业务类型</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rPr>
                <w:rFonts w:ascii="宋体" w:eastAsia="宋体" w:hAnsi="宋体" w:cs="宋体"/>
                <w:sz w:val="18"/>
                <w:szCs w:val="18"/>
              </w:rPr>
            </w:pPr>
            <w:r>
              <w:rPr>
                <w:rFonts w:ascii="宋体" w:eastAsia="宋体" w:hAnsi="宋体" w:cs="宋体"/>
                <w:sz w:val="18"/>
                <w:szCs w:val="18"/>
              </w:rPr>
              <w:t>纺织品销售收入</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3,049,790,480.17</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2,967,396,572.97</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3,049,790,480.17</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2,967,396,572.97</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rPr>
                <w:rFonts w:ascii="宋体" w:eastAsia="宋体" w:hAnsi="宋体" w:cs="宋体"/>
                <w:sz w:val="18"/>
                <w:szCs w:val="18"/>
              </w:rPr>
            </w:pPr>
            <w:r>
              <w:rPr>
                <w:rFonts w:ascii="宋体" w:eastAsia="宋体" w:hAnsi="宋体" w:cs="宋体"/>
                <w:sz w:val="18"/>
                <w:szCs w:val="18"/>
              </w:rPr>
              <w:t>码头仓储服务收入</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166,017,854.30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53,615,907.72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166,017,854.30</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53,615,907.72</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rPr>
                <w:rFonts w:ascii="宋体" w:eastAsia="宋体" w:hAnsi="宋体" w:cs="宋体"/>
                <w:sz w:val="18"/>
                <w:szCs w:val="18"/>
              </w:rPr>
            </w:pPr>
            <w:r>
              <w:rPr>
                <w:rFonts w:ascii="宋体" w:eastAsia="宋体" w:hAnsi="宋体" w:cs="宋体"/>
                <w:sz w:val="18"/>
                <w:szCs w:val="18"/>
              </w:rPr>
              <w:t>材料销售收入及其他</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45,503,569.05</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43,820,002.47</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45,503,569.05</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43,820,002.47</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按经营地区分类</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rPr>
                <w:rFonts w:ascii="宋体" w:eastAsia="宋体" w:hAnsi="宋体" w:cs="宋体"/>
                <w:sz w:val="18"/>
                <w:szCs w:val="18"/>
              </w:rPr>
            </w:pPr>
            <w:r>
              <w:rPr>
                <w:rFonts w:ascii="宋体" w:eastAsia="宋体" w:hAnsi="宋体" w:cs="宋体"/>
                <w:sz w:val="18"/>
                <w:szCs w:val="18"/>
              </w:rPr>
              <w:t>国内</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2,821,616,482.26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2,651,183,330.44</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2,821,616,482.26</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2,651,183,330.44</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rPr>
                <w:rFonts w:ascii="宋体" w:eastAsia="宋体" w:hAnsi="宋体" w:cs="宋体"/>
                <w:sz w:val="18"/>
                <w:szCs w:val="18"/>
              </w:rPr>
            </w:pPr>
            <w:r>
              <w:rPr>
                <w:rFonts w:ascii="宋体" w:eastAsia="宋体" w:hAnsi="宋体" w:cs="宋体"/>
                <w:sz w:val="18"/>
                <w:szCs w:val="18"/>
              </w:rPr>
              <w:t>国外</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439,695,421.26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413,649,152.72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439,695,421.26</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413,649,152.72</w:t>
            </w: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市场或客户类型</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rPr>
                <w:rFonts w:ascii="宋体" w:eastAsia="宋体" w:hAnsi="宋体" w:cs="宋体"/>
                <w:sz w:val="18"/>
                <w:szCs w:val="18"/>
              </w:rPr>
            </w:pP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合同类型</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rPr>
                <w:rFonts w:ascii="宋体" w:eastAsia="宋体" w:hAnsi="宋体" w:cs="宋体"/>
                <w:sz w:val="18"/>
                <w:szCs w:val="18"/>
              </w:rPr>
            </w:pP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按商品转让的时间分类</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rPr>
                <w:rFonts w:ascii="宋体" w:eastAsia="宋体" w:hAnsi="宋体" w:cs="宋体"/>
                <w:sz w:val="18"/>
                <w:szCs w:val="18"/>
              </w:rPr>
            </w:pP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按合同期限分类</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rPr>
                <w:rFonts w:ascii="宋体" w:eastAsia="宋体" w:hAnsi="宋体" w:cs="宋体"/>
                <w:sz w:val="18"/>
                <w:szCs w:val="18"/>
              </w:rPr>
            </w:pP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按销售渠道分类</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 xml:space="preserve">　其中：</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9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20" w:lineRule="exact"/>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rPr>
                <w:rFonts w:ascii="宋体" w:eastAsia="宋体" w:hAnsi="宋体" w:cs="宋体"/>
                <w:sz w:val="18"/>
                <w:szCs w:val="18"/>
              </w:rPr>
            </w:pP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r>
      <w:tr w:rsidR="00A95787">
        <w:trPr>
          <w:trHeight w:val="240"/>
        </w:trPr>
        <w:tc>
          <w:tcPr>
            <w:tcW w:w="12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20" w:lineRule="exact"/>
              <w:rPr>
                <w:rFonts w:ascii="宋体" w:eastAsia="宋体" w:hAnsi="宋体" w:cs="宋体"/>
                <w:sz w:val="18"/>
                <w:szCs w:val="18"/>
              </w:rPr>
            </w:pPr>
            <w:r>
              <w:rPr>
                <w:rFonts w:ascii="宋体" w:eastAsia="宋体" w:hAnsi="宋体" w:cs="宋体"/>
                <w:sz w:val="18"/>
                <w:szCs w:val="18"/>
              </w:rPr>
              <w:t>合计</w:t>
            </w:r>
          </w:p>
        </w:tc>
        <w:tc>
          <w:tcPr>
            <w:tcW w:w="103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99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3,261,311,903.52</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20" w:lineRule="exact"/>
              <w:jc w:val="right"/>
              <w:rPr>
                <w:rFonts w:ascii="宋体" w:eastAsia="宋体" w:hAnsi="宋体" w:cs="宋体"/>
                <w:sz w:val="18"/>
                <w:szCs w:val="18"/>
              </w:rPr>
            </w:pPr>
            <w:r>
              <w:rPr>
                <w:rFonts w:ascii="宋体" w:eastAsia="宋体" w:hAnsi="宋体" w:cs="宋体"/>
                <w:sz w:val="18"/>
                <w:szCs w:val="18"/>
              </w:rPr>
              <w:t>3,064,832,483.16</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与履约义务相关的信息：</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点履行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与分摊至剩余履约义务的交易价格相关的信息：</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本报告期末已签订合同、但尚未履行或尚未履行完毕的履约义务所对应的收入金额为</w:t>
      </w:r>
      <w:r>
        <w:rPr>
          <w:rFonts w:ascii="Arial" w:hAnsi="Arial" w:cs="Arial"/>
          <w:sz w:val="18"/>
          <w:szCs w:val="18"/>
        </w:rPr>
        <w:t>203,484,930.76</w:t>
      </w:r>
      <w:r>
        <w:rPr>
          <w:rFonts w:cs="Times New Roman" w:hint="eastAsia"/>
          <w:sz w:val="18"/>
          <w:szCs w:val="18"/>
        </w:rPr>
        <w:t>元，其中</w:t>
      </w:r>
      <w:r>
        <w:rPr>
          <w:rFonts w:ascii="Arial" w:hAnsi="Arial" w:cs="Arial"/>
          <w:sz w:val="18"/>
          <w:szCs w:val="18"/>
        </w:rPr>
        <w:t>203,484,930.76</w:t>
      </w:r>
      <w:r>
        <w:rPr>
          <w:rFonts w:cs="Times New Roman" w:hint="eastAsia"/>
          <w:sz w:val="18"/>
          <w:szCs w:val="18"/>
        </w:rPr>
        <w:t>元预计将于</w:t>
      </w:r>
      <w:r>
        <w:rPr>
          <w:rFonts w:ascii="Arial" w:hAnsi="Arial" w:cs="Arial"/>
          <w:sz w:val="18"/>
          <w:szCs w:val="18"/>
        </w:rPr>
        <w:t>2025</w:t>
      </w:r>
      <w:r>
        <w:rPr>
          <w:rFonts w:cs="Times New Roman" w:hint="eastAsia"/>
          <w:sz w:val="18"/>
          <w:szCs w:val="18"/>
        </w:rPr>
        <w:t>年度确认收入。</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前五名客户的营业收入情况：</w:t>
      </w:r>
    </w:p>
    <w:tbl>
      <w:tblPr>
        <w:tblW w:w="4973" w:type="pct"/>
        <w:tblCellMar>
          <w:left w:w="0" w:type="dxa"/>
          <w:right w:w="0" w:type="dxa"/>
        </w:tblCellMar>
        <w:tblLook w:val="04A0" w:firstRow="1" w:lastRow="0" w:firstColumn="1" w:lastColumn="0" w:noHBand="0" w:noVBand="1"/>
      </w:tblPr>
      <w:tblGrid>
        <w:gridCol w:w="3958"/>
        <w:gridCol w:w="2704"/>
        <w:gridCol w:w="2979"/>
      </w:tblGrid>
      <w:tr w:rsidR="00A95787">
        <w:trPr>
          <w:trHeight w:val="360"/>
          <w:tblHeader/>
        </w:trPr>
        <w:tc>
          <w:tcPr>
            <w:tcW w:w="205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4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4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上期金额</w:t>
            </w:r>
          </w:p>
        </w:tc>
      </w:tr>
      <w:tr w:rsidR="00A95787">
        <w:trPr>
          <w:trHeight w:val="360"/>
        </w:trPr>
        <w:tc>
          <w:tcPr>
            <w:tcW w:w="205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402" w:type="pct"/>
            <w:tcBorders>
              <w:top w:val="nil"/>
              <w:left w:val="nil"/>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998,544,016.85</w:t>
            </w:r>
          </w:p>
        </w:tc>
        <w:tc>
          <w:tcPr>
            <w:tcW w:w="1545" w:type="pct"/>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897,705,674.15</w:t>
            </w:r>
          </w:p>
        </w:tc>
      </w:tr>
      <w:tr w:rsidR="00A95787">
        <w:trPr>
          <w:trHeight w:val="360"/>
        </w:trPr>
        <w:tc>
          <w:tcPr>
            <w:tcW w:w="205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402"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30.62%</w:t>
            </w:r>
          </w:p>
        </w:tc>
        <w:tc>
          <w:tcPr>
            <w:tcW w:w="1545"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31.41%</w:t>
            </w:r>
          </w:p>
        </w:tc>
      </w:tr>
    </w:tbl>
    <w:p w:rsidR="00A95787" w:rsidRDefault="005D3CC1">
      <w:pPr>
        <w:pStyle w:val="3"/>
        <w:spacing w:line="280" w:lineRule="exact"/>
        <w:jc w:val="left"/>
        <w:rPr>
          <w:rFonts w:ascii="宋体" w:hAnsi="宋体" w:cs="宋体"/>
          <w:b/>
          <w:bCs/>
        </w:rPr>
      </w:pPr>
      <w:bookmarkStart w:id="298" w:name="_Toc989182"/>
      <w:r>
        <w:rPr>
          <w:rFonts w:ascii="宋体" w:hAnsi="宋体" w:cs="宋体"/>
          <w:b/>
          <w:bCs/>
        </w:rPr>
        <w:t>35、税金及附加</w:t>
      </w:r>
      <w:bookmarkEnd w:id="29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00" w:type="dxa"/>
        <w:tblInd w:w="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79"/>
        <w:gridCol w:w="3213"/>
        <w:gridCol w:w="3308"/>
      </w:tblGrid>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691,302.89</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1,181,075.21</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549,352.60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1,067,303.79</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2,551,672.30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2,406,656.40</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941,283.20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512,180.00</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8,760.00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10,536.00</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2,768,516.22</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2,280,706.89</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35,887.25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35,999.42</w:t>
            </w: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1,344.00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0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7,548,118.46</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7,494,457.71</w:t>
            </w:r>
          </w:p>
        </w:tc>
      </w:tr>
    </w:tbl>
    <w:p w:rsidR="00143177" w:rsidRPr="00143177" w:rsidRDefault="00143177" w:rsidP="00143177">
      <w:pPr>
        <w:tabs>
          <w:tab w:val="left" w:pos="8820"/>
          <w:tab w:val="left" w:pos="9000"/>
        </w:tabs>
        <w:spacing w:line="400" w:lineRule="exact"/>
        <w:ind w:firstLineChars="200" w:firstLine="360"/>
        <w:rPr>
          <w:rFonts w:ascii="Arial" w:hAnsi="Arial" w:cs="Arial"/>
          <w:sz w:val="18"/>
          <w:szCs w:val="18"/>
        </w:rPr>
      </w:pPr>
      <w:bookmarkStart w:id="299" w:name="_Toc989183"/>
      <w:r>
        <w:rPr>
          <w:rFonts w:ascii="Arial" w:hAnsi="Arial" w:cs="Arial"/>
          <w:sz w:val="18"/>
          <w:szCs w:val="18"/>
        </w:rPr>
        <w:t>注：各项税金及附加的计缴标准详见附注六</w:t>
      </w:r>
      <w:r w:rsidRPr="00143177">
        <w:rPr>
          <w:rFonts w:ascii="Arial" w:hAnsi="Arial" w:cs="Arial"/>
          <w:sz w:val="18"/>
          <w:szCs w:val="18"/>
        </w:rPr>
        <w:t>、税项。</w:t>
      </w:r>
    </w:p>
    <w:p w:rsidR="00A95787" w:rsidRDefault="005D3CC1">
      <w:pPr>
        <w:pStyle w:val="3"/>
        <w:spacing w:line="280" w:lineRule="exact"/>
        <w:jc w:val="left"/>
        <w:rPr>
          <w:rFonts w:ascii="宋体" w:hAnsi="宋体" w:cs="宋体"/>
          <w:b/>
          <w:bCs/>
        </w:rPr>
      </w:pPr>
      <w:r>
        <w:rPr>
          <w:rFonts w:ascii="宋体" w:hAnsi="宋体" w:cs="宋体"/>
          <w:b/>
          <w:bCs/>
        </w:rPr>
        <w:t>36、管理费用</w:t>
      </w:r>
      <w:bookmarkEnd w:id="29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25,515,717.11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20,573,342.70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2,571,059.05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2,520,502.31</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6,081,247.39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6,348,252.87</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8,531,353.62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11,711,592.73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1,812,586.75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2,368,268.53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2,314,647.14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2,469,977.59</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858,412.89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1,272,347.76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630,954.58</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804,767.27</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1,170,560.08</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1,195,501.90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127,594.92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140,306.20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律师费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738,713.74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188,679.25</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3,530,187.24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1,947,337.00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301,541.65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排污费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853,391.18</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55,037,967.34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51,540,876.11</w:t>
            </w:r>
          </w:p>
        </w:tc>
      </w:tr>
    </w:tbl>
    <w:p w:rsidR="00A95787" w:rsidRDefault="005D3CC1">
      <w:pPr>
        <w:pStyle w:val="3"/>
        <w:spacing w:line="320" w:lineRule="exact"/>
        <w:jc w:val="left"/>
        <w:rPr>
          <w:rFonts w:ascii="宋体" w:hAnsi="宋体" w:cs="宋体"/>
          <w:b/>
          <w:bCs/>
        </w:rPr>
      </w:pPr>
      <w:bookmarkStart w:id="300" w:name="_Toc989184"/>
      <w:r>
        <w:rPr>
          <w:rFonts w:ascii="宋体" w:hAnsi="宋体" w:cs="宋体"/>
          <w:b/>
          <w:bCs/>
        </w:rPr>
        <w:t>37、销售费用</w:t>
      </w:r>
      <w:bookmarkEnd w:id="30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1,128,000.00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1,122,000.00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2,659,458.36</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5,925,616.36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702,652.01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578,362.65</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335,036.00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344,426.42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51,424.34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53,156.73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4,876,570.71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8,023,562.16</w:t>
            </w:r>
          </w:p>
        </w:tc>
      </w:tr>
    </w:tbl>
    <w:p w:rsidR="00A95787" w:rsidRDefault="005D3CC1">
      <w:pPr>
        <w:pStyle w:val="3"/>
        <w:spacing w:line="280" w:lineRule="exact"/>
        <w:jc w:val="left"/>
        <w:rPr>
          <w:rFonts w:ascii="宋体" w:hAnsi="宋体" w:cs="宋体"/>
          <w:b/>
          <w:bCs/>
        </w:rPr>
      </w:pPr>
      <w:bookmarkStart w:id="301" w:name="_Toc989185"/>
      <w:r>
        <w:rPr>
          <w:rFonts w:ascii="宋体" w:hAnsi="宋体" w:cs="宋体"/>
          <w:b/>
          <w:bCs/>
        </w:rPr>
        <w:t>38、研发费用</w:t>
      </w:r>
      <w:bookmarkEnd w:id="30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6,772,151.71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7,599,763.64</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2,158,038.71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2,112,713.71</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616,669.27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668,479.08</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62,405.94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106,361.53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9,609,265.63</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10,487,317.96</w:t>
            </w:r>
          </w:p>
        </w:tc>
      </w:tr>
    </w:tbl>
    <w:p w:rsidR="00A95787" w:rsidRDefault="005D3CC1">
      <w:pPr>
        <w:pStyle w:val="3"/>
        <w:spacing w:line="280" w:lineRule="exact"/>
        <w:jc w:val="left"/>
        <w:rPr>
          <w:rFonts w:ascii="宋体" w:hAnsi="宋体" w:cs="宋体"/>
          <w:b/>
          <w:bCs/>
        </w:rPr>
      </w:pPr>
      <w:bookmarkStart w:id="302" w:name="_Toc989186"/>
      <w:r>
        <w:rPr>
          <w:rFonts w:ascii="宋体" w:hAnsi="宋体" w:cs="宋体"/>
          <w:b/>
          <w:bCs/>
        </w:rPr>
        <w:t>39、财务费用</w:t>
      </w:r>
      <w:bookmarkEnd w:id="30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32,678,147.33</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36,829,414.66</w:t>
            </w:r>
          </w:p>
        </w:tc>
      </w:tr>
      <w:tr w:rsidR="004F6471">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4F6471" w:rsidRDefault="004F6471" w:rsidP="00FE0D93">
            <w:pPr>
              <w:spacing w:line="240" w:lineRule="exact"/>
              <w:jc w:val="right"/>
              <w:rPr>
                <w:rFonts w:ascii="宋体" w:eastAsia="宋体" w:hAnsi="宋体" w:cs="宋体"/>
                <w:sz w:val="18"/>
                <w:szCs w:val="18"/>
              </w:rPr>
            </w:pPr>
            <w:r>
              <w:rPr>
                <w:rFonts w:ascii="宋体" w:eastAsia="宋体" w:hAnsi="宋体" w:cs="宋体"/>
                <w:sz w:val="18"/>
                <w:szCs w:val="18"/>
              </w:rPr>
              <w:t>32,678,147.33</w:t>
            </w:r>
          </w:p>
        </w:tc>
        <w:tc>
          <w:tcPr>
            <w:tcW w:w="3321" w:type="dxa"/>
            <w:tcBorders>
              <w:top w:val="single" w:sz="2" w:space="0" w:color="auto"/>
              <w:left w:val="single" w:sz="2" w:space="0" w:color="auto"/>
              <w:bottom w:val="single" w:sz="2" w:space="0" w:color="auto"/>
              <w:right w:val="single" w:sz="2" w:space="0" w:color="auto"/>
            </w:tcBorders>
            <w:vAlign w:val="center"/>
          </w:tcPr>
          <w:p w:rsidR="004F6471" w:rsidRDefault="004F6471" w:rsidP="00FE0D93">
            <w:pPr>
              <w:spacing w:line="240" w:lineRule="exact"/>
              <w:jc w:val="right"/>
              <w:rPr>
                <w:rFonts w:ascii="宋体" w:eastAsia="宋体" w:hAnsi="宋体" w:cs="宋体"/>
                <w:sz w:val="18"/>
                <w:szCs w:val="18"/>
              </w:rPr>
            </w:pPr>
            <w:r>
              <w:rPr>
                <w:rFonts w:ascii="宋体" w:eastAsia="宋体" w:hAnsi="宋体" w:cs="宋体"/>
                <w:sz w:val="18"/>
                <w:szCs w:val="18"/>
              </w:rPr>
              <w:t>36,829,414.66</w:t>
            </w:r>
          </w:p>
        </w:tc>
      </w:tr>
      <w:tr w:rsidR="004F6471">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5,216,415.45</w:t>
            </w:r>
          </w:p>
        </w:tc>
        <w:tc>
          <w:tcPr>
            <w:tcW w:w="332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11,846,990.03</w:t>
            </w:r>
          </w:p>
        </w:tc>
      </w:tr>
      <w:tr w:rsidR="004F6471">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sz w:val="18"/>
                <w:szCs w:val="18"/>
              </w:rPr>
              <w:t>6,952,598.67</w:t>
            </w:r>
          </w:p>
        </w:tc>
        <w:tc>
          <w:tcPr>
            <w:tcW w:w="332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-6,726,541.90</w:t>
            </w:r>
          </w:p>
        </w:tc>
      </w:tr>
      <w:tr w:rsidR="004F6471">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3,390,672.77</w:t>
            </w:r>
          </w:p>
        </w:tc>
        <w:tc>
          <w:tcPr>
            <w:tcW w:w="332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3,550,823.76</w:t>
            </w:r>
          </w:p>
        </w:tc>
      </w:tr>
      <w:tr w:rsidR="004F6471">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4F6471" w:rsidRDefault="004F64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23,899,805.98</w:t>
            </w:r>
          </w:p>
        </w:tc>
        <w:tc>
          <w:tcPr>
            <w:tcW w:w="3321" w:type="dxa"/>
            <w:tcBorders>
              <w:top w:val="single" w:sz="2" w:space="0" w:color="auto"/>
              <w:left w:val="single" w:sz="2" w:space="0" w:color="auto"/>
              <w:bottom w:val="single" w:sz="2" w:space="0" w:color="auto"/>
              <w:right w:val="single" w:sz="2" w:space="0" w:color="auto"/>
            </w:tcBorders>
            <w:vAlign w:val="center"/>
          </w:tcPr>
          <w:p w:rsidR="004F6471" w:rsidRDefault="004F6471">
            <w:pPr>
              <w:spacing w:line="240" w:lineRule="exact"/>
              <w:jc w:val="right"/>
              <w:rPr>
                <w:rFonts w:ascii="宋体" w:eastAsia="宋体" w:hAnsi="宋体" w:cs="宋体"/>
                <w:sz w:val="18"/>
                <w:szCs w:val="18"/>
              </w:rPr>
            </w:pPr>
            <w:r>
              <w:rPr>
                <w:rFonts w:ascii="宋体" w:eastAsia="宋体" w:hAnsi="宋体" w:cs="宋体"/>
                <w:sz w:val="18"/>
                <w:szCs w:val="18"/>
              </w:rPr>
              <w:t>21,806,706.49</w:t>
            </w:r>
          </w:p>
        </w:tc>
      </w:tr>
    </w:tbl>
    <w:p w:rsidR="00A95787" w:rsidRDefault="005D3CC1">
      <w:pPr>
        <w:pStyle w:val="3"/>
        <w:spacing w:line="280" w:lineRule="exact"/>
        <w:jc w:val="left"/>
        <w:rPr>
          <w:rFonts w:ascii="宋体" w:hAnsi="宋体" w:cs="宋体"/>
          <w:b/>
          <w:bCs/>
        </w:rPr>
      </w:pPr>
      <w:bookmarkStart w:id="303" w:name="_Toc989187"/>
      <w:r>
        <w:rPr>
          <w:rFonts w:ascii="宋体" w:hAnsi="宋体" w:cs="宋体"/>
          <w:b/>
          <w:bCs/>
        </w:rPr>
        <w:t>40、其他收益</w:t>
      </w:r>
      <w:bookmarkEnd w:id="30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1,242,529.30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2,864,289.00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95,471.06</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79,541.52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167,124.42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1,338,000.36</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3,110,954.94</w:t>
            </w:r>
          </w:p>
        </w:tc>
      </w:tr>
    </w:tbl>
    <w:p w:rsidR="00A95787" w:rsidRDefault="00143177">
      <w:pPr>
        <w:spacing w:line="400" w:lineRule="exact"/>
        <w:ind w:firstLineChars="200" w:firstLine="360"/>
        <w:rPr>
          <w:rFonts w:ascii="宋体" w:hAnsi="宋体" w:cs="Arial"/>
          <w:bCs/>
          <w:sz w:val="18"/>
          <w:szCs w:val="18"/>
        </w:rPr>
      </w:pPr>
      <w:bookmarkStart w:id="304" w:name="_Toc989188"/>
      <w:r>
        <w:rPr>
          <w:rFonts w:ascii="宋体" w:hAnsi="宋体" w:cs="Arial" w:hint="eastAsia"/>
          <w:bCs/>
          <w:sz w:val="18"/>
          <w:szCs w:val="18"/>
        </w:rPr>
        <w:t>注：计入递延收益的政府补助详见附注十</w:t>
      </w:r>
      <w:r w:rsidR="005D3CC1">
        <w:rPr>
          <w:rFonts w:ascii="宋体" w:hAnsi="宋体" w:cs="Arial" w:hint="eastAsia"/>
          <w:bCs/>
          <w:sz w:val="18"/>
          <w:szCs w:val="18"/>
        </w:rPr>
        <w:t>、</w:t>
      </w:r>
      <w:r w:rsidR="00B157BE">
        <w:rPr>
          <w:rFonts w:ascii="宋体" w:hAnsi="宋体" w:cs="Arial" w:hint="eastAsia"/>
          <w:bCs/>
          <w:sz w:val="18"/>
          <w:szCs w:val="18"/>
        </w:rPr>
        <w:t>2</w:t>
      </w:r>
      <w:r w:rsidR="005D3CC1">
        <w:rPr>
          <w:rFonts w:ascii="宋体" w:hAnsi="宋体" w:cs="Arial" w:hint="eastAsia"/>
          <w:bCs/>
          <w:sz w:val="18"/>
          <w:szCs w:val="18"/>
        </w:rPr>
        <w:t>、计入当期损益的政府补助。</w:t>
      </w:r>
    </w:p>
    <w:p w:rsidR="00A95787" w:rsidRDefault="005D3CC1">
      <w:pPr>
        <w:pStyle w:val="3"/>
        <w:spacing w:line="280" w:lineRule="exact"/>
        <w:jc w:val="left"/>
        <w:rPr>
          <w:rFonts w:ascii="宋体" w:hAnsi="宋体" w:cs="宋体"/>
          <w:b/>
          <w:bCs/>
        </w:rPr>
      </w:pPr>
      <w:r>
        <w:rPr>
          <w:rFonts w:ascii="宋体" w:hAnsi="宋体" w:cs="宋体"/>
          <w:b/>
          <w:bCs/>
        </w:rPr>
        <w:lastRenderedPageBreak/>
        <w:t>41、公允价值变动收益</w:t>
      </w:r>
      <w:bookmarkEnd w:id="30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33"/>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48,681,226.02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3,311,320.60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其中：衍生金融工具产生的公允价值变动收益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按公允价值计量的投资性房地产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48,681,226.02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3,311,320.60</w:t>
            </w:r>
          </w:p>
        </w:tc>
      </w:tr>
    </w:tbl>
    <w:p w:rsidR="00A95787" w:rsidRDefault="005D3CC1">
      <w:pPr>
        <w:pStyle w:val="3"/>
        <w:spacing w:line="280" w:lineRule="exact"/>
        <w:jc w:val="left"/>
        <w:rPr>
          <w:rFonts w:ascii="宋体" w:hAnsi="宋体" w:cs="宋体"/>
          <w:b/>
          <w:bCs/>
        </w:rPr>
      </w:pPr>
      <w:bookmarkStart w:id="305" w:name="_Toc989189"/>
      <w:r>
        <w:rPr>
          <w:rFonts w:ascii="宋体" w:hAnsi="宋体" w:cs="宋体"/>
          <w:b/>
          <w:bCs/>
        </w:rPr>
        <w:t>42、投资收益</w:t>
      </w:r>
      <w:bookmarkEnd w:id="30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29"/>
        <w:gridCol w:w="3213"/>
        <w:gridCol w:w="3333"/>
      </w:tblGrid>
      <w:tr w:rsidR="00A95787">
        <w:trPr>
          <w:trHeight w:val="240"/>
        </w:trPr>
        <w:tc>
          <w:tcPr>
            <w:tcW w:w="312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2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41,569,161.83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-13,201,449.30</w:t>
            </w:r>
          </w:p>
        </w:tc>
      </w:tr>
      <w:tr w:rsidR="00A95787">
        <w:trPr>
          <w:trHeight w:val="240"/>
        </w:trPr>
        <w:tc>
          <w:tcPr>
            <w:tcW w:w="312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13,127,216.10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16,783,173.73</w:t>
            </w:r>
          </w:p>
        </w:tc>
      </w:tr>
      <w:tr w:rsidR="00A95787">
        <w:trPr>
          <w:trHeight w:val="240"/>
        </w:trPr>
        <w:tc>
          <w:tcPr>
            <w:tcW w:w="312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-18,615,974.71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17,283,737.94</w:t>
            </w:r>
          </w:p>
        </w:tc>
      </w:tr>
      <w:tr w:rsidR="00A95787">
        <w:trPr>
          <w:trHeight w:val="240"/>
        </w:trPr>
        <w:tc>
          <w:tcPr>
            <w:tcW w:w="312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36,080,403.22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20,865,462.37</w:t>
            </w:r>
          </w:p>
        </w:tc>
      </w:tr>
    </w:tbl>
    <w:p w:rsidR="00A95787" w:rsidRDefault="005D3CC1">
      <w:pPr>
        <w:pStyle w:val="3"/>
        <w:spacing w:line="280" w:lineRule="exact"/>
        <w:jc w:val="left"/>
        <w:rPr>
          <w:rFonts w:ascii="宋体" w:hAnsi="宋体" w:cs="宋体"/>
          <w:b/>
          <w:bCs/>
        </w:rPr>
      </w:pPr>
      <w:bookmarkStart w:id="306" w:name="_Toc989190"/>
      <w:r>
        <w:rPr>
          <w:rFonts w:ascii="宋体" w:hAnsi="宋体" w:cs="宋体"/>
          <w:b/>
          <w:bCs/>
        </w:rPr>
        <w:t>43、信用减值损失</w:t>
      </w:r>
      <w:bookmarkEnd w:id="30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87" w:type="dxa"/>
        <w:tblInd w:w="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41"/>
        <w:gridCol w:w="3213"/>
        <w:gridCol w:w="3333"/>
      </w:tblGrid>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-2,184,469.73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228,516.45</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-49,905.11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-211,467.97</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债权投资减值损失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其他债权投资减值损失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长期应收款坏账损失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财务担保相关减值损失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-2,234,374.84</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17,048.48</w:t>
            </w:r>
          </w:p>
        </w:tc>
      </w:tr>
    </w:tbl>
    <w:p w:rsidR="00A95787" w:rsidRDefault="005D3CC1">
      <w:pPr>
        <w:pStyle w:val="3"/>
        <w:spacing w:line="280" w:lineRule="exact"/>
        <w:jc w:val="left"/>
        <w:rPr>
          <w:rFonts w:ascii="宋体" w:hAnsi="宋体" w:cs="宋体"/>
          <w:b/>
          <w:bCs/>
        </w:rPr>
      </w:pPr>
      <w:bookmarkStart w:id="307" w:name="_Toc989191"/>
      <w:r>
        <w:rPr>
          <w:rFonts w:ascii="宋体" w:hAnsi="宋体" w:cs="宋体"/>
          <w:b/>
          <w:bCs/>
        </w:rPr>
        <w:t>44、资产减值损失</w:t>
      </w:r>
      <w:bookmarkEnd w:id="30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-4,734,350.68</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-5,434,971.33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二、长期股权投资减值损失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-55,367,857.87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三、投资性房地产减值损失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五、工程物资减值损失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lastRenderedPageBreak/>
              <w:t>六、在建工程减值损失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八、油气资产减值损失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九、无形资产减值损失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十一、合同资产减值损失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十二、其他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-60,102,208.55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-5,434,971.33</w:t>
            </w:r>
          </w:p>
        </w:tc>
      </w:tr>
    </w:tbl>
    <w:p w:rsidR="00A95787" w:rsidRDefault="005D3CC1">
      <w:pPr>
        <w:pStyle w:val="3"/>
        <w:spacing w:line="280" w:lineRule="exact"/>
        <w:jc w:val="left"/>
        <w:rPr>
          <w:rFonts w:ascii="宋体" w:hAnsi="宋体" w:cs="宋体"/>
          <w:b/>
          <w:bCs/>
        </w:rPr>
      </w:pPr>
      <w:bookmarkStart w:id="308" w:name="_Toc989192"/>
      <w:r>
        <w:rPr>
          <w:rFonts w:ascii="宋体" w:hAnsi="宋体" w:cs="宋体"/>
          <w:b/>
          <w:bCs/>
        </w:rPr>
        <w:t>45、资产处置收益</w:t>
      </w:r>
      <w:bookmarkEnd w:id="30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固定资产处置利得或损失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-59,605.75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bl>
    <w:p w:rsidR="00A95787" w:rsidRDefault="005D3CC1">
      <w:pPr>
        <w:pStyle w:val="3"/>
        <w:spacing w:line="280" w:lineRule="exact"/>
        <w:jc w:val="left"/>
        <w:rPr>
          <w:rFonts w:ascii="宋体" w:hAnsi="宋体" w:cs="宋体"/>
          <w:b/>
          <w:bCs/>
        </w:rPr>
      </w:pPr>
      <w:bookmarkStart w:id="309" w:name="_Toc989193"/>
      <w:r>
        <w:rPr>
          <w:rFonts w:ascii="宋体" w:hAnsi="宋体" w:cs="宋体"/>
          <w:b/>
          <w:bCs/>
        </w:rPr>
        <w:t>46、营业外收入</w:t>
      </w:r>
      <w:bookmarkEnd w:id="30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00"/>
        <w:gridCol w:w="2410"/>
        <w:gridCol w:w="2410"/>
        <w:gridCol w:w="2518"/>
      </w:tblGrid>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非货币性资产交换利得</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接受捐赠</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违约赔偿收入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2,455,946.00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1,473,274.10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2,455,946.00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保险赔偿收入</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278,058.00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278,058.00</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无需支付的款项</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5,577,024.51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411,052.72</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5,577,024.51</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28,746.71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10.13</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28,746.71</w:t>
            </w:r>
          </w:p>
        </w:tc>
      </w:tr>
      <w:tr w:rsidR="00A95787">
        <w:trPr>
          <w:trHeight w:val="240"/>
        </w:trPr>
        <w:tc>
          <w:tcPr>
            <w:tcW w:w="2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8,339,775.22</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1,884,336.95</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8,339,775.22</w:t>
            </w:r>
          </w:p>
        </w:tc>
      </w:tr>
    </w:tbl>
    <w:p w:rsidR="00A95787" w:rsidRDefault="005D3CC1">
      <w:pPr>
        <w:pStyle w:val="3"/>
        <w:spacing w:line="280" w:lineRule="exact"/>
        <w:jc w:val="left"/>
        <w:rPr>
          <w:rFonts w:ascii="宋体" w:hAnsi="宋体" w:cs="宋体"/>
          <w:b/>
          <w:bCs/>
        </w:rPr>
      </w:pPr>
      <w:bookmarkStart w:id="310" w:name="_Toc989194"/>
      <w:r>
        <w:rPr>
          <w:rFonts w:ascii="宋体" w:hAnsi="宋体" w:cs="宋体"/>
          <w:b/>
          <w:bCs/>
        </w:rPr>
        <w:t>47、营业外支出</w:t>
      </w:r>
      <w:bookmarkEnd w:id="31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87"/>
        <w:gridCol w:w="2410"/>
        <w:gridCol w:w="2410"/>
        <w:gridCol w:w="2518"/>
      </w:tblGrid>
      <w:tr w:rsidR="00A95787">
        <w:trPr>
          <w:trHeight w:val="240"/>
        </w:trPr>
        <w:tc>
          <w:tcPr>
            <w:tcW w:w="2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非货币性资产交换损失</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85,890.00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323,000.00</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85,890.00</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277,410.79</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277,410.79</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非常损失</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108,891.29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22,642.19</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108,891.29</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194,781.29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623,052.98</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194,781.29</w:t>
            </w:r>
          </w:p>
        </w:tc>
      </w:tr>
    </w:tbl>
    <w:p w:rsidR="00A95787" w:rsidRDefault="005D3CC1">
      <w:pPr>
        <w:pStyle w:val="3"/>
        <w:spacing w:line="280" w:lineRule="exact"/>
        <w:jc w:val="left"/>
        <w:rPr>
          <w:rFonts w:ascii="宋体" w:hAnsi="宋体" w:cs="宋体"/>
          <w:b/>
          <w:bCs/>
        </w:rPr>
      </w:pPr>
      <w:bookmarkStart w:id="311" w:name="_Toc989195"/>
      <w:r>
        <w:rPr>
          <w:rFonts w:ascii="宋体" w:hAnsi="宋体" w:cs="宋体"/>
          <w:b/>
          <w:bCs/>
        </w:rPr>
        <w:lastRenderedPageBreak/>
        <w:t>48、所得税费用</w:t>
      </w:r>
      <w:bookmarkEnd w:id="311"/>
    </w:p>
    <w:p w:rsidR="00A95787" w:rsidRDefault="005D3CC1">
      <w:pPr>
        <w:keepNext/>
        <w:keepLines/>
        <w:spacing w:before="300" w:after="300" w:line="280" w:lineRule="exact"/>
        <w:outlineLvl w:val="3"/>
        <w:rPr>
          <w:rFonts w:ascii="宋体" w:eastAsia="宋体" w:hAnsi="宋体" w:cs="宋体"/>
          <w:b/>
          <w:bCs/>
          <w:szCs w:val="21"/>
        </w:rPr>
      </w:pPr>
      <w:bookmarkStart w:id="312" w:name="_Toc989196"/>
      <w:r>
        <w:rPr>
          <w:rFonts w:ascii="宋体" w:eastAsia="宋体" w:hAnsi="宋体" w:cs="宋体"/>
          <w:b/>
          <w:bCs/>
          <w:szCs w:val="21"/>
        </w:rPr>
        <w:t>（1） 所得税费用表</w:t>
      </w:r>
      <w:bookmarkEnd w:id="31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24,964,827.16</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18,524,212.27</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-14,946,901.94</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-10,266,073.34</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10,017,925.22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8,258,138.93</w:t>
            </w:r>
          </w:p>
        </w:tc>
      </w:tr>
    </w:tbl>
    <w:p w:rsidR="00A95787" w:rsidRDefault="005D3CC1">
      <w:pPr>
        <w:keepNext/>
        <w:keepLines/>
        <w:spacing w:before="300" w:after="300" w:line="280" w:lineRule="exact"/>
        <w:outlineLvl w:val="3"/>
        <w:rPr>
          <w:rFonts w:ascii="宋体" w:eastAsia="宋体" w:hAnsi="宋体" w:cs="宋体"/>
          <w:b/>
          <w:bCs/>
          <w:szCs w:val="21"/>
        </w:rPr>
      </w:pPr>
      <w:bookmarkStart w:id="313" w:name="_Toc989197"/>
      <w:r>
        <w:rPr>
          <w:rFonts w:ascii="宋体" w:eastAsia="宋体" w:hAnsi="宋体" w:cs="宋体"/>
          <w:b/>
          <w:bCs/>
          <w:szCs w:val="21"/>
        </w:rPr>
        <w:t>（2） 会计利润与所得税费用调整过程</w:t>
      </w:r>
      <w:bookmarkEnd w:id="31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12"/>
        <w:gridCol w:w="3925"/>
      </w:tblGrid>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利润总额</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127,356,126.63</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31,839,031.66</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-9,022,332.88</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419,234.11</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非应税收入的影响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-3,262,143.39</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1,068,015.32</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-860.89</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35,040.14</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税率调整导致上年年末递延所得税资产/负债余额的变化</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研发加计扣除</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-739,783.19</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-10,318,275.66</w:t>
            </w: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r>
      <w:tr w:rsidR="00A95787">
        <w:trPr>
          <w:trHeight w:val="240"/>
        </w:trPr>
        <w:tc>
          <w:tcPr>
            <w:tcW w:w="5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所得税费用</w:t>
            </w:r>
          </w:p>
        </w:tc>
        <w:tc>
          <w:tcPr>
            <w:tcW w:w="3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10,017,925.22</w:t>
            </w:r>
          </w:p>
        </w:tc>
      </w:tr>
    </w:tbl>
    <w:p w:rsidR="00A95787" w:rsidRDefault="005D3CC1">
      <w:pPr>
        <w:pStyle w:val="3"/>
        <w:spacing w:line="280" w:lineRule="exact"/>
        <w:jc w:val="left"/>
        <w:rPr>
          <w:rFonts w:ascii="宋体" w:hAnsi="宋体" w:cs="宋体"/>
          <w:b/>
          <w:bCs/>
        </w:rPr>
      </w:pPr>
      <w:bookmarkStart w:id="314" w:name="_Toc989198"/>
      <w:r>
        <w:rPr>
          <w:rFonts w:ascii="宋体" w:hAnsi="宋体" w:cs="宋体"/>
          <w:b/>
          <w:bCs/>
        </w:rPr>
        <w:t>49、现金流量表项目</w:t>
      </w:r>
      <w:bookmarkEnd w:id="314"/>
    </w:p>
    <w:p w:rsidR="00A95787" w:rsidRDefault="005D3CC1">
      <w:pPr>
        <w:keepNext/>
        <w:keepLines/>
        <w:spacing w:before="300" w:after="300" w:line="280" w:lineRule="exact"/>
        <w:outlineLvl w:val="3"/>
        <w:rPr>
          <w:rFonts w:ascii="宋体" w:eastAsia="宋体" w:hAnsi="宋体" w:cs="宋体"/>
          <w:b/>
          <w:bCs/>
          <w:szCs w:val="21"/>
        </w:rPr>
      </w:pPr>
      <w:bookmarkStart w:id="315" w:name="_Toc989199"/>
      <w:r>
        <w:rPr>
          <w:rFonts w:ascii="宋体" w:eastAsia="宋体" w:hAnsi="宋体" w:cs="宋体"/>
          <w:b/>
          <w:bCs/>
          <w:szCs w:val="21"/>
        </w:rPr>
        <w:t>（1） 与经营活动有关的现金</w:t>
      </w:r>
      <w:bookmarkEnd w:id="31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957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5,216,415.45</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11,846,990.03</w:t>
            </w:r>
          </w:p>
        </w:tc>
      </w:tr>
      <w:tr w:rsidR="00A9578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869,000.36</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7,085,289.00</w:t>
            </w:r>
          </w:p>
        </w:tc>
      </w:tr>
      <w:tr w:rsidR="00A9578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2,762,750.71</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1,884,336.95</w:t>
            </w:r>
          </w:p>
        </w:tc>
      </w:tr>
      <w:tr w:rsidR="00A957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8,848,166.52</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20,816,615.98</w:t>
            </w:r>
          </w:p>
        </w:tc>
      </w:tr>
    </w:tbl>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30,762,167.83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35,454,954.79</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3,390,672.77</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3,550,823.76</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752,021.51</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支付的国际信用证保证金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16,130,613.10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7,376,179.38</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85,890.00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323,000.00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50,369,343.70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47,456,979.44</w:t>
            </w:r>
          </w:p>
        </w:tc>
      </w:tr>
    </w:tbl>
    <w:p w:rsidR="00A95787" w:rsidRDefault="005D3CC1">
      <w:pPr>
        <w:keepNext/>
        <w:keepLines/>
        <w:spacing w:before="300" w:after="300" w:line="280" w:lineRule="exact"/>
        <w:outlineLvl w:val="3"/>
        <w:rPr>
          <w:rFonts w:ascii="宋体" w:eastAsia="宋体" w:hAnsi="宋体" w:cs="宋体"/>
          <w:b/>
          <w:bCs/>
          <w:szCs w:val="21"/>
        </w:rPr>
      </w:pPr>
      <w:bookmarkStart w:id="316" w:name="_Toc989200"/>
      <w:r>
        <w:rPr>
          <w:rFonts w:ascii="宋体" w:eastAsia="宋体" w:hAnsi="宋体" w:cs="宋体"/>
          <w:b/>
          <w:bCs/>
          <w:szCs w:val="21"/>
        </w:rPr>
        <w:t>（2） 与投资活动有关的现金</w:t>
      </w:r>
      <w:bookmarkEnd w:id="31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收到的重要的与投资活动有关的现金</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33"/>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交易性金融资产投资收益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13,127,216.10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16,783,173.73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长期股权投资投资收益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62,063,036.43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33,459,326.10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rPr>
                <w:rFonts w:ascii="宋体" w:eastAsia="宋体" w:hAnsi="宋体" w:cs="宋体"/>
                <w:sz w:val="18"/>
                <w:szCs w:val="18"/>
              </w:rPr>
            </w:pPr>
            <w:r>
              <w:rPr>
                <w:rFonts w:ascii="宋体" w:eastAsia="宋体" w:hAnsi="宋体" w:cs="宋体"/>
                <w:sz w:val="18"/>
                <w:szCs w:val="18"/>
              </w:rPr>
              <w:t>交易性金融资产收回投资款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260,668,495.72</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169,528,086.03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335,858,748.25</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20" w:lineRule="exact"/>
              <w:jc w:val="right"/>
              <w:rPr>
                <w:rFonts w:ascii="宋体" w:eastAsia="宋体" w:hAnsi="宋体" w:cs="宋体"/>
                <w:sz w:val="18"/>
                <w:szCs w:val="18"/>
              </w:rPr>
            </w:pPr>
            <w:r>
              <w:rPr>
                <w:rFonts w:ascii="宋体" w:eastAsia="宋体" w:hAnsi="宋体" w:cs="宋体"/>
                <w:sz w:val="18"/>
                <w:szCs w:val="18"/>
              </w:rPr>
              <w:t>219,770,585.86</w:t>
            </w:r>
          </w:p>
        </w:tc>
      </w:tr>
    </w:tbl>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支付的重要的与投资活动有关的现金</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140,353,631.72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52,713,767.93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购买交易性金融资产支付的现金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339,998,903.12</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55,173,966.35</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480,352,534.84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107,887,734.28</w:t>
            </w:r>
          </w:p>
        </w:tc>
      </w:tr>
    </w:tbl>
    <w:p w:rsidR="00A95787" w:rsidRDefault="005D3CC1">
      <w:pPr>
        <w:keepNext/>
        <w:keepLines/>
        <w:spacing w:before="300" w:after="300" w:line="280" w:lineRule="exact"/>
        <w:outlineLvl w:val="3"/>
        <w:rPr>
          <w:rFonts w:ascii="宋体" w:eastAsia="宋体" w:hAnsi="宋体" w:cs="宋体"/>
          <w:b/>
          <w:bCs/>
          <w:szCs w:val="21"/>
        </w:rPr>
      </w:pPr>
      <w:bookmarkStart w:id="317" w:name="_Toc989201"/>
      <w:r>
        <w:rPr>
          <w:rFonts w:ascii="宋体" w:eastAsia="宋体" w:hAnsi="宋体" w:cs="宋体"/>
          <w:b/>
          <w:bCs/>
          <w:szCs w:val="21"/>
        </w:rPr>
        <w:t>（3） 与筹资活动有关的现金</w:t>
      </w:r>
      <w:bookmarkEnd w:id="31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42,500,000.00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80,000,000.00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42,500,000.00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80,000,000.00</w:t>
            </w:r>
          </w:p>
        </w:tc>
      </w:tr>
    </w:tbl>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7"/>
        <w:gridCol w:w="1725"/>
        <w:gridCol w:w="1663"/>
        <w:gridCol w:w="1337"/>
        <w:gridCol w:w="1675"/>
        <w:gridCol w:w="813"/>
        <w:gridCol w:w="1487"/>
      </w:tblGrid>
      <w:tr w:rsidR="00A95787">
        <w:trPr>
          <w:trHeight w:val="240"/>
        </w:trPr>
        <w:tc>
          <w:tcPr>
            <w:tcW w:w="9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300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48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48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937" w:type="dxa"/>
            <w:vMerge/>
            <w:tcBorders>
              <w:top w:val="single" w:sz="2" w:space="0" w:color="auto"/>
              <w:left w:val="single" w:sz="2" w:space="0" w:color="auto"/>
              <w:bottom w:val="single" w:sz="2" w:space="0" w:color="auto"/>
              <w:right w:val="single" w:sz="2" w:space="0" w:color="auto"/>
            </w:tcBorders>
            <w:vAlign w:val="center"/>
          </w:tcPr>
          <w:p w:rsidR="00A95787" w:rsidRDefault="00A95787"/>
        </w:tc>
        <w:tc>
          <w:tcPr>
            <w:tcW w:w="1725" w:type="dxa"/>
            <w:vMerge/>
            <w:tcBorders>
              <w:top w:val="single" w:sz="2" w:space="0" w:color="auto"/>
              <w:left w:val="single" w:sz="2" w:space="0" w:color="auto"/>
              <w:bottom w:val="single" w:sz="2" w:space="0" w:color="auto"/>
              <w:right w:val="single" w:sz="2" w:space="0" w:color="auto"/>
            </w:tcBorders>
            <w:vAlign w:val="center"/>
          </w:tcPr>
          <w:p w:rsidR="00A95787" w:rsidRDefault="00A95787"/>
        </w:tc>
        <w:tc>
          <w:tcPr>
            <w:tcW w:w="16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13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6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8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48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短期借款</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16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1,447,000,000.00</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6,274,768.01</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1,569,159,725.96</w:t>
            </w:r>
          </w:p>
        </w:tc>
        <w:tc>
          <w:tcPr>
            <w:tcW w:w="8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978,290,953.20</w:t>
            </w:r>
          </w:p>
        </w:tc>
      </w:tr>
      <w:tr w:rsidR="00A95787">
        <w:trPr>
          <w:trHeight w:val="240"/>
        </w:trPr>
        <w:tc>
          <w:tcPr>
            <w:tcW w:w="9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长期借款</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19,743.75</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8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19,519,743.75</w:t>
            </w:r>
          </w:p>
        </w:tc>
      </w:tr>
      <w:tr w:rsidR="00A95787">
        <w:trPr>
          <w:trHeight w:val="240"/>
        </w:trPr>
        <w:tc>
          <w:tcPr>
            <w:tcW w:w="9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16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1,467,000,000.00</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6,294,511.76</w:t>
            </w:r>
          </w:p>
        </w:tc>
        <w:tc>
          <w:tcPr>
            <w:tcW w:w="16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1,569,659,725.96</w:t>
            </w:r>
          </w:p>
        </w:tc>
        <w:tc>
          <w:tcPr>
            <w:tcW w:w="8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997,810,696.95</w:t>
            </w:r>
          </w:p>
        </w:tc>
      </w:tr>
    </w:tbl>
    <w:p w:rsidR="00A95787" w:rsidRDefault="005D3CC1">
      <w:pPr>
        <w:pStyle w:val="3"/>
        <w:spacing w:line="280" w:lineRule="exact"/>
        <w:jc w:val="left"/>
        <w:rPr>
          <w:rFonts w:ascii="宋体" w:hAnsi="宋体" w:cs="宋体"/>
          <w:b/>
          <w:bCs/>
        </w:rPr>
      </w:pPr>
      <w:bookmarkStart w:id="318" w:name="_Toc989202"/>
      <w:r>
        <w:rPr>
          <w:rFonts w:ascii="宋体" w:hAnsi="宋体" w:cs="宋体"/>
          <w:b/>
          <w:bCs/>
        </w:rPr>
        <w:lastRenderedPageBreak/>
        <w:t>50、现金流量表补充资料</w:t>
      </w:r>
      <w:bookmarkEnd w:id="318"/>
    </w:p>
    <w:p w:rsidR="00A95787" w:rsidRDefault="005D3CC1">
      <w:pPr>
        <w:keepNext/>
        <w:keepLines/>
        <w:spacing w:before="300" w:after="300" w:line="280" w:lineRule="exact"/>
        <w:outlineLvl w:val="3"/>
        <w:rPr>
          <w:rFonts w:ascii="宋体" w:eastAsia="宋体" w:hAnsi="宋体" w:cs="宋体"/>
          <w:b/>
          <w:bCs/>
          <w:szCs w:val="21"/>
        </w:rPr>
      </w:pPr>
      <w:bookmarkStart w:id="319" w:name="_Toc989203"/>
      <w:r>
        <w:rPr>
          <w:rFonts w:ascii="宋体" w:eastAsia="宋体" w:hAnsi="宋体" w:cs="宋体"/>
          <w:b/>
          <w:bCs/>
          <w:szCs w:val="21"/>
        </w:rPr>
        <w:t>（1） 现金流量表补充资料</w:t>
      </w:r>
      <w:bookmarkEnd w:id="31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625"/>
        <w:gridCol w:w="3100"/>
        <w:gridCol w:w="2900"/>
      </w:tblGrid>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1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2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1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117,338,201.41</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72,393,133.41</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400" w:lineRule="exact"/>
              <w:jc w:val="right"/>
              <w:rPr>
                <w:rFonts w:ascii="宋体" w:hAnsi="宋体" w:cs="Arial"/>
                <w:sz w:val="18"/>
                <w:szCs w:val="18"/>
              </w:rPr>
            </w:pPr>
            <w:r>
              <w:rPr>
                <w:rFonts w:ascii="宋体" w:hAnsi="宋体" w:cs="Arial" w:hint="eastAsia"/>
                <w:sz w:val="18"/>
                <w:szCs w:val="18"/>
              </w:rPr>
              <w:t>60,102,208.55</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400" w:lineRule="exact"/>
              <w:jc w:val="right"/>
              <w:rPr>
                <w:rFonts w:ascii="宋体" w:hAnsi="宋体" w:cs="Arial"/>
                <w:sz w:val="18"/>
                <w:szCs w:val="18"/>
              </w:rPr>
            </w:pPr>
            <w:r>
              <w:rPr>
                <w:rFonts w:ascii="宋体" w:hAnsi="宋体" w:cs="Arial" w:hint="eastAsia"/>
                <w:sz w:val="18"/>
                <w:szCs w:val="18"/>
              </w:rPr>
              <w:t>5,434,971.33</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hAnsi="宋体" w:cs="Arial"/>
                <w:sz w:val="18"/>
                <w:szCs w:val="18"/>
              </w:rPr>
              <w:t>信用减值损失</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400" w:lineRule="exact"/>
              <w:jc w:val="right"/>
              <w:rPr>
                <w:rFonts w:ascii="宋体" w:hAnsi="宋体" w:cs="Arial"/>
                <w:sz w:val="18"/>
                <w:szCs w:val="18"/>
              </w:rPr>
            </w:pPr>
            <w:r>
              <w:rPr>
                <w:rFonts w:ascii="宋体" w:hAnsi="宋体" w:cs="Arial" w:hint="eastAsia"/>
                <w:sz w:val="18"/>
                <w:szCs w:val="18"/>
              </w:rPr>
              <w:t>2,234,374.84</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400" w:lineRule="exact"/>
              <w:jc w:val="right"/>
              <w:rPr>
                <w:rFonts w:ascii="宋体" w:hAnsi="宋体" w:cs="Arial"/>
                <w:sz w:val="18"/>
                <w:szCs w:val="18"/>
              </w:rPr>
            </w:pPr>
            <w:r>
              <w:rPr>
                <w:rFonts w:ascii="宋体" w:hAnsi="宋体" w:cs="Arial" w:hint="eastAsia"/>
                <w:sz w:val="18"/>
                <w:szCs w:val="18"/>
              </w:rPr>
              <w:t>-17,048.48</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43,263,478.95</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45,828,571.85</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779,593.66</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59,605.75</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277,410.79</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-48,681,226.02</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-3,311,320.60</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25,725,548.66</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30,102,872.76</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-36,080,403.22</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-20,865,462.37</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-12,998,664.60</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575,527.49</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-1,948,237.34</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-10,841,600.83</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-124,189,942.12</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-187,798,976.08</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-69,729,306.42</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8,423,493.08</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111,156,700.79</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-12,361,481.45</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67,031,932.89</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-71,380,315.44</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1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1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312,447,850.89</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6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1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-198,183,138.03</w:t>
            </w:r>
          </w:p>
        </w:tc>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88,076,438.44</w:t>
            </w:r>
          </w:p>
        </w:tc>
      </w:tr>
    </w:tbl>
    <w:p w:rsidR="00A95787" w:rsidRDefault="005D3CC1">
      <w:pPr>
        <w:keepNext/>
        <w:keepLines/>
        <w:spacing w:before="300" w:after="300" w:line="280" w:lineRule="exact"/>
        <w:outlineLvl w:val="3"/>
        <w:rPr>
          <w:rFonts w:ascii="宋体" w:eastAsia="宋体" w:hAnsi="宋体" w:cs="宋体"/>
          <w:b/>
          <w:bCs/>
          <w:szCs w:val="21"/>
        </w:rPr>
      </w:pPr>
      <w:bookmarkStart w:id="320" w:name="_Toc989204"/>
      <w:r>
        <w:rPr>
          <w:rFonts w:ascii="宋体" w:eastAsia="宋体" w:hAnsi="宋体" w:cs="宋体"/>
          <w:b/>
          <w:bCs/>
          <w:szCs w:val="21"/>
        </w:rPr>
        <w:lastRenderedPageBreak/>
        <w:t>（2） 现金和现金等价物的构成</w:t>
      </w:r>
      <w:bookmarkEnd w:id="32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50"/>
        <w:gridCol w:w="3350"/>
        <w:gridCol w:w="2950"/>
      </w:tblGrid>
      <w:tr w:rsidR="00A95787">
        <w:trPr>
          <w:trHeight w:val="240"/>
        </w:trPr>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9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312,447,850.89</w:t>
            </w:r>
          </w:p>
        </w:tc>
        <w:tc>
          <w:tcPr>
            <w:tcW w:w="2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A95787">
        <w:trPr>
          <w:trHeight w:val="240"/>
        </w:trPr>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242,616,392.69</w:t>
            </w:r>
          </w:p>
        </w:tc>
        <w:tc>
          <w:tcPr>
            <w:tcW w:w="2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427,765,657.20</w:t>
            </w:r>
          </w:p>
        </w:tc>
      </w:tr>
      <w:tr w:rsidR="00A95787">
        <w:trPr>
          <w:trHeight w:val="240"/>
        </w:trPr>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69,831,458.20</w:t>
            </w:r>
          </w:p>
        </w:tc>
        <w:tc>
          <w:tcPr>
            <w:tcW w:w="2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82,865,331.72</w:t>
            </w:r>
          </w:p>
        </w:tc>
      </w:tr>
      <w:tr w:rsidR="00A95787">
        <w:trPr>
          <w:trHeight w:val="240"/>
        </w:trPr>
        <w:tc>
          <w:tcPr>
            <w:tcW w:w="33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312,447,850.89</w:t>
            </w:r>
          </w:p>
        </w:tc>
        <w:tc>
          <w:tcPr>
            <w:tcW w:w="2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bl>
    <w:p w:rsidR="00A95787" w:rsidRDefault="005D3CC1">
      <w:pPr>
        <w:pStyle w:val="3"/>
        <w:spacing w:line="280" w:lineRule="exact"/>
        <w:jc w:val="left"/>
        <w:rPr>
          <w:rFonts w:ascii="宋体" w:hAnsi="宋体" w:cs="宋体"/>
          <w:b/>
          <w:bCs/>
        </w:rPr>
      </w:pPr>
      <w:bookmarkStart w:id="321" w:name="_Toc989205"/>
      <w:r>
        <w:rPr>
          <w:rFonts w:ascii="宋体" w:hAnsi="宋体" w:cs="宋体"/>
          <w:b/>
          <w:bCs/>
        </w:rPr>
        <w:t>51、外币货币性项目</w:t>
      </w:r>
      <w:bookmarkEnd w:id="321"/>
    </w:p>
    <w:p w:rsidR="00A95787" w:rsidRDefault="005D3CC1">
      <w:pPr>
        <w:keepNext/>
        <w:keepLines/>
        <w:spacing w:before="300" w:after="300" w:line="280" w:lineRule="exact"/>
        <w:outlineLvl w:val="3"/>
        <w:rPr>
          <w:rFonts w:ascii="宋体" w:eastAsia="宋体" w:hAnsi="宋体" w:cs="宋体"/>
          <w:b/>
          <w:bCs/>
          <w:szCs w:val="21"/>
        </w:rPr>
      </w:pPr>
      <w:bookmarkStart w:id="322" w:name="_Toc989206"/>
      <w:r>
        <w:rPr>
          <w:rFonts w:ascii="宋体" w:eastAsia="宋体" w:hAnsi="宋体" w:cs="宋体"/>
          <w:b/>
          <w:bCs/>
          <w:szCs w:val="21"/>
        </w:rPr>
        <w:t>（1） 外币货币性项目</w:t>
      </w:r>
      <w:bookmarkEnd w:id="32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3"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25"/>
        <w:gridCol w:w="2410"/>
        <w:gridCol w:w="2410"/>
        <w:gridCol w:w="2518"/>
      </w:tblGrid>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53,194,290.61</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7,365,503.08</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right"/>
              <w:rPr>
                <w:rFonts w:ascii="宋体" w:eastAsia="宋体" w:hAnsi="宋体" w:cs="宋体"/>
                <w:sz w:val="18"/>
                <w:szCs w:val="18"/>
              </w:rPr>
            </w:pPr>
            <w:r>
              <w:rPr>
                <w:rFonts w:ascii="宋体" w:eastAsia="宋体" w:hAnsi="宋体" w:cs="宋体"/>
                <w:sz w:val="18"/>
                <w:szCs w:val="18"/>
              </w:rPr>
              <w:t>7.1884</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52,946,182.35</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32,968.13</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right"/>
              <w:rPr>
                <w:rFonts w:ascii="宋体" w:eastAsia="宋体" w:hAnsi="宋体" w:cs="宋体"/>
                <w:sz w:val="18"/>
                <w:szCs w:val="18"/>
              </w:rPr>
            </w:pPr>
            <w:r>
              <w:rPr>
                <w:rFonts w:ascii="宋体" w:eastAsia="宋体" w:hAnsi="宋体" w:cs="宋体"/>
                <w:sz w:val="18"/>
                <w:szCs w:val="18"/>
              </w:rPr>
              <w:t>7.5257</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248,108.26</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D85548">
            <w:pPr>
              <w:jc w:val="right"/>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102,861,653.52</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14,309,394.79</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right"/>
              <w:rPr>
                <w:rFonts w:ascii="宋体" w:eastAsia="宋体" w:hAnsi="宋体" w:cs="宋体"/>
                <w:sz w:val="18"/>
                <w:szCs w:val="18"/>
              </w:rPr>
            </w:pPr>
            <w:r>
              <w:rPr>
                <w:rFonts w:ascii="宋体" w:eastAsia="宋体" w:hAnsi="宋体" w:cs="宋体"/>
                <w:sz w:val="18"/>
                <w:szCs w:val="18"/>
              </w:rPr>
              <w:t>7.1884</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102,861,653.52</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D85548">
            <w:pPr>
              <w:jc w:val="right"/>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240" w:lineRule="exact"/>
              <w:jc w:val="right"/>
              <w:rPr>
                <w:rFonts w:ascii="宋体" w:eastAsia="宋体" w:hAnsi="宋体" w:cs="宋体"/>
                <w:sz w:val="18"/>
                <w:szCs w:val="18"/>
              </w:rPr>
            </w:pP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87,963,871.17</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12,215,876.43</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right"/>
              <w:rPr>
                <w:rFonts w:ascii="宋体" w:eastAsia="宋体" w:hAnsi="宋体" w:cs="宋体"/>
                <w:sz w:val="18"/>
                <w:szCs w:val="18"/>
              </w:rPr>
            </w:pPr>
            <w:r>
              <w:rPr>
                <w:rFonts w:ascii="宋体" w:eastAsia="宋体" w:hAnsi="宋体" w:cs="宋体"/>
                <w:sz w:val="18"/>
                <w:szCs w:val="18"/>
              </w:rPr>
              <w:t>7.1884</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87,812,606.11</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rsidP="00B157BE">
            <w:pPr>
              <w:spacing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20,099.80</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right"/>
              <w:rPr>
                <w:rFonts w:ascii="宋体" w:eastAsia="宋体" w:hAnsi="宋体" w:cs="宋体"/>
                <w:sz w:val="18"/>
                <w:szCs w:val="18"/>
              </w:rPr>
            </w:pPr>
            <w:r>
              <w:rPr>
                <w:rFonts w:ascii="宋体" w:eastAsia="宋体" w:hAnsi="宋体" w:cs="宋体"/>
                <w:sz w:val="18"/>
                <w:szCs w:val="18"/>
              </w:rPr>
              <w:t>7.5257</w:t>
            </w:r>
          </w:p>
        </w:tc>
        <w:tc>
          <w:tcPr>
            <w:tcW w:w="25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151,265.06</w:t>
            </w:r>
          </w:p>
        </w:tc>
      </w:tr>
    </w:tbl>
    <w:p w:rsidR="00A95787" w:rsidRDefault="005D3CC1">
      <w:pPr>
        <w:pStyle w:val="2"/>
        <w:spacing w:before="300" w:after="300" w:line="320" w:lineRule="exact"/>
        <w:rPr>
          <w:rFonts w:ascii="宋体" w:eastAsia="宋体" w:hAnsi="宋体" w:cs="宋体"/>
          <w:b/>
          <w:bCs/>
          <w:sz w:val="24"/>
          <w:szCs w:val="24"/>
        </w:rPr>
      </w:pPr>
      <w:bookmarkStart w:id="323" w:name="_Toc989207"/>
      <w:r>
        <w:rPr>
          <w:rFonts w:ascii="宋体" w:eastAsia="宋体" w:hAnsi="宋体" w:cs="宋体"/>
          <w:b/>
          <w:bCs/>
          <w:sz w:val="24"/>
          <w:szCs w:val="24"/>
        </w:rPr>
        <w:t>八、研发支出</w:t>
      </w:r>
      <w:bookmarkEnd w:id="32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33"/>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2,158,038.71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2,112,713.71</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6,772,151.71</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7,599,763.64</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616,669.27</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668,479.08</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62,405.94</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106,361.53</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9,609,265.63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10,487,317.96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9,609,265.63</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10,487,317.96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资本化研发支出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pStyle w:val="2"/>
        <w:spacing w:before="300" w:after="300" w:line="320" w:lineRule="exact"/>
        <w:rPr>
          <w:rFonts w:ascii="宋体" w:eastAsia="宋体" w:hAnsi="宋体" w:cs="宋体"/>
          <w:b/>
          <w:bCs/>
          <w:sz w:val="24"/>
          <w:szCs w:val="24"/>
        </w:rPr>
      </w:pPr>
      <w:bookmarkStart w:id="324" w:name="_Toc989208"/>
      <w:r>
        <w:rPr>
          <w:rFonts w:ascii="宋体" w:eastAsia="宋体" w:hAnsi="宋体" w:cs="宋体"/>
          <w:b/>
          <w:bCs/>
          <w:sz w:val="24"/>
          <w:szCs w:val="24"/>
        </w:rPr>
        <w:lastRenderedPageBreak/>
        <w:t>九、在其他主体中的权益</w:t>
      </w:r>
      <w:bookmarkEnd w:id="324"/>
    </w:p>
    <w:p w:rsidR="00A95787" w:rsidRDefault="005D3CC1">
      <w:pPr>
        <w:pStyle w:val="3"/>
        <w:spacing w:line="280" w:lineRule="exact"/>
        <w:jc w:val="left"/>
        <w:rPr>
          <w:rFonts w:ascii="宋体" w:hAnsi="宋体" w:cs="宋体"/>
          <w:b/>
          <w:bCs/>
        </w:rPr>
      </w:pPr>
      <w:bookmarkStart w:id="325" w:name="_Toc989209"/>
      <w:r>
        <w:rPr>
          <w:rFonts w:ascii="宋体" w:hAnsi="宋体" w:cs="宋体"/>
          <w:b/>
          <w:bCs/>
        </w:rPr>
        <w:t>1、在子公司中的权益</w:t>
      </w:r>
      <w:bookmarkEnd w:id="325"/>
    </w:p>
    <w:p w:rsidR="00A95787" w:rsidRDefault="005D3CC1">
      <w:pPr>
        <w:keepNext/>
        <w:keepLines/>
        <w:spacing w:before="300" w:after="300" w:line="280" w:lineRule="exact"/>
        <w:outlineLvl w:val="3"/>
        <w:rPr>
          <w:rFonts w:ascii="宋体" w:eastAsia="宋体" w:hAnsi="宋体" w:cs="宋体"/>
          <w:b/>
          <w:bCs/>
          <w:sz w:val="18"/>
          <w:szCs w:val="18"/>
        </w:rPr>
      </w:pPr>
      <w:bookmarkStart w:id="326" w:name="_Toc989210"/>
      <w:r>
        <w:rPr>
          <w:rFonts w:ascii="宋体" w:eastAsia="宋体" w:hAnsi="宋体" w:cs="宋体"/>
          <w:b/>
          <w:bCs/>
          <w:sz w:val="18"/>
          <w:szCs w:val="18"/>
        </w:rPr>
        <w:t>（1） 企业集团的构成</w:t>
      </w:r>
      <w:bookmarkEnd w:id="32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5"/>
        <w:gridCol w:w="1525"/>
        <w:gridCol w:w="1125"/>
        <w:gridCol w:w="1150"/>
        <w:gridCol w:w="1463"/>
        <w:gridCol w:w="925"/>
        <w:gridCol w:w="912"/>
        <w:gridCol w:w="1150"/>
      </w:tblGrid>
      <w:tr w:rsidR="00A95787">
        <w:trPr>
          <w:trHeight w:val="240"/>
        </w:trPr>
        <w:tc>
          <w:tcPr>
            <w:tcW w:w="13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5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1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1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4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83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1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A95787">
        <w:trPr>
          <w:trHeight w:val="240"/>
        </w:trPr>
        <w:tc>
          <w:tcPr>
            <w:tcW w:w="13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25" w:type="dxa"/>
            <w:vMerge/>
            <w:tcBorders>
              <w:top w:val="single" w:sz="2" w:space="0" w:color="auto"/>
              <w:left w:val="single" w:sz="2" w:space="0" w:color="auto"/>
              <w:bottom w:val="single" w:sz="2" w:space="0" w:color="auto"/>
              <w:right w:val="single" w:sz="2" w:space="0" w:color="auto"/>
            </w:tcBorders>
            <w:vAlign w:val="center"/>
          </w:tcPr>
          <w:p w:rsidR="00A95787" w:rsidRDefault="00A95787"/>
        </w:tc>
        <w:tc>
          <w:tcPr>
            <w:tcW w:w="11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1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204,421,913.00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A95787">
        <w:trPr>
          <w:trHeight w:val="240"/>
        </w:trPr>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700,000,000.00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A95787">
        <w:trPr>
          <w:trHeight w:val="240"/>
        </w:trPr>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A95787">
        <w:trPr>
          <w:trHeight w:val="240"/>
        </w:trPr>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江阴市</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A95787">
        <w:trPr>
          <w:trHeight w:val="240"/>
        </w:trPr>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1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上海市</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上海市</w:t>
            </w:r>
          </w:p>
        </w:tc>
        <w:tc>
          <w:tcPr>
            <w:tcW w:w="14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针纺织品及原料销售</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1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设立</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截至</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日，纳入公司合并财务报表范围的结构化主体的净资产为人民币</w:t>
      </w:r>
      <w:r>
        <w:rPr>
          <w:rFonts w:ascii="Arial" w:hAnsi="Arial" w:cs="Arial"/>
          <w:sz w:val="18"/>
          <w:szCs w:val="18"/>
          <w:shd w:val="clear" w:color="auto" w:fill="FFFFFF"/>
        </w:rPr>
        <w:t>106,333.86</w:t>
      </w:r>
      <w:r>
        <w:rPr>
          <w:rFonts w:cs="Times New Roman" w:hint="eastAsia"/>
          <w:sz w:val="18"/>
          <w:szCs w:val="18"/>
          <w:shd w:val="clear" w:color="auto" w:fill="FFFFFF"/>
        </w:rPr>
        <w:t>万元</w:t>
      </w:r>
      <w:r>
        <w:rPr>
          <w:rFonts w:cs="Times New Roman" w:hint="eastAsia"/>
          <w:sz w:val="18"/>
          <w:szCs w:val="18"/>
        </w:rPr>
        <w:t>。公司确定是否合并特定结构化主体是基于：对结构化主体所拥有的权力；通过参与结构化主体的相关活动而享有的可变回报；以及有能力运用对结构化主体的权力影响公司回报金额的评估结果。基于上述标准，</w:t>
      </w:r>
      <w:r>
        <w:rPr>
          <w:rFonts w:ascii="Arial" w:hAnsi="Arial" w:cs="Arial"/>
          <w:sz w:val="18"/>
          <w:szCs w:val="18"/>
        </w:rPr>
        <w:t>2024</w:t>
      </w:r>
      <w:r>
        <w:rPr>
          <w:rFonts w:cs="Times New Roman" w:hint="eastAsia"/>
          <w:sz w:val="18"/>
          <w:szCs w:val="18"/>
        </w:rPr>
        <w:t>年末纳入公司合并报表范围的结构化主体信息如下：</w:t>
      </w:r>
    </w:p>
    <w:tbl>
      <w:tblPr>
        <w:tblW w:w="0" w:type="auto"/>
        <w:tblInd w:w="97" w:type="dxa"/>
        <w:tblCellMar>
          <w:left w:w="0" w:type="dxa"/>
          <w:right w:w="0" w:type="dxa"/>
        </w:tblCellMar>
        <w:tblLook w:val="04A0" w:firstRow="1" w:lastRow="0" w:firstColumn="1" w:lastColumn="0" w:noHBand="0" w:noVBand="1"/>
      </w:tblPr>
      <w:tblGrid>
        <w:gridCol w:w="2279"/>
        <w:gridCol w:w="1396"/>
        <w:gridCol w:w="1325"/>
        <w:gridCol w:w="1637"/>
        <w:gridCol w:w="1050"/>
        <w:gridCol w:w="963"/>
        <w:gridCol w:w="975"/>
      </w:tblGrid>
      <w:tr w:rsidR="00A95787">
        <w:trPr>
          <w:tblHeader/>
        </w:trPr>
        <w:tc>
          <w:tcPr>
            <w:tcW w:w="22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结构化主体名称</w:t>
            </w:r>
          </w:p>
        </w:tc>
        <w:tc>
          <w:tcPr>
            <w:tcW w:w="13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主要经营地</w:t>
            </w:r>
          </w:p>
        </w:tc>
        <w:tc>
          <w:tcPr>
            <w:tcW w:w="13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注册地</w:t>
            </w:r>
          </w:p>
        </w:tc>
        <w:tc>
          <w:tcPr>
            <w:tcW w:w="16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业务性质</w:t>
            </w:r>
          </w:p>
        </w:tc>
        <w:tc>
          <w:tcPr>
            <w:tcW w:w="20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出资比例（</w:t>
            </w:r>
            <w:r>
              <w:rPr>
                <w:rFonts w:ascii="Arial" w:hAnsi="Arial" w:cs="Arial"/>
                <w:sz w:val="18"/>
                <w:szCs w:val="18"/>
              </w:rPr>
              <w:t>%</w:t>
            </w:r>
            <w:r>
              <w:rPr>
                <w:rFonts w:cs="Times New Roman" w:hint="eastAsia"/>
                <w:sz w:val="18"/>
                <w:szCs w:val="18"/>
              </w:rPr>
              <w:t>）</w:t>
            </w:r>
          </w:p>
        </w:tc>
        <w:tc>
          <w:tcPr>
            <w:tcW w:w="9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取得方式</w:t>
            </w:r>
          </w:p>
        </w:tc>
      </w:tr>
      <w:tr w:rsidR="00A95787">
        <w:trPr>
          <w:tblHeader/>
        </w:trPr>
        <w:tc>
          <w:tcPr>
            <w:tcW w:w="2279" w:type="dxa"/>
            <w:vMerge/>
            <w:tcBorders>
              <w:top w:val="single" w:sz="8" w:space="0" w:color="auto"/>
              <w:left w:val="single" w:sz="8" w:space="0" w:color="auto"/>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c>
          <w:tcPr>
            <w:tcW w:w="1396" w:type="dxa"/>
            <w:vMerge/>
            <w:tcBorders>
              <w:top w:val="single" w:sz="8" w:space="0" w:color="auto"/>
              <w:left w:val="nil"/>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c>
          <w:tcPr>
            <w:tcW w:w="1325" w:type="dxa"/>
            <w:vMerge/>
            <w:tcBorders>
              <w:top w:val="single" w:sz="8" w:space="0" w:color="auto"/>
              <w:left w:val="nil"/>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c>
          <w:tcPr>
            <w:tcW w:w="1637" w:type="dxa"/>
            <w:vMerge/>
            <w:tcBorders>
              <w:top w:val="single" w:sz="8" w:space="0" w:color="auto"/>
              <w:left w:val="nil"/>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直接</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间接</w:t>
            </w:r>
          </w:p>
        </w:tc>
        <w:tc>
          <w:tcPr>
            <w:tcW w:w="975" w:type="dxa"/>
            <w:vMerge/>
            <w:tcBorders>
              <w:top w:val="single" w:sz="8" w:space="0" w:color="auto"/>
              <w:left w:val="nil"/>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r>
      <w:tr w:rsidR="00A95787">
        <w:tc>
          <w:tcPr>
            <w:tcW w:w="2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上海启澜企业管理咨询合伙企业（有限合伙）</w:t>
            </w: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637"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企业管理咨询</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100.00</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设立</w:t>
            </w:r>
          </w:p>
        </w:tc>
      </w:tr>
    </w:tbl>
    <w:p w:rsidR="00A95787" w:rsidRDefault="005D3CC1">
      <w:pPr>
        <w:pStyle w:val="3"/>
        <w:spacing w:line="280" w:lineRule="exact"/>
        <w:jc w:val="left"/>
        <w:rPr>
          <w:rFonts w:ascii="宋体" w:hAnsi="宋体" w:cs="宋体"/>
          <w:b/>
          <w:bCs/>
        </w:rPr>
      </w:pPr>
      <w:bookmarkStart w:id="327" w:name="_Toc989211"/>
      <w:r>
        <w:rPr>
          <w:rFonts w:ascii="宋体" w:hAnsi="宋体" w:cs="宋体"/>
          <w:b/>
          <w:bCs/>
        </w:rPr>
        <w:t>2、在合营企业或联营企业中的权益</w:t>
      </w:r>
      <w:bookmarkEnd w:id="327"/>
    </w:p>
    <w:p w:rsidR="00A95787" w:rsidRDefault="005D3CC1">
      <w:pPr>
        <w:keepNext/>
        <w:keepLines/>
        <w:spacing w:before="300" w:after="300" w:line="280" w:lineRule="exact"/>
        <w:outlineLvl w:val="3"/>
        <w:rPr>
          <w:rFonts w:ascii="宋体" w:eastAsia="宋体" w:hAnsi="宋体" w:cs="宋体"/>
          <w:b/>
          <w:bCs/>
          <w:szCs w:val="21"/>
        </w:rPr>
      </w:pPr>
      <w:bookmarkStart w:id="328" w:name="_Toc989212"/>
      <w:r>
        <w:rPr>
          <w:rFonts w:ascii="宋体" w:eastAsia="宋体" w:hAnsi="宋体" w:cs="宋体"/>
          <w:b/>
          <w:bCs/>
          <w:szCs w:val="21"/>
        </w:rPr>
        <w:t>（1） 重要的合营企业或联营企业</w:t>
      </w:r>
      <w:bookmarkEnd w:id="328"/>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37"/>
        <w:gridCol w:w="1200"/>
        <w:gridCol w:w="1225"/>
        <w:gridCol w:w="1613"/>
        <w:gridCol w:w="887"/>
        <w:gridCol w:w="763"/>
        <w:gridCol w:w="1537"/>
      </w:tblGrid>
      <w:tr w:rsidR="00A95787">
        <w:trPr>
          <w:trHeight w:val="240"/>
        </w:trPr>
        <w:tc>
          <w:tcPr>
            <w:tcW w:w="24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主要经营地</w:t>
            </w:r>
          </w:p>
        </w:tc>
        <w:tc>
          <w:tcPr>
            <w:tcW w:w="12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注册地</w:t>
            </w:r>
          </w:p>
        </w:tc>
        <w:tc>
          <w:tcPr>
            <w:tcW w:w="16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业务性质</w:t>
            </w:r>
          </w:p>
        </w:tc>
        <w:tc>
          <w:tcPr>
            <w:tcW w:w="1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5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A95787">
        <w:trPr>
          <w:trHeight w:val="240"/>
        </w:trPr>
        <w:tc>
          <w:tcPr>
            <w:tcW w:w="24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22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6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8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直接</w:t>
            </w:r>
          </w:p>
        </w:tc>
        <w:tc>
          <w:tcPr>
            <w:tcW w:w="7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间接</w:t>
            </w:r>
          </w:p>
        </w:tc>
        <w:tc>
          <w:tcPr>
            <w:tcW w:w="15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24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屏边县</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屏边县</w:t>
            </w: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矿石开采销售</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25.00%</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权益法</w:t>
            </w:r>
          </w:p>
        </w:tc>
      </w:tr>
      <w:tr w:rsidR="00A95787">
        <w:trPr>
          <w:trHeight w:val="240"/>
        </w:trPr>
        <w:tc>
          <w:tcPr>
            <w:tcW w:w="24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联储证券股份有限公司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深圳市</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青岛市</w:t>
            </w: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证券经纪</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11.73%</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权益法</w:t>
            </w:r>
          </w:p>
        </w:tc>
      </w:tr>
      <w:tr w:rsidR="00A95787">
        <w:trPr>
          <w:trHeight w:val="240"/>
        </w:trPr>
        <w:tc>
          <w:tcPr>
            <w:tcW w:w="24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江阴华西船务有限公司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江阴市</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江阴市</w:t>
            </w: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港口拖轮服务等</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14.40%</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权益法</w:t>
            </w:r>
          </w:p>
        </w:tc>
      </w:tr>
      <w:tr w:rsidR="00A95787">
        <w:trPr>
          <w:trHeight w:val="240"/>
        </w:trPr>
        <w:tc>
          <w:tcPr>
            <w:tcW w:w="24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一村资本有限公司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上海市</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无锡市</w:t>
            </w: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投资与管理</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40.92%</w:t>
            </w: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权益法</w:t>
            </w:r>
          </w:p>
        </w:tc>
      </w:tr>
      <w:tr w:rsidR="00A95787">
        <w:trPr>
          <w:trHeight w:val="240"/>
        </w:trPr>
        <w:tc>
          <w:tcPr>
            <w:tcW w:w="24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Source Photonics Holdings(Cayman) Limited</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中国、美国</w:t>
            </w:r>
          </w:p>
        </w:tc>
        <w:tc>
          <w:tcPr>
            <w:tcW w:w="12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开曼群岛</w:t>
            </w: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光模块研发与生产</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7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27.66%</w:t>
            </w:r>
          </w:p>
        </w:tc>
        <w:tc>
          <w:tcPr>
            <w:tcW w:w="15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权益法</w:t>
            </w:r>
          </w:p>
        </w:tc>
      </w:tr>
    </w:tbl>
    <w:p w:rsidR="00A95787" w:rsidRDefault="005D3CC1">
      <w:pPr>
        <w:pStyle w:val="a6"/>
        <w:spacing w:before="0" w:beforeAutospacing="0" w:after="0" w:afterAutospacing="0" w:line="400" w:lineRule="atLeast"/>
        <w:ind w:firstLine="420"/>
        <w:jc w:val="both"/>
        <w:rPr>
          <w:rFonts w:ascii="Times New Roman" w:hAnsi="Times New Roman" w:cs="Times New Roman"/>
          <w:sz w:val="21"/>
          <w:szCs w:val="21"/>
        </w:rPr>
      </w:pPr>
      <w:r>
        <w:rPr>
          <w:rFonts w:cs="Times New Roman" w:hint="eastAsia"/>
          <w:sz w:val="18"/>
          <w:szCs w:val="18"/>
        </w:rPr>
        <w:lastRenderedPageBreak/>
        <w:t>注：公司在上述公司董事会均派有代表，对其有重要影响，公司对上述公司长期股权投资采用权益法核算，其中</w:t>
      </w:r>
      <w:r>
        <w:rPr>
          <w:rFonts w:ascii="Arial" w:hAnsi="Arial" w:cs="Arial"/>
          <w:sz w:val="18"/>
          <w:szCs w:val="18"/>
        </w:rPr>
        <w:t>Source Photonics Holdings(Cayman) Limited</w:t>
      </w:r>
      <w:r>
        <w:rPr>
          <w:rFonts w:cs="Times New Roman" w:hint="eastAsia"/>
          <w:sz w:val="18"/>
          <w:szCs w:val="18"/>
        </w:rPr>
        <w:t>的持股比例是根据其公司已达到行权条件但尚未行权的员工期权稀释后的股本计算得出。</w:t>
      </w:r>
    </w:p>
    <w:p w:rsidR="00A95787" w:rsidRDefault="005D3CC1">
      <w:pPr>
        <w:keepNext/>
        <w:keepLines/>
        <w:spacing w:before="300" w:after="300" w:line="280" w:lineRule="exact"/>
        <w:outlineLvl w:val="3"/>
        <w:rPr>
          <w:rFonts w:ascii="宋体" w:eastAsia="宋体" w:hAnsi="宋体" w:cs="宋体"/>
          <w:b/>
          <w:bCs/>
          <w:szCs w:val="21"/>
        </w:rPr>
      </w:pPr>
      <w:bookmarkStart w:id="329" w:name="_Toc989213"/>
      <w:r>
        <w:rPr>
          <w:rFonts w:ascii="宋体" w:eastAsia="宋体" w:hAnsi="宋体" w:cs="宋体"/>
          <w:b/>
          <w:bCs/>
          <w:szCs w:val="21"/>
        </w:rPr>
        <w:t>（2） 重要联营企业的主要财务信息</w:t>
      </w:r>
      <w:bookmarkEnd w:id="32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482"/>
        <w:gridCol w:w="1350"/>
        <w:gridCol w:w="1375"/>
        <w:gridCol w:w="1388"/>
        <w:gridCol w:w="1375"/>
        <w:gridCol w:w="1400"/>
      </w:tblGrid>
      <w:tr w:rsidR="00A95787">
        <w:trPr>
          <w:trHeight w:val="240"/>
        </w:trPr>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42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6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A95787">
        <w:trPr>
          <w:trHeight w:val="240"/>
        </w:trPr>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Source Photonics Holdings(Cayman)</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Limited</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Source Photonics Holdings(Cayman)</w:t>
            </w:r>
          </w:p>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Limited</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21,288,208,036.06</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482,524,016.53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2,099,964,393.85</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20,620,241,865.93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305,833,645.89</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1,425,398,250.02</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2,563,457,466.96</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5,423,401,297.87</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1,147,703,729.84</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3,381,583,937.91</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5,018,601,261.55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1,102,419,654.59</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23,851,665,503.02</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5,905,925,314.40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3,247,668,123.69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24,001,825,803.84</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5,324,434,907.44</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2,527,817,904.61</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13,250,382,957.85</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100,971,236.98</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1,953,673,209.60</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12,381,623,478.09</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119,774,928.00</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1,511,396,742.10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3,786,869,866.75</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1,036,773,184.26</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174,631,362.69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3,851,589,205.98</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326,192,299.95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207,835,947.55</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17,037,252,824.60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1,137,744,421.24</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2,128,304,572.29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16,233,212,684.07</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445,967,227.95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1,719,232,689.65</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1,158,356,742.88</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7,479,632.49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1,249,419,909.70</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8,157,129.67</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6,814,412,678.42</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3,609,824,150.28</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1,111,883,918.93</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7,768,613,119.77</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3,629,047,769.79</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800,428,085.29</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799,268,110.71</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1,477,291,718.46</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307,496,184.37</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911,187,071.32</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1,485,158,767.39</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221,361,761.41</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351,406,220.31</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753,454,632.82</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753,231,805.20</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1,150,674,331.02</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1,340,100,683.74</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1,060,950,817.19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1,262,593,291.62</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974,593,566.61</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64,193,950.82</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36,100,385.33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2,931,662,308.38</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755,572,285.24</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39,959,383.12</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1,284,720,829.77</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-957,150,719.45</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106,928,886.67</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324,777,923.89</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-161,193,302.9</w:t>
            </w:r>
            <w:r>
              <w:rPr>
                <w:rFonts w:ascii="宋体" w:eastAsia="宋体" w:hAnsi="宋体" w:cs="宋体"/>
                <w:sz w:val="18"/>
                <w:szCs w:val="18"/>
              </w:rPr>
              <w:lastRenderedPageBreak/>
              <w:t>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lastRenderedPageBreak/>
              <w:t>103,167,229.83</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-82,621,675.07</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终止经营的净利润</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2,950,278.10</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-346,855.12</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-28,207,706.43</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122,524,417.80</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-228,488.68</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-22,224,819.45</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-954,200,441.35</w:t>
            </w: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w:t>
            </w:r>
            <w:r>
              <w:rPr>
                <w:rFonts w:ascii="宋体" w:eastAsia="宋体" w:hAnsi="宋体" w:cs="宋体" w:hint="eastAsia"/>
                <w:sz w:val="18"/>
                <w:szCs w:val="18"/>
              </w:rPr>
              <w:t>582</w:t>
            </w:r>
            <w:r>
              <w:rPr>
                <w:rFonts w:ascii="宋体" w:eastAsia="宋体" w:hAnsi="宋体" w:cs="宋体"/>
                <w:sz w:val="18"/>
                <w:szCs w:val="18"/>
              </w:rPr>
              <w:t>,</w:t>
            </w:r>
            <w:r>
              <w:rPr>
                <w:rFonts w:ascii="宋体" w:eastAsia="宋体" w:hAnsi="宋体" w:cs="宋体" w:hint="eastAsia"/>
                <w:sz w:val="18"/>
                <w:szCs w:val="18"/>
              </w:rPr>
              <w:t>031</w:t>
            </w:r>
            <w:r>
              <w:rPr>
                <w:rFonts w:ascii="宋体" w:eastAsia="宋体" w:hAnsi="宋体" w:cs="宋体"/>
                <w:sz w:val="18"/>
                <w:szCs w:val="18"/>
              </w:rPr>
              <w:t>.</w:t>
            </w:r>
            <w:r>
              <w:rPr>
                <w:rFonts w:ascii="宋体" w:eastAsia="宋体" w:hAnsi="宋体" w:cs="宋体" w:hint="eastAsia"/>
                <w:sz w:val="18"/>
                <w:szCs w:val="18"/>
              </w:rPr>
              <w:t>55</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296,570,217.46</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-38,668,885.13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102,938,741.15</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-104,846,494.52</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14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注：考虑</w:t>
      </w:r>
      <w:r>
        <w:rPr>
          <w:rFonts w:ascii="Arial" w:hAnsi="Arial" w:cs="Arial"/>
          <w:sz w:val="18"/>
          <w:szCs w:val="18"/>
        </w:rPr>
        <w:t>Source Photonics Holdings(Cayman) Limited</w:t>
      </w:r>
      <w:r>
        <w:rPr>
          <w:rFonts w:cs="Times New Roman" w:hint="eastAsia"/>
          <w:sz w:val="18"/>
          <w:szCs w:val="18"/>
        </w:rPr>
        <w:t>股权架构拆分影响，以上数据为还原后</w:t>
      </w:r>
      <w:r>
        <w:rPr>
          <w:rFonts w:ascii="Arial" w:hAnsi="Arial" w:cs="Arial"/>
          <w:sz w:val="18"/>
          <w:szCs w:val="18"/>
        </w:rPr>
        <w:t>VENUS PEARL SPV2 CO LIMITED</w:t>
      </w:r>
      <w:r>
        <w:rPr>
          <w:rFonts w:cs="Times New Roman" w:hint="eastAsia"/>
          <w:sz w:val="18"/>
          <w:szCs w:val="18"/>
        </w:rPr>
        <w:t>的数据。</w:t>
      </w:r>
    </w:p>
    <w:p w:rsidR="00A95787" w:rsidRDefault="005D3CC1">
      <w:pPr>
        <w:keepNext/>
        <w:keepLines/>
        <w:spacing w:before="300" w:after="300" w:line="280" w:lineRule="exact"/>
        <w:outlineLvl w:val="3"/>
        <w:rPr>
          <w:rFonts w:ascii="宋体" w:eastAsia="宋体" w:hAnsi="宋体" w:cs="宋体"/>
          <w:b/>
          <w:bCs/>
          <w:szCs w:val="21"/>
        </w:rPr>
      </w:pPr>
      <w:bookmarkStart w:id="330" w:name="_Toc989214"/>
      <w:r>
        <w:rPr>
          <w:rFonts w:ascii="宋体" w:eastAsia="宋体" w:hAnsi="宋体" w:cs="宋体"/>
          <w:b/>
          <w:bCs/>
          <w:szCs w:val="21"/>
        </w:rPr>
        <w:t>（3） 不重要的合营企业和联营企业的汇总财务信息</w:t>
      </w:r>
      <w:bookmarkEnd w:id="33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18,602,182.03</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19,442,579.57</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-163,597.54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4F0EE6" w:rsidP="004F0EE6">
            <w:pPr>
              <w:spacing w:line="300" w:lineRule="exact"/>
              <w:jc w:val="right"/>
              <w:rPr>
                <w:rFonts w:ascii="宋体" w:eastAsia="宋体" w:hAnsi="宋体" w:cs="宋体"/>
                <w:sz w:val="18"/>
                <w:szCs w:val="18"/>
              </w:rPr>
            </w:pPr>
            <w:r>
              <w:rPr>
                <w:rFonts w:ascii="宋体" w:eastAsia="宋体" w:hAnsi="宋体" w:cs="宋体" w:hint="eastAsia"/>
                <w:sz w:val="18"/>
                <w:szCs w:val="18"/>
              </w:rPr>
              <w:t>140,244.11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tbl>
      <w:tblPr>
        <w:tblW w:w="9687" w:type="dxa"/>
        <w:jc w:val="center"/>
        <w:tblCellMar>
          <w:left w:w="0" w:type="dxa"/>
          <w:right w:w="0" w:type="dxa"/>
        </w:tblCellMar>
        <w:tblLook w:val="04A0" w:firstRow="1" w:lastRow="0" w:firstColumn="1" w:lastColumn="0" w:noHBand="0" w:noVBand="1"/>
      </w:tblPr>
      <w:tblGrid>
        <w:gridCol w:w="5376"/>
        <w:gridCol w:w="2173"/>
        <w:gridCol w:w="2138"/>
      </w:tblGrid>
      <w:tr w:rsidR="00A95787">
        <w:trPr>
          <w:trHeight w:val="360"/>
          <w:tblHeader/>
          <w:jc w:val="center"/>
        </w:trPr>
        <w:tc>
          <w:tcPr>
            <w:tcW w:w="537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217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center"/>
              <w:rPr>
                <w:rFonts w:ascii="Times New Roman" w:hAnsi="Times New Roman" w:cs="Times New Roman"/>
                <w:sz w:val="21"/>
                <w:szCs w:val="21"/>
              </w:rPr>
            </w:pPr>
            <w:r>
              <w:rPr>
                <w:rFonts w:cs="Times New Roman" w:hint="eastAsia"/>
                <w:sz w:val="18"/>
                <w:szCs w:val="18"/>
              </w:rPr>
              <w:t>期末余额</w:t>
            </w:r>
            <w:r>
              <w:rPr>
                <w:rFonts w:ascii="Arial" w:hAnsi="Arial" w:cs="Arial"/>
                <w:sz w:val="18"/>
                <w:szCs w:val="18"/>
              </w:rPr>
              <w:t>/</w:t>
            </w:r>
            <w:r>
              <w:rPr>
                <w:rFonts w:cs="Times New Roman" w:hint="eastAsia"/>
                <w:sz w:val="18"/>
                <w:szCs w:val="18"/>
              </w:rPr>
              <w:t>本期金额</w:t>
            </w:r>
          </w:p>
        </w:tc>
        <w:tc>
          <w:tcPr>
            <w:tcW w:w="213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center"/>
              <w:rPr>
                <w:rFonts w:ascii="Times New Roman" w:hAnsi="Times New Roman" w:cs="Times New Roman"/>
                <w:sz w:val="21"/>
                <w:szCs w:val="21"/>
              </w:rPr>
            </w:pPr>
            <w:r>
              <w:rPr>
                <w:rFonts w:cs="Times New Roman" w:hint="eastAsia"/>
                <w:sz w:val="18"/>
                <w:szCs w:val="18"/>
              </w:rPr>
              <w:t>期初余额</w:t>
            </w:r>
            <w:r>
              <w:rPr>
                <w:rFonts w:ascii="Arial" w:hAnsi="Arial" w:cs="Arial"/>
                <w:sz w:val="18"/>
                <w:szCs w:val="18"/>
              </w:rPr>
              <w:t>/</w:t>
            </w:r>
            <w:r>
              <w:rPr>
                <w:rFonts w:cs="Times New Roman" w:hint="eastAsia"/>
                <w:sz w:val="18"/>
                <w:szCs w:val="18"/>
              </w:rPr>
              <w:t>上期金额</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cs="Times New Roman" w:hint="eastAsia"/>
                <w:sz w:val="18"/>
                <w:szCs w:val="18"/>
              </w:rPr>
              <w:t>联营企业：</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cs="Times New Roman" w:hint="eastAsia"/>
                <w:sz w:val="18"/>
                <w:szCs w:val="18"/>
              </w:rPr>
              <w:t>云南屏边华西村矿业有限公司</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13,545,804.08</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14,449,549.72</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cs="Times New Roman" w:hint="eastAsia"/>
                <w:sz w:val="18"/>
                <w:szCs w:val="18"/>
              </w:rPr>
              <w:t>江阴华西船务有限公司</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5,056,377.95</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4,993,029.85</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cs="Times New Roman" w:hint="eastAsia"/>
                <w:sz w:val="18"/>
                <w:szCs w:val="18"/>
              </w:rPr>
              <w:t>投资账面价值合计</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18,602,182.03</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19,442,579.57</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cs="Times New Roman" w:hint="eastAsia"/>
                <w:sz w:val="18"/>
                <w:szCs w:val="18"/>
              </w:rPr>
              <w:t>下列各项按持股比例计算的合计数</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ascii="Arial" w:hAnsi="Arial" w:cs="Arial"/>
                <w:sz w:val="18"/>
                <w:szCs w:val="18"/>
              </w:rPr>
              <w:t>—</w:t>
            </w:r>
            <w:r>
              <w:rPr>
                <w:rFonts w:cs="Times New Roman" w:hint="eastAsia"/>
                <w:sz w:val="18"/>
                <w:szCs w:val="18"/>
              </w:rPr>
              <w:t>净利润</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-163,597.54</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4F0EE6">
            <w:pPr>
              <w:pStyle w:val="a6"/>
              <w:spacing w:before="0" w:beforeAutospacing="0" w:after="0" w:afterAutospacing="0" w:line="320" w:lineRule="atLeast"/>
              <w:jc w:val="right"/>
              <w:rPr>
                <w:rFonts w:ascii="Times New Roman" w:hAnsi="Times New Roman" w:cs="Times New Roman"/>
                <w:sz w:val="21"/>
                <w:szCs w:val="21"/>
              </w:rPr>
            </w:pPr>
            <w:bookmarkStart w:id="331" w:name="OLE_LINK1"/>
            <w:bookmarkStart w:id="332" w:name="OLE_LINK2"/>
            <w:r>
              <w:rPr>
                <w:rFonts w:ascii="Arial" w:hAnsi="Arial" w:cs="Arial" w:hint="eastAsia"/>
                <w:sz w:val="18"/>
                <w:szCs w:val="18"/>
              </w:rPr>
              <w:t>140,244.11</w:t>
            </w:r>
            <w:bookmarkEnd w:id="331"/>
            <w:bookmarkEnd w:id="332"/>
          </w:p>
        </w:tc>
        <w:bookmarkStart w:id="333" w:name="_GoBack"/>
        <w:bookmarkEnd w:id="333"/>
      </w:tr>
      <w:tr w:rsidR="00A95787">
        <w:trPr>
          <w:trHeight w:val="360"/>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ascii="Arial" w:hAnsi="Arial" w:cs="Arial"/>
                <w:sz w:val="18"/>
                <w:szCs w:val="18"/>
              </w:rPr>
              <w:t>—</w:t>
            </w:r>
            <w:r>
              <w:rPr>
                <w:rFonts w:cs="Times New Roman" w:hint="eastAsia"/>
                <w:sz w:val="18"/>
                <w:szCs w:val="18"/>
              </w:rPr>
              <w:t>其他综合收益</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 </w:t>
            </w:r>
          </w:p>
        </w:tc>
      </w:tr>
      <w:tr w:rsidR="00A95787" w:rsidTr="004F0EE6">
        <w:trPr>
          <w:trHeight w:val="285"/>
          <w:jc w:val="center"/>
        </w:trPr>
        <w:tc>
          <w:tcPr>
            <w:tcW w:w="537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rPr>
                <w:rFonts w:ascii="Times New Roman" w:hAnsi="Times New Roman" w:cs="Times New Roman"/>
                <w:sz w:val="21"/>
                <w:szCs w:val="21"/>
              </w:rPr>
            </w:pPr>
            <w:r>
              <w:rPr>
                <w:rFonts w:ascii="Arial" w:hAnsi="Arial" w:cs="Arial"/>
                <w:sz w:val="18"/>
                <w:szCs w:val="18"/>
              </w:rPr>
              <w:t>—</w:t>
            </w:r>
            <w:r>
              <w:rPr>
                <w:rFonts w:cs="Times New Roman" w:hint="eastAsia"/>
                <w:sz w:val="18"/>
                <w:szCs w:val="18"/>
              </w:rPr>
              <w:t>综合收益总额</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-163,597.54</w:t>
            </w:r>
          </w:p>
        </w:tc>
        <w:tc>
          <w:tcPr>
            <w:tcW w:w="213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4F0EE6">
            <w:pPr>
              <w:pStyle w:val="a6"/>
              <w:spacing w:before="0" w:beforeAutospacing="0" w:after="0" w:afterAutospacing="0" w:line="320" w:lineRule="atLeast"/>
              <w:jc w:val="right"/>
              <w:rPr>
                <w:rFonts w:ascii="Times New Roman" w:hAnsi="Times New Roman" w:cs="Times New Roman"/>
                <w:sz w:val="21"/>
                <w:szCs w:val="21"/>
              </w:rPr>
            </w:pPr>
            <w:r>
              <w:rPr>
                <w:rFonts w:ascii="Arial" w:hAnsi="Arial" w:cs="Arial"/>
                <w:sz w:val="18"/>
                <w:szCs w:val="18"/>
              </w:rPr>
              <w:t>140,244.11</w:t>
            </w:r>
          </w:p>
        </w:tc>
      </w:tr>
    </w:tbl>
    <w:p w:rsidR="00A95787" w:rsidRDefault="005D3CC1">
      <w:pPr>
        <w:pStyle w:val="2"/>
        <w:spacing w:before="300" w:after="300" w:line="320" w:lineRule="exact"/>
        <w:rPr>
          <w:rFonts w:ascii="宋体" w:eastAsia="宋体" w:hAnsi="宋体" w:cs="宋体"/>
          <w:b/>
          <w:bCs/>
          <w:sz w:val="24"/>
          <w:szCs w:val="24"/>
        </w:rPr>
      </w:pPr>
      <w:bookmarkStart w:id="334" w:name="_Toc989215"/>
      <w:r>
        <w:rPr>
          <w:rFonts w:ascii="宋体" w:eastAsia="宋体" w:hAnsi="宋体" w:cs="宋体"/>
          <w:b/>
          <w:bCs/>
          <w:sz w:val="24"/>
          <w:szCs w:val="24"/>
        </w:rPr>
        <w:t>十、政府补助</w:t>
      </w:r>
      <w:bookmarkEnd w:id="334"/>
    </w:p>
    <w:p w:rsidR="00A95787" w:rsidRDefault="005D3CC1">
      <w:pPr>
        <w:pStyle w:val="3"/>
        <w:spacing w:line="280" w:lineRule="exact"/>
        <w:jc w:val="left"/>
        <w:rPr>
          <w:rFonts w:ascii="宋体" w:hAnsi="宋体" w:cs="宋体"/>
          <w:b/>
          <w:bCs/>
        </w:rPr>
      </w:pPr>
      <w:bookmarkStart w:id="335" w:name="_Toc989216"/>
      <w:r>
        <w:rPr>
          <w:rFonts w:ascii="宋体" w:hAnsi="宋体" w:cs="宋体"/>
          <w:b/>
          <w:bCs/>
        </w:rPr>
        <w:t>1、涉及政府补助的负债项目</w:t>
      </w:r>
      <w:bookmarkEnd w:id="335"/>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2"/>
        <w:gridCol w:w="1380"/>
        <w:gridCol w:w="1030"/>
        <w:gridCol w:w="1205"/>
        <w:gridCol w:w="1205"/>
        <w:gridCol w:w="1048"/>
        <w:gridCol w:w="1362"/>
        <w:gridCol w:w="1313"/>
      </w:tblGrid>
      <w:tr w:rsidR="00A95787">
        <w:trPr>
          <w:trHeight w:val="240"/>
        </w:trPr>
        <w:tc>
          <w:tcPr>
            <w:tcW w:w="108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会计科目</w:t>
            </w:r>
          </w:p>
        </w:tc>
        <w:tc>
          <w:tcPr>
            <w:tcW w:w="13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本期转入其他收益金额</w:t>
            </w:r>
          </w:p>
        </w:tc>
        <w:tc>
          <w:tcPr>
            <w:tcW w:w="10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本期其他变动</w:t>
            </w:r>
          </w:p>
        </w:tc>
        <w:tc>
          <w:tcPr>
            <w:tcW w:w="13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3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与资产/收益相关</w:t>
            </w:r>
          </w:p>
        </w:tc>
      </w:tr>
      <w:tr w:rsidR="00A95787">
        <w:trPr>
          <w:trHeight w:val="240"/>
        </w:trPr>
        <w:tc>
          <w:tcPr>
            <w:tcW w:w="108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递延收益</w:t>
            </w:r>
          </w:p>
        </w:tc>
        <w:tc>
          <w:tcPr>
            <w:tcW w:w="13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03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04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A95787">
        <w:trPr>
          <w:trHeight w:val="240"/>
        </w:trPr>
        <w:tc>
          <w:tcPr>
            <w:tcW w:w="10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合  计</w:t>
            </w:r>
          </w:p>
        </w:tc>
        <w:tc>
          <w:tcPr>
            <w:tcW w:w="13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03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04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3,752,000.00</w:t>
            </w:r>
          </w:p>
        </w:tc>
        <w:tc>
          <w:tcPr>
            <w:tcW w:w="13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bl>
    <w:p w:rsidR="00A95787" w:rsidRPr="00B157BE" w:rsidRDefault="005D3CC1" w:rsidP="00B157BE">
      <w:pPr>
        <w:pStyle w:val="a6"/>
        <w:spacing w:before="0" w:beforeAutospacing="0" w:after="0" w:afterAutospacing="0" w:line="400" w:lineRule="atLeast"/>
        <w:ind w:right="359" w:firstLine="360"/>
        <w:jc w:val="both"/>
        <w:rPr>
          <w:rFonts w:cs="Times New Roman"/>
          <w:sz w:val="18"/>
          <w:szCs w:val="18"/>
        </w:rPr>
      </w:pPr>
      <w:bookmarkStart w:id="336" w:name="_Toc989217"/>
      <w:r w:rsidRPr="00B157BE">
        <w:rPr>
          <w:rFonts w:cs="Times New Roman"/>
          <w:sz w:val="18"/>
          <w:szCs w:val="18"/>
        </w:rPr>
        <w:t>其中，政府补助明细详见下表：</w:t>
      </w:r>
      <w:bookmarkEnd w:id="336"/>
    </w:p>
    <w:tbl>
      <w:tblPr>
        <w:tblW w:w="9669" w:type="dxa"/>
        <w:tblLayout w:type="fixed"/>
        <w:tblCellMar>
          <w:left w:w="0" w:type="dxa"/>
          <w:right w:w="0" w:type="dxa"/>
        </w:tblCellMar>
        <w:tblLook w:val="04A0" w:firstRow="1" w:lastRow="0" w:firstColumn="1" w:lastColumn="0" w:noHBand="0" w:noVBand="1"/>
      </w:tblPr>
      <w:tblGrid>
        <w:gridCol w:w="1023"/>
        <w:gridCol w:w="1275"/>
        <w:gridCol w:w="851"/>
        <w:gridCol w:w="1276"/>
        <w:gridCol w:w="1134"/>
        <w:gridCol w:w="1275"/>
        <w:gridCol w:w="1276"/>
        <w:gridCol w:w="1559"/>
      </w:tblGrid>
      <w:tr w:rsidR="00A95787">
        <w:trPr>
          <w:trHeight w:val="830"/>
          <w:tblHeader/>
        </w:trPr>
        <w:tc>
          <w:tcPr>
            <w:tcW w:w="102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ascii="Times New Roman" w:eastAsia="仿宋" w:hAnsi="Times New Roman" w:cs="Times New Roman"/>
                <w:sz w:val="21"/>
                <w:szCs w:val="21"/>
              </w:rPr>
              <w:t> </w:t>
            </w:r>
            <w:r>
              <w:rPr>
                <w:rFonts w:cs="Times New Roman" w:hint="eastAsia"/>
                <w:sz w:val="18"/>
                <w:szCs w:val="18"/>
              </w:rPr>
              <w:t>补助项目</w:t>
            </w:r>
          </w:p>
        </w:tc>
        <w:tc>
          <w:tcPr>
            <w:tcW w:w="1275"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期初余额</w:t>
            </w:r>
          </w:p>
        </w:tc>
        <w:tc>
          <w:tcPr>
            <w:tcW w:w="851"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本期新增补助金额</w:t>
            </w:r>
          </w:p>
        </w:tc>
        <w:tc>
          <w:tcPr>
            <w:tcW w:w="1276" w:type="dxa"/>
            <w:tcBorders>
              <w:top w:val="single" w:sz="8" w:space="0" w:color="auto"/>
              <w:left w:val="nil"/>
              <w:bottom w:val="single" w:sz="8" w:space="0" w:color="auto"/>
              <w:right w:val="single" w:sz="8" w:space="0" w:color="auto"/>
            </w:tcBorders>
            <w:tcMar>
              <w:top w:w="0" w:type="dxa"/>
              <w:left w:w="30" w:type="dxa"/>
              <w:bottom w:w="0" w:type="dxa"/>
              <w:right w:w="30" w:type="dxa"/>
            </w:tcMa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本期计入营业外收入金额</w:t>
            </w:r>
          </w:p>
        </w:tc>
        <w:tc>
          <w:tcPr>
            <w:tcW w:w="1134" w:type="dxa"/>
            <w:tcBorders>
              <w:top w:val="single" w:sz="8" w:space="0" w:color="auto"/>
              <w:left w:val="nil"/>
              <w:bottom w:val="single" w:sz="8" w:space="0" w:color="auto"/>
              <w:right w:val="single" w:sz="8" w:space="0" w:color="auto"/>
            </w:tcBorders>
            <w:tcMar>
              <w:top w:w="0" w:type="dxa"/>
              <w:left w:w="30" w:type="dxa"/>
              <w:bottom w:w="0" w:type="dxa"/>
              <w:right w:w="30" w:type="dxa"/>
            </w:tcMa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本期计入其他收益金额</w:t>
            </w:r>
          </w:p>
        </w:tc>
        <w:tc>
          <w:tcPr>
            <w:tcW w:w="1275"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其他变动</w:t>
            </w:r>
          </w:p>
        </w:tc>
        <w:tc>
          <w:tcPr>
            <w:tcW w:w="1276"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期末余额</w:t>
            </w:r>
          </w:p>
        </w:tc>
        <w:tc>
          <w:tcPr>
            <w:tcW w:w="1559"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与资产</w:t>
            </w:r>
            <w:r>
              <w:rPr>
                <w:rFonts w:ascii="Arial" w:hAnsi="Arial" w:cs="Arial"/>
                <w:sz w:val="18"/>
                <w:szCs w:val="18"/>
              </w:rPr>
              <w:t>/</w:t>
            </w:r>
            <w:r>
              <w:rPr>
                <w:rFonts w:cs="Times New Roman" w:hint="eastAsia"/>
                <w:sz w:val="18"/>
                <w:szCs w:val="18"/>
              </w:rPr>
              <w:t>收益相关</w:t>
            </w:r>
          </w:p>
        </w:tc>
      </w:tr>
      <w:tr w:rsidR="00A95787">
        <w:tc>
          <w:tcPr>
            <w:tcW w:w="102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生态环境保护专款</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4,221,000.00</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xml:space="preserve"> 469,000.00 </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3,752,000.00</w:t>
            </w:r>
          </w:p>
        </w:tc>
        <w:tc>
          <w:tcPr>
            <w:tcW w:w="1559"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与资产相关</w:t>
            </w:r>
          </w:p>
        </w:tc>
      </w:tr>
      <w:tr w:rsidR="00A95787">
        <w:trPr>
          <w:trHeight w:val="280"/>
        </w:trPr>
        <w:tc>
          <w:tcPr>
            <w:tcW w:w="102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合</w:t>
            </w:r>
            <w:r>
              <w:rPr>
                <w:rFonts w:ascii="Arial" w:hAnsi="Arial" w:cs="Arial"/>
                <w:sz w:val="18"/>
                <w:szCs w:val="18"/>
              </w:rPr>
              <w:t xml:space="preserve"> </w:t>
            </w:r>
            <w:r>
              <w:rPr>
                <w:rFonts w:cs="Times New Roman" w:hint="eastAsia"/>
                <w:sz w:val="18"/>
                <w:szCs w:val="18"/>
              </w:rPr>
              <w:t>计</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4,221,000.00</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xml:space="preserve"> 469,000.00 </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 </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tcPr>
          <w:p w:rsidR="00A95787" w:rsidRDefault="005D3CC1">
            <w:pPr>
              <w:pStyle w:val="a6"/>
              <w:spacing w:before="0" w:beforeAutospacing="0" w:after="0" w:afterAutospacing="0" w:line="400" w:lineRule="atLeast"/>
              <w:jc w:val="right"/>
              <w:textAlignment w:val="baseline"/>
              <w:rPr>
                <w:rFonts w:ascii="Times New Roman" w:hAnsi="Times New Roman" w:cs="Times New Roman"/>
                <w:sz w:val="21"/>
                <w:szCs w:val="21"/>
              </w:rPr>
            </w:pPr>
            <w:r>
              <w:rPr>
                <w:rFonts w:ascii="Arial" w:hAnsi="Arial" w:cs="Arial"/>
                <w:sz w:val="18"/>
                <w:szCs w:val="18"/>
              </w:rPr>
              <w:t>3,752,000.00</w:t>
            </w:r>
          </w:p>
        </w:tc>
        <w:tc>
          <w:tcPr>
            <w:tcW w:w="1559" w:type="dxa"/>
            <w:tcBorders>
              <w:top w:val="nil"/>
              <w:left w:val="nil"/>
              <w:bottom w:val="single" w:sz="8" w:space="0" w:color="auto"/>
              <w:right w:val="single" w:sz="8" w:space="0" w:color="auto"/>
            </w:tcBorders>
            <w:tcMar>
              <w:top w:w="0" w:type="dxa"/>
              <w:left w:w="30" w:type="dxa"/>
              <w:bottom w:w="0" w:type="dxa"/>
              <w:right w:w="30" w:type="dxa"/>
            </w:tcMar>
          </w:tcPr>
          <w:p w:rsidR="00A95787" w:rsidRDefault="005D3CC1">
            <w:pPr>
              <w:pStyle w:val="a6"/>
              <w:spacing w:before="0" w:beforeAutospacing="0" w:after="0" w:afterAutospacing="0" w:line="400" w:lineRule="atLeast"/>
              <w:jc w:val="center"/>
              <w:textAlignment w:val="baseline"/>
              <w:rPr>
                <w:rFonts w:ascii="Times New Roman" w:hAnsi="Times New Roman" w:cs="Times New Roman"/>
                <w:sz w:val="21"/>
                <w:szCs w:val="21"/>
              </w:rPr>
            </w:pPr>
            <w:r>
              <w:rPr>
                <w:rFonts w:ascii="Arial" w:hAnsi="Arial" w:cs="Arial"/>
                <w:sz w:val="18"/>
                <w:szCs w:val="18"/>
              </w:rPr>
              <w:t>——</w:t>
            </w:r>
          </w:p>
        </w:tc>
      </w:tr>
    </w:tbl>
    <w:p w:rsidR="00A95787" w:rsidRDefault="00B157BE">
      <w:pPr>
        <w:pStyle w:val="3"/>
        <w:spacing w:line="280" w:lineRule="exact"/>
        <w:jc w:val="left"/>
        <w:rPr>
          <w:rFonts w:ascii="宋体" w:hAnsi="宋体" w:cs="宋体"/>
          <w:b/>
          <w:bCs/>
        </w:rPr>
      </w:pPr>
      <w:bookmarkStart w:id="337" w:name="_Toc989218"/>
      <w:r>
        <w:rPr>
          <w:rFonts w:ascii="宋体" w:hAnsi="宋体" w:cs="宋体" w:hint="eastAsia"/>
          <w:b/>
          <w:bCs/>
        </w:rPr>
        <w:t>2</w:t>
      </w:r>
      <w:r w:rsidR="005D3CC1">
        <w:rPr>
          <w:rFonts w:ascii="宋体" w:hAnsi="宋体" w:cs="宋体"/>
          <w:b/>
          <w:bCs/>
        </w:rPr>
        <w:t>、计入当期损益的政府补助</w:t>
      </w:r>
      <w:bookmarkEnd w:id="33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33"/>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773,529.30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2,395,289.00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240" w:lineRule="exact"/>
              <w:jc w:val="center"/>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773,529.30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2,395,289.00</w:t>
            </w:r>
          </w:p>
        </w:tc>
      </w:tr>
    </w:tbl>
    <w:p w:rsidR="00A95787" w:rsidRDefault="005D3CC1">
      <w:pPr>
        <w:pStyle w:val="a6"/>
        <w:spacing w:before="0" w:beforeAutospacing="0" w:after="0" w:afterAutospacing="0" w:line="400" w:lineRule="atLeast"/>
        <w:ind w:right="359" w:firstLine="360"/>
        <w:jc w:val="both"/>
        <w:rPr>
          <w:rFonts w:ascii="Times New Roman" w:hAnsi="Times New Roman" w:cs="Times New Roman"/>
          <w:sz w:val="21"/>
          <w:szCs w:val="21"/>
        </w:rPr>
      </w:pPr>
      <w:r>
        <w:rPr>
          <w:rFonts w:cs="Times New Roman" w:hint="eastAsia"/>
          <w:sz w:val="18"/>
          <w:szCs w:val="18"/>
        </w:rPr>
        <w:t>其中，政府补助明细详见下表：</w:t>
      </w:r>
    </w:p>
    <w:tbl>
      <w:tblPr>
        <w:tblW w:w="9674" w:type="dxa"/>
        <w:jc w:val="center"/>
        <w:tblCellMar>
          <w:left w:w="0" w:type="dxa"/>
          <w:right w:w="0" w:type="dxa"/>
        </w:tblCellMar>
        <w:tblLook w:val="04A0" w:firstRow="1" w:lastRow="0" w:firstColumn="1" w:lastColumn="0" w:noHBand="0" w:noVBand="1"/>
      </w:tblPr>
      <w:tblGrid>
        <w:gridCol w:w="3962"/>
        <w:gridCol w:w="1984"/>
        <w:gridCol w:w="1701"/>
        <w:gridCol w:w="2027"/>
      </w:tblGrid>
      <w:tr w:rsidR="00A95787">
        <w:trPr>
          <w:trHeight w:val="345"/>
          <w:tblHeader/>
          <w:jc w:val="center"/>
        </w:trPr>
        <w:tc>
          <w:tcPr>
            <w:tcW w:w="3962"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补助项目</w:t>
            </w:r>
          </w:p>
        </w:tc>
        <w:tc>
          <w:tcPr>
            <w:tcW w:w="19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本期金额</w:t>
            </w:r>
          </w:p>
        </w:tc>
        <w:tc>
          <w:tcPr>
            <w:tcW w:w="170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上期金额</w:t>
            </w:r>
          </w:p>
        </w:tc>
        <w:tc>
          <w:tcPr>
            <w:tcW w:w="202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与资产相关</w:t>
            </w:r>
            <w:r>
              <w:rPr>
                <w:rFonts w:ascii="Arial" w:hAnsi="Arial" w:cs="Arial"/>
                <w:sz w:val="18"/>
                <w:szCs w:val="18"/>
              </w:rPr>
              <w:t>/</w:t>
            </w: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高新补贴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80,000.00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科技项目补贴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80,000.00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就业补贴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2,000.00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出口信用保费补贴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89,800.00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财政补贴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80,000.00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江苏精品奖</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100,000.00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稳岗补贴</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150,629.30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208,389.00</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商务发展专项资金</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61,100.00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205,900.00</w:t>
            </w:r>
          </w:p>
        </w:tc>
        <w:tc>
          <w:tcPr>
            <w:tcW w:w="2027"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税收返还</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63,000.00</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产业强区奖励款</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1,000,000.00</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节能专项资金</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422,000.00</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稳外贸资金款</w:t>
            </w:r>
          </w:p>
        </w:tc>
        <w:tc>
          <w:tcPr>
            <w:tcW w:w="1984"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xml:space="preserve"> 300,000.00 </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绿色港口扶持资金</w:t>
            </w:r>
          </w:p>
        </w:tc>
        <w:tc>
          <w:tcPr>
            <w:tcW w:w="1984"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xml:space="preserve"> 100,000.00 </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准独角兽、瞪羚、雏鹰科技创新奖励资金</w:t>
            </w:r>
          </w:p>
        </w:tc>
        <w:tc>
          <w:tcPr>
            <w:tcW w:w="198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xml:space="preserve"> 60,000.00 </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应急演练费用补贴款</w:t>
            </w:r>
          </w:p>
        </w:tc>
        <w:tc>
          <w:tcPr>
            <w:tcW w:w="1984"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130,000.00</w:t>
            </w:r>
          </w:p>
        </w:tc>
        <w:tc>
          <w:tcPr>
            <w:tcW w:w="1701"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xml:space="preserve"> 30,000.00 </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扩岗补贴</w:t>
            </w:r>
          </w:p>
        </w:tc>
        <w:tc>
          <w:tcPr>
            <w:tcW w:w="1984"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701"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6,000.00</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与收益相关</w:t>
            </w:r>
          </w:p>
        </w:tc>
      </w:tr>
      <w:tr w:rsidR="00A95787">
        <w:trPr>
          <w:trHeight w:val="345"/>
          <w:jc w:val="center"/>
        </w:trPr>
        <w:tc>
          <w:tcPr>
            <w:tcW w:w="3962" w:type="dxa"/>
            <w:tcBorders>
              <w:top w:val="nil"/>
              <w:left w:val="single" w:sz="8" w:space="0" w:color="auto"/>
              <w:bottom w:val="single" w:sz="8" w:space="0" w:color="auto"/>
              <w:right w:val="single" w:sz="8" w:space="0" w:color="auto"/>
            </w:tcBorders>
            <w:noWrap/>
            <w:tcMar>
              <w:top w:w="0" w:type="dxa"/>
              <w:left w:w="28" w:type="dxa"/>
              <w:bottom w:w="0" w:type="dxa"/>
              <w:right w:w="2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合  计</w:t>
            </w:r>
          </w:p>
        </w:tc>
        <w:tc>
          <w:tcPr>
            <w:tcW w:w="1984"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773,529.30</w:t>
            </w:r>
          </w:p>
        </w:tc>
        <w:tc>
          <w:tcPr>
            <w:tcW w:w="1701" w:type="dxa"/>
            <w:tcBorders>
              <w:top w:val="nil"/>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2,395,289.00</w:t>
            </w:r>
          </w:p>
        </w:tc>
        <w:tc>
          <w:tcPr>
            <w:tcW w:w="202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ascii="Arial" w:hAnsi="Arial" w:cs="Arial"/>
                <w:sz w:val="18"/>
                <w:szCs w:val="18"/>
              </w:rPr>
              <w:t> </w:t>
            </w:r>
          </w:p>
        </w:tc>
      </w:tr>
    </w:tbl>
    <w:p w:rsidR="00A95787" w:rsidRDefault="005D3CC1">
      <w:pPr>
        <w:pStyle w:val="2"/>
        <w:spacing w:before="300" w:after="300" w:line="320" w:lineRule="exact"/>
        <w:rPr>
          <w:rFonts w:ascii="宋体" w:eastAsia="宋体" w:hAnsi="宋体" w:cs="宋体"/>
          <w:b/>
          <w:bCs/>
          <w:sz w:val="24"/>
          <w:szCs w:val="24"/>
        </w:rPr>
      </w:pPr>
      <w:bookmarkStart w:id="338" w:name="_Toc989219"/>
      <w:r>
        <w:rPr>
          <w:rFonts w:ascii="宋体" w:eastAsia="宋体" w:hAnsi="宋体" w:cs="宋体"/>
          <w:b/>
          <w:bCs/>
          <w:sz w:val="24"/>
          <w:szCs w:val="24"/>
        </w:rPr>
        <w:lastRenderedPageBreak/>
        <w:t>十一、与金融工具相关的风险</w:t>
      </w:r>
      <w:bookmarkEnd w:id="338"/>
    </w:p>
    <w:p w:rsidR="00A95787" w:rsidRDefault="005D3CC1">
      <w:pPr>
        <w:pStyle w:val="3"/>
        <w:spacing w:line="280" w:lineRule="exact"/>
        <w:jc w:val="left"/>
        <w:rPr>
          <w:rFonts w:ascii="宋体" w:hAnsi="宋体" w:cs="宋体"/>
          <w:b/>
          <w:bCs/>
        </w:rPr>
      </w:pPr>
      <w:bookmarkStart w:id="339" w:name="_Toc989220"/>
      <w:r>
        <w:rPr>
          <w:rFonts w:ascii="宋体" w:hAnsi="宋体" w:cs="宋体"/>
          <w:b/>
          <w:bCs/>
        </w:rPr>
        <w:t>1、金融工具产生的各类风险</w:t>
      </w:r>
      <w:bookmarkEnd w:id="339"/>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本公司的主要金融工具包括股权投资、债权投资、借款、应收账款、应付账款等，各项金融工具的详细情况说明见本</w:t>
      </w:r>
      <w:r>
        <w:rPr>
          <w:rFonts w:cs="Times New Roman" w:hint="eastAsia"/>
          <w:sz w:val="18"/>
          <w:szCs w:val="18"/>
          <w:shd w:val="clear" w:color="auto" w:fill="FFFFFF"/>
        </w:rPr>
        <w:t>附注五相关项目。与</w:t>
      </w:r>
      <w:r>
        <w:rPr>
          <w:rFonts w:cs="Times New Roman" w:hint="eastAsia"/>
          <w:sz w:val="18"/>
          <w:szCs w:val="18"/>
        </w:rPr>
        <w:t>这些金融工具有关的风险，以及本公司为降低这些风险所采取的风险管理政策如下所述。本公司管理层对这些风险敞口进行管理和监控以确保将上述风险控制在限定的范围之内。</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A95787" w:rsidRDefault="005D3CC1">
      <w:pPr>
        <w:pStyle w:val="a6"/>
        <w:spacing w:before="0" w:beforeAutospacing="0" w:after="0" w:afterAutospacing="0" w:line="400" w:lineRule="atLeast"/>
        <w:ind w:firstLine="361"/>
        <w:jc w:val="both"/>
        <w:rPr>
          <w:rFonts w:ascii="Times New Roman" w:hAnsi="Times New Roman" w:cs="Times New Roman"/>
          <w:sz w:val="21"/>
          <w:szCs w:val="21"/>
        </w:rPr>
      </w:pPr>
      <w:r>
        <w:rPr>
          <w:rStyle w:val="a7"/>
          <w:rFonts w:cs="Times New Roman" w:hint="eastAsia"/>
          <w:sz w:val="18"/>
          <w:szCs w:val="18"/>
        </w:rPr>
        <w:t>（一）风险管理目标和政策</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A95787" w:rsidRDefault="005D3CC1">
      <w:pPr>
        <w:pStyle w:val="a6"/>
        <w:spacing w:before="0" w:beforeAutospacing="0" w:after="0" w:afterAutospacing="0" w:line="400" w:lineRule="atLeast"/>
        <w:ind w:firstLine="361"/>
        <w:jc w:val="both"/>
        <w:rPr>
          <w:rFonts w:ascii="Times New Roman" w:hAnsi="Times New Roman" w:cs="Times New Roman"/>
          <w:sz w:val="21"/>
          <w:szCs w:val="21"/>
        </w:rPr>
      </w:pPr>
      <w:r>
        <w:rPr>
          <w:rStyle w:val="a7"/>
          <w:rFonts w:ascii="Arial" w:hAnsi="Arial" w:cs="Arial"/>
          <w:sz w:val="18"/>
          <w:szCs w:val="18"/>
        </w:rPr>
        <w:t>1</w:t>
      </w:r>
      <w:r>
        <w:rPr>
          <w:rStyle w:val="a7"/>
          <w:rFonts w:cs="Times New Roman" w:hint="eastAsia"/>
          <w:sz w:val="18"/>
          <w:szCs w:val="18"/>
        </w:rPr>
        <w:t>、市场风险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）外汇风险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外汇风险指因汇率变动产生损失的风险。本公司承受外汇风险主要与美元及欧元有关。于</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日，除下表所述资产或负债为美元及欧元余额外，本公司的资产及负债均为人民币余额。该等外币余额的资产和负债产生的外汇风险可能对本公司的经营业绩产生影响。</w:t>
      </w:r>
    </w:p>
    <w:tbl>
      <w:tblPr>
        <w:tblW w:w="4890" w:type="pct"/>
        <w:tblInd w:w="109" w:type="dxa"/>
        <w:tblCellMar>
          <w:left w:w="0" w:type="dxa"/>
          <w:right w:w="0" w:type="dxa"/>
        </w:tblCellMar>
        <w:tblLook w:val="04A0" w:firstRow="1" w:lastRow="0" w:firstColumn="1" w:lastColumn="0" w:noHBand="0" w:noVBand="1"/>
      </w:tblPr>
      <w:tblGrid>
        <w:gridCol w:w="3073"/>
        <w:gridCol w:w="3029"/>
        <w:gridCol w:w="3534"/>
      </w:tblGrid>
      <w:tr w:rsidR="00A95787">
        <w:trPr>
          <w:trHeight w:val="206"/>
          <w:tblHeader/>
        </w:trPr>
        <w:tc>
          <w:tcPr>
            <w:tcW w:w="15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5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w:t>
            </w:r>
          </w:p>
        </w:tc>
        <w:tc>
          <w:tcPr>
            <w:tcW w:w="18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jc w:val="center"/>
              <w:rPr>
                <w:rFonts w:ascii="Times New Roman" w:hAnsi="Times New Roman" w:cs="Times New Roman"/>
                <w:sz w:val="21"/>
                <w:szCs w:val="21"/>
              </w:rPr>
            </w:pP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货币资金</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53,194,290.61</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105,227,701.48</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其中：美元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52,946,182.35</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105,100,477.61</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ascii="Arial" w:hAnsi="Arial" w:cs="Arial"/>
                <w:sz w:val="18"/>
                <w:szCs w:val="18"/>
              </w:rPr>
              <w:t xml:space="preserve">      </w:t>
            </w:r>
            <w:r w:rsidR="00D85548">
              <w:rPr>
                <w:rFonts w:ascii="Arial" w:hAnsi="Arial" w:cs="Arial" w:hint="eastAsia"/>
                <w:sz w:val="18"/>
                <w:szCs w:val="18"/>
              </w:rPr>
              <w:t xml:space="preserve">     </w:t>
            </w:r>
            <w:r>
              <w:rPr>
                <w:rFonts w:cs="Times New Roman" w:hint="eastAsia"/>
                <w:sz w:val="18"/>
                <w:szCs w:val="18"/>
              </w:rPr>
              <w:t>欧元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248,108.26</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127,223.87</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应收账款</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102,861,653.52</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85,414,025.36</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其中：美元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102,861,653.52</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81,674,696.59</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ascii="Arial" w:hAnsi="Arial" w:cs="Arial"/>
                <w:sz w:val="18"/>
                <w:szCs w:val="18"/>
              </w:rPr>
              <w:t>    </w:t>
            </w:r>
            <w:r w:rsidR="00D85548">
              <w:rPr>
                <w:rFonts w:ascii="Arial" w:hAnsi="Arial" w:cs="Arial" w:hint="eastAsia"/>
                <w:sz w:val="18"/>
                <w:szCs w:val="18"/>
              </w:rPr>
              <w:t xml:space="preserve">     </w:t>
            </w:r>
            <w:r>
              <w:rPr>
                <w:rFonts w:ascii="Arial" w:hAnsi="Arial" w:cs="Arial"/>
                <w:sz w:val="18"/>
                <w:szCs w:val="18"/>
              </w:rPr>
              <w:t xml:space="preserve">  </w:t>
            </w:r>
            <w:r>
              <w:rPr>
                <w:rFonts w:cs="Times New Roman" w:hint="eastAsia"/>
                <w:sz w:val="18"/>
                <w:szCs w:val="18"/>
              </w:rPr>
              <w:t>欧元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 </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3,739,328.77</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应付账款</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87,963,871.17</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29,001,435.70</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cs="Times New Roman" w:hint="eastAsia"/>
                <w:sz w:val="18"/>
                <w:szCs w:val="18"/>
              </w:rPr>
              <w:t>其中：美元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87,812,606.11</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28,962,347.97</w:t>
            </w:r>
          </w:p>
        </w:tc>
      </w:tr>
      <w:tr w:rsidR="00A95787">
        <w:tc>
          <w:tcPr>
            <w:tcW w:w="15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300" w:lineRule="atLeast"/>
              <w:rPr>
                <w:rFonts w:ascii="Times New Roman" w:hAnsi="Times New Roman" w:cs="Times New Roman"/>
                <w:sz w:val="21"/>
                <w:szCs w:val="21"/>
              </w:rPr>
            </w:pPr>
            <w:r>
              <w:rPr>
                <w:rFonts w:ascii="Arial" w:hAnsi="Arial" w:cs="Arial"/>
                <w:sz w:val="18"/>
                <w:szCs w:val="18"/>
              </w:rPr>
              <w:t>   </w:t>
            </w:r>
            <w:r w:rsidR="00D85548">
              <w:rPr>
                <w:rFonts w:ascii="Arial" w:hAnsi="Arial" w:cs="Arial" w:hint="eastAsia"/>
                <w:sz w:val="18"/>
                <w:szCs w:val="18"/>
              </w:rPr>
              <w:t xml:space="preserve">     </w:t>
            </w:r>
            <w:r>
              <w:rPr>
                <w:rFonts w:ascii="Arial" w:hAnsi="Arial" w:cs="Arial"/>
                <w:sz w:val="18"/>
                <w:szCs w:val="18"/>
              </w:rPr>
              <w:t xml:space="preserve">   </w:t>
            </w:r>
            <w:r>
              <w:rPr>
                <w:rFonts w:cs="Times New Roman" w:hint="eastAsia"/>
                <w:sz w:val="18"/>
                <w:szCs w:val="18"/>
              </w:rPr>
              <w:t>欧元</w:t>
            </w:r>
          </w:p>
        </w:tc>
        <w:tc>
          <w:tcPr>
            <w:tcW w:w="157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151,265.06</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300" w:lineRule="atLeast"/>
              <w:jc w:val="right"/>
              <w:rPr>
                <w:rFonts w:ascii="Times New Roman" w:hAnsi="Times New Roman" w:cs="Times New Roman"/>
                <w:sz w:val="21"/>
                <w:szCs w:val="21"/>
              </w:rPr>
            </w:pPr>
            <w:r>
              <w:rPr>
                <w:rFonts w:ascii="Arial" w:hAnsi="Arial" w:cs="Arial"/>
                <w:sz w:val="18"/>
                <w:szCs w:val="18"/>
              </w:rPr>
              <w:t>39,087.73</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外汇风险敏感性分析：</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外汇风险敏感性分析假设：所有境外经营净投资套期及现金流量套期均高度有效。在上述假设的基础上，在其他变量不变的情况下，汇率可能发生的合理变动对当期损益和股东权益的影响如下：</w:t>
      </w:r>
    </w:p>
    <w:tbl>
      <w:tblPr>
        <w:tblW w:w="4884" w:type="pct"/>
        <w:tblInd w:w="109" w:type="dxa"/>
        <w:tblCellMar>
          <w:left w:w="0" w:type="dxa"/>
          <w:right w:w="0" w:type="dxa"/>
        </w:tblCellMar>
        <w:tblLook w:val="04A0" w:firstRow="1" w:lastRow="0" w:firstColumn="1" w:lastColumn="0" w:noHBand="0" w:noVBand="1"/>
      </w:tblPr>
      <w:tblGrid>
        <w:gridCol w:w="1907"/>
        <w:gridCol w:w="1708"/>
        <w:gridCol w:w="2175"/>
        <w:gridCol w:w="1792"/>
        <w:gridCol w:w="2042"/>
      </w:tblGrid>
      <w:tr w:rsidR="00A95787">
        <w:trPr>
          <w:tblHeader/>
        </w:trPr>
        <w:tc>
          <w:tcPr>
            <w:tcW w:w="9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汇率变动</w:t>
            </w:r>
          </w:p>
        </w:tc>
        <w:tc>
          <w:tcPr>
            <w:tcW w:w="20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w:t>
            </w:r>
          </w:p>
        </w:tc>
        <w:tc>
          <w:tcPr>
            <w:tcW w:w="19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w:t>
            </w:r>
          </w:p>
        </w:tc>
      </w:tr>
      <w:tr w:rsidR="00A95787">
        <w:trPr>
          <w:tblHeader/>
        </w:trPr>
        <w:tc>
          <w:tcPr>
            <w:tcW w:w="990" w:type="pct"/>
            <w:vMerge/>
            <w:tcBorders>
              <w:top w:val="single" w:sz="8" w:space="0" w:color="auto"/>
              <w:left w:val="single" w:sz="8" w:space="0" w:color="auto"/>
              <w:bottom w:val="single" w:sz="8" w:space="0" w:color="auto"/>
              <w:right w:val="single" w:sz="8" w:space="0" w:color="auto"/>
            </w:tcBorders>
            <w:vAlign w:val="center"/>
          </w:tcPr>
          <w:p w:rsidR="00A95787" w:rsidRDefault="00A95787">
            <w:pPr>
              <w:rPr>
                <w:rFonts w:ascii="Times New Roman" w:eastAsia="宋体" w:hAnsi="Times New Roman" w:cs="Times New Roman"/>
                <w:szCs w:val="21"/>
              </w:rPr>
            </w:pPr>
          </w:p>
        </w:tc>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c>
          <w:tcPr>
            <w:tcW w:w="93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060"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r>
      <w:tr w:rsidR="00A95787">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对人民币升值</w:t>
            </w:r>
            <w:r>
              <w:rPr>
                <w:rFonts w:ascii="Arial" w:hAnsi="Arial" w:cs="Arial"/>
                <w:sz w:val="18"/>
                <w:szCs w:val="18"/>
              </w:rPr>
              <w:t>1%</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510,690.55</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510,690.55</w:t>
            </w:r>
          </w:p>
        </w:tc>
        <w:tc>
          <w:tcPr>
            <w:tcW w:w="93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1,212,302.18</w:t>
            </w:r>
          </w:p>
        </w:tc>
        <w:tc>
          <w:tcPr>
            <w:tcW w:w="1060"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1,212,302.18</w:t>
            </w:r>
          </w:p>
        </w:tc>
      </w:tr>
      <w:tr w:rsidR="00A95787">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对人民币贬值</w:t>
            </w:r>
            <w:r>
              <w:rPr>
                <w:rFonts w:ascii="Arial" w:hAnsi="Arial" w:cs="Arial"/>
                <w:sz w:val="18"/>
                <w:szCs w:val="18"/>
              </w:rPr>
              <w:t>1%</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-510,690.55</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-510,690.55</w:t>
            </w:r>
          </w:p>
        </w:tc>
        <w:tc>
          <w:tcPr>
            <w:tcW w:w="931"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-1,212,302.18</w:t>
            </w:r>
          </w:p>
        </w:tc>
        <w:tc>
          <w:tcPr>
            <w:tcW w:w="1060"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-1,212,302.18</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2</w:t>
      </w:r>
      <w:r>
        <w:rPr>
          <w:rFonts w:cs="Times New Roman" w:hint="eastAsia"/>
          <w:sz w:val="18"/>
          <w:szCs w:val="18"/>
        </w:rPr>
        <w:t>）利率风险－现金流量变动风险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密切关注利率变动对本公司利率风险的影响。本公司目前并未采取利率对冲政策。但管理层负责监控利率风险，并将于需要时考虑对冲重大利率风险。由于定期存款为短期存款，故银行存款的公允价值利率风险并不重大。</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）其他价格风险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持有的分类为以公允价值计量且其变动计入当期损益、以公允价值计量且其变动计入其他综合收益的金融资产的投资在资产负债表日以公允价值计量。因此，本公司承担着证券市场变动的风险。本公司采取持有多种权益证券组合的方式降低权益证券投资的价格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其他价格风险敏感性分析：</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于</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日，如上述公允价值的交易性金融资产中理财产品、货币基金利率上升</w:t>
      </w:r>
      <w:r>
        <w:rPr>
          <w:rFonts w:ascii="Arial" w:hAnsi="Arial" w:cs="Arial"/>
          <w:sz w:val="18"/>
          <w:szCs w:val="18"/>
        </w:rPr>
        <w:t>/</w:t>
      </w:r>
      <w:r>
        <w:rPr>
          <w:rFonts w:cs="Times New Roman" w:hint="eastAsia"/>
          <w:sz w:val="18"/>
          <w:szCs w:val="18"/>
        </w:rPr>
        <w:t>下降</w:t>
      </w:r>
      <w:r>
        <w:rPr>
          <w:rFonts w:ascii="Arial" w:hAnsi="Arial" w:cs="Arial"/>
          <w:sz w:val="18"/>
          <w:szCs w:val="18"/>
        </w:rPr>
        <w:t>50</w:t>
      </w:r>
      <w:r>
        <w:rPr>
          <w:rFonts w:cs="Times New Roman" w:hint="eastAsia"/>
          <w:sz w:val="18"/>
          <w:szCs w:val="18"/>
        </w:rPr>
        <w:t>个基点；以公允价值计价的交易性金融资产中权益工具投资、以公允价值计价的债权投资、以公允价值计价的其他非流动金融资产的价格升高</w:t>
      </w:r>
      <w:r>
        <w:rPr>
          <w:rFonts w:ascii="Arial" w:hAnsi="Arial" w:cs="Arial"/>
          <w:sz w:val="18"/>
          <w:szCs w:val="18"/>
        </w:rPr>
        <w:t>/</w:t>
      </w:r>
      <w:r>
        <w:rPr>
          <w:rFonts w:cs="Times New Roman" w:hint="eastAsia"/>
          <w:sz w:val="18"/>
          <w:szCs w:val="18"/>
        </w:rPr>
        <w:t>降低</w:t>
      </w:r>
      <w:r>
        <w:rPr>
          <w:rFonts w:ascii="Arial" w:hAnsi="Arial" w:cs="Arial"/>
          <w:sz w:val="18"/>
          <w:szCs w:val="18"/>
        </w:rPr>
        <w:t>10%</w:t>
      </w:r>
      <w:r>
        <w:rPr>
          <w:rFonts w:cs="Times New Roman" w:hint="eastAsia"/>
          <w:sz w:val="18"/>
          <w:szCs w:val="18"/>
        </w:rPr>
        <w:t>，则公司的归属于母公司股东权益的增减变动情况如下：</w:t>
      </w:r>
    </w:p>
    <w:tbl>
      <w:tblPr>
        <w:tblW w:w="9625" w:type="dxa"/>
        <w:tblInd w:w="109" w:type="dxa"/>
        <w:tblCellMar>
          <w:left w:w="0" w:type="dxa"/>
          <w:right w:w="0" w:type="dxa"/>
        </w:tblCellMar>
        <w:tblLook w:val="04A0" w:firstRow="1" w:lastRow="0" w:firstColumn="1" w:lastColumn="0" w:noHBand="0" w:noVBand="1"/>
      </w:tblPr>
      <w:tblGrid>
        <w:gridCol w:w="4858"/>
        <w:gridCol w:w="2371"/>
        <w:gridCol w:w="2396"/>
      </w:tblGrid>
      <w:tr w:rsidR="00A95787">
        <w:trPr>
          <w:trHeight w:val="330"/>
          <w:tblHeader/>
        </w:trPr>
        <w:tc>
          <w:tcPr>
            <w:tcW w:w="485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center"/>
              <w:rPr>
                <w:rFonts w:ascii="Times New Roman" w:hAnsi="Times New Roman" w:cs="Times New Roman"/>
                <w:sz w:val="21"/>
                <w:szCs w:val="21"/>
              </w:rPr>
            </w:pPr>
            <w:r>
              <w:rPr>
                <w:rFonts w:cs="Times New Roman" w:hint="eastAsia"/>
                <w:sz w:val="18"/>
                <w:szCs w:val="18"/>
              </w:rPr>
              <w:t>金融资产</w:t>
            </w:r>
          </w:p>
        </w:tc>
        <w:tc>
          <w:tcPr>
            <w:tcW w:w="23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center"/>
              <w:rPr>
                <w:rFonts w:ascii="Times New Roman" w:hAnsi="Times New Roman" w:cs="Times New Roman"/>
                <w:sz w:val="21"/>
                <w:szCs w:val="21"/>
              </w:rPr>
            </w:pPr>
            <w:r>
              <w:rPr>
                <w:rFonts w:cs="Times New Roman" w:hint="eastAsia"/>
                <w:sz w:val="18"/>
                <w:szCs w:val="18"/>
              </w:rPr>
              <w:t>价格升高</w:t>
            </w:r>
          </w:p>
        </w:tc>
        <w:tc>
          <w:tcPr>
            <w:tcW w:w="23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center"/>
              <w:rPr>
                <w:rFonts w:ascii="Times New Roman" w:hAnsi="Times New Roman" w:cs="Times New Roman"/>
                <w:sz w:val="21"/>
                <w:szCs w:val="21"/>
              </w:rPr>
            </w:pPr>
            <w:r>
              <w:rPr>
                <w:rFonts w:cs="Times New Roman" w:hint="eastAsia"/>
                <w:sz w:val="18"/>
                <w:szCs w:val="18"/>
              </w:rPr>
              <w:t>价格降低</w:t>
            </w:r>
          </w:p>
        </w:tc>
      </w:tr>
      <w:tr w:rsidR="00A95787">
        <w:trPr>
          <w:trHeight w:val="330"/>
          <w:tblHeader/>
        </w:trPr>
        <w:tc>
          <w:tcPr>
            <w:tcW w:w="4858" w:type="dxa"/>
            <w:vMerge/>
            <w:tcBorders>
              <w:top w:val="single" w:sz="8" w:space="0" w:color="auto"/>
              <w:left w:val="single" w:sz="8" w:space="0" w:color="auto"/>
              <w:bottom w:val="single" w:sz="8" w:space="0" w:color="auto"/>
              <w:right w:val="single" w:sz="8" w:space="0" w:color="auto"/>
            </w:tcBorders>
            <w:vAlign w:val="center"/>
          </w:tcPr>
          <w:p w:rsidR="00A95787" w:rsidRDefault="00A95787">
            <w:pPr>
              <w:spacing w:line="300" w:lineRule="exact"/>
              <w:rPr>
                <w:rFonts w:ascii="Times New Roman" w:eastAsia="宋体" w:hAnsi="Times New Roman" w:cs="Times New Roman"/>
                <w:szCs w:val="21"/>
              </w:rPr>
            </w:pPr>
          </w:p>
        </w:tc>
        <w:tc>
          <w:tcPr>
            <w:tcW w:w="23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center"/>
              <w:rPr>
                <w:rFonts w:ascii="Times New Roman" w:hAnsi="Times New Roman" w:cs="Times New Roman"/>
                <w:sz w:val="21"/>
                <w:szCs w:val="21"/>
              </w:rPr>
            </w:pPr>
            <w:r>
              <w:rPr>
                <w:rFonts w:cs="Times New Roman" w:hint="eastAsia"/>
                <w:sz w:val="18"/>
                <w:szCs w:val="18"/>
              </w:rPr>
              <w:t>归母股东权益增加</w:t>
            </w:r>
          </w:p>
        </w:tc>
        <w:tc>
          <w:tcPr>
            <w:tcW w:w="23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center"/>
              <w:rPr>
                <w:rFonts w:ascii="Times New Roman" w:hAnsi="Times New Roman" w:cs="Times New Roman"/>
                <w:sz w:val="21"/>
                <w:szCs w:val="21"/>
              </w:rPr>
            </w:pPr>
            <w:r>
              <w:rPr>
                <w:rFonts w:cs="Times New Roman" w:hint="eastAsia"/>
                <w:sz w:val="18"/>
                <w:szCs w:val="18"/>
              </w:rPr>
              <w:t>归母股东权益减少</w:t>
            </w:r>
          </w:p>
        </w:tc>
      </w:tr>
      <w:tr w:rsidR="00A95787">
        <w:trPr>
          <w:trHeight w:val="330"/>
        </w:trPr>
        <w:tc>
          <w:tcPr>
            <w:tcW w:w="4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rPr>
                <w:rFonts w:ascii="Times New Roman" w:hAnsi="Times New Roman" w:cs="Times New Roman"/>
                <w:sz w:val="21"/>
                <w:szCs w:val="21"/>
              </w:rPr>
            </w:pPr>
            <w:r>
              <w:rPr>
                <w:rFonts w:cs="Times New Roman" w:hint="eastAsia"/>
                <w:sz w:val="18"/>
                <w:szCs w:val="18"/>
              </w:rPr>
              <w:t>以公允价值计量且其变动计入当期损益的金融资产</w:t>
            </w:r>
          </w:p>
        </w:tc>
        <w:tc>
          <w:tcPr>
            <w:tcW w:w="237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right"/>
              <w:rPr>
                <w:rFonts w:ascii="Times New Roman" w:hAnsi="Times New Roman" w:cs="Times New Roman"/>
                <w:sz w:val="21"/>
                <w:szCs w:val="21"/>
              </w:rPr>
            </w:pPr>
            <w:r>
              <w:rPr>
                <w:rFonts w:ascii="Arial" w:hAnsi="Arial" w:cs="Arial"/>
                <w:sz w:val="18"/>
                <w:szCs w:val="18"/>
              </w:rPr>
              <w:t>16,888,366.13</w:t>
            </w:r>
          </w:p>
        </w:tc>
        <w:tc>
          <w:tcPr>
            <w:tcW w:w="23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right"/>
              <w:rPr>
                <w:rFonts w:ascii="Times New Roman" w:hAnsi="Times New Roman" w:cs="Times New Roman"/>
                <w:sz w:val="21"/>
                <w:szCs w:val="21"/>
              </w:rPr>
            </w:pPr>
            <w:r>
              <w:rPr>
                <w:rFonts w:ascii="Arial" w:hAnsi="Arial" w:cs="Arial"/>
                <w:sz w:val="18"/>
                <w:szCs w:val="18"/>
              </w:rPr>
              <w:t>-16,888,366.13</w:t>
            </w:r>
          </w:p>
        </w:tc>
      </w:tr>
      <w:tr w:rsidR="00A95787">
        <w:trPr>
          <w:trHeight w:val="330"/>
        </w:trPr>
        <w:tc>
          <w:tcPr>
            <w:tcW w:w="4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rPr>
                <w:rFonts w:ascii="Times New Roman" w:hAnsi="Times New Roman" w:cs="Times New Roman"/>
                <w:sz w:val="21"/>
                <w:szCs w:val="21"/>
              </w:rPr>
            </w:pPr>
            <w:r>
              <w:rPr>
                <w:rFonts w:cs="Times New Roman" w:hint="eastAsia"/>
                <w:sz w:val="18"/>
                <w:szCs w:val="18"/>
              </w:rPr>
              <w:t>以公允价值计量的其他非流动金融资产</w:t>
            </w:r>
          </w:p>
        </w:tc>
        <w:tc>
          <w:tcPr>
            <w:tcW w:w="237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right"/>
              <w:rPr>
                <w:rFonts w:ascii="Times New Roman" w:hAnsi="Times New Roman" w:cs="Times New Roman"/>
                <w:sz w:val="21"/>
                <w:szCs w:val="21"/>
              </w:rPr>
            </w:pPr>
            <w:r>
              <w:rPr>
                <w:rFonts w:ascii="Arial" w:hAnsi="Arial" w:cs="Arial"/>
                <w:sz w:val="18"/>
                <w:szCs w:val="18"/>
              </w:rPr>
              <w:t>63,146,277.68</w:t>
            </w:r>
          </w:p>
        </w:tc>
        <w:tc>
          <w:tcPr>
            <w:tcW w:w="23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95787" w:rsidRDefault="005D3CC1">
            <w:pPr>
              <w:pStyle w:val="a6"/>
              <w:spacing w:before="0" w:beforeAutospacing="0" w:after="0" w:afterAutospacing="0" w:line="300" w:lineRule="exact"/>
              <w:jc w:val="right"/>
              <w:rPr>
                <w:rFonts w:ascii="Times New Roman" w:hAnsi="Times New Roman" w:cs="Times New Roman"/>
                <w:sz w:val="21"/>
                <w:szCs w:val="21"/>
              </w:rPr>
            </w:pPr>
            <w:r>
              <w:rPr>
                <w:rFonts w:ascii="Arial" w:hAnsi="Arial" w:cs="Arial"/>
                <w:sz w:val="18"/>
                <w:szCs w:val="18"/>
              </w:rPr>
              <w:t>-63,146,277.68</w:t>
            </w:r>
          </w:p>
        </w:tc>
      </w:tr>
    </w:tbl>
    <w:p w:rsidR="00A95787" w:rsidRDefault="005D3CC1">
      <w:pPr>
        <w:pStyle w:val="a6"/>
        <w:spacing w:before="0" w:beforeAutospacing="0" w:after="0" w:afterAutospacing="0" w:line="400" w:lineRule="atLeast"/>
        <w:ind w:firstLine="361"/>
        <w:jc w:val="both"/>
        <w:rPr>
          <w:rFonts w:ascii="Times New Roman" w:hAnsi="Times New Roman" w:cs="Times New Roman"/>
          <w:sz w:val="21"/>
          <w:szCs w:val="21"/>
        </w:rPr>
      </w:pPr>
      <w:r>
        <w:rPr>
          <w:rStyle w:val="a7"/>
          <w:rFonts w:ascii="Arial" w:hAnsi="Arial" w:cs="Arial"/>
          <w:sz w:val="18"/>
          <w:szCs w:val="18"/>
        </w:rPr>
        <w:t>2</w:t>
      </w:r>
      <w:r>
        <w:rPr>
          <w:rStyle w:val="a7"/>
          <w:rFonts w:cs="Times New Roman" w:hint="eastAsia"/>
          <w:sz w:val="18"/>
          <w:szCs w:val="18"/>
        </w:rPr>
        <w:t>、信用风险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本公司的流动资金存放在信用评级较高的银行，故流动资金的信用风险较低。</w:t>
      </w:r>
    </w:p>
    <w:p w:rsidR="00A95787" w:rsidRDefault="005D3CC1">
      <w:pPr>
        <w:pStyle w:val="a6"/>
        <w:spacing w:before="0" w:beforeAutospacing="0" w:after="0" w:afterAutospacing="0" w:line="400" w:lineRule="atLeast"/>
        <w:ind w:firstLine="361"/>
        <w:jc w:val="both"/>
        <w:rPr>
          <w:rFonts w:ascii="Times New Roman" w:hAnsi="Times New Roman" w:cs="Times New Roman"/>
          <w:sz w:val="21"/>
          <w:szCs w:val="21"/>
        </w:rPr>
      </w:pPr>
      <w:r>
        <w:rPr>
          <w:rStyle w:val="a7"/>
          <w:rFonts w:ascii="Arial" w:hAnsi="Arial" w:cs="Arial"/>
          <w:sz w:val="18"/>
          <w:szCs w:val="18"/>
        </w:rPr>
        <w:t>3</w:t>
      </w:r>
      <w:r>
        <w:rPr>
          <w:rStyle w:val="a7"/>
          <w:rFonts w:cs="Times New Roman" w:hint="eastAsia"/>
          <w:sz w:val="18"/>
          <w:szCs w:val="18"/>
        </w:rPr>
        <w:t>、流动风险</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于</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日，本公司持有的金融负债按未折现剩余合同义务的到期期限分析如下：</w:t>
      </w:r>
    </w:p>
    <w:tbl>
      <w:tblPr>
        <w:tblW w:w="4896" w:type="pct"/>
        <w:tblInd w:w="97" w:type="dxa"/>
        <w:tblCellMar>
          <w:left w:w="0" w:type="dxa"/>
          <w:right w:w="0" w:type="dxa"/>
        </w:tblCellMar>
        <w:tblLook w:val="04A0" w:firstRow="1" w:lastRow="0" w:firstColumn="1" w:lastColumn="0" w:noHBand="0" w:noVBand="1"/>
      </w:tblPr>
      <w:tblGrid>
        <w:gridCol w:w="3291"/>
        <w:gridCol w:w="2247"/>
        <w:gridCol w:w="2209"/>
        <w:gridCol w:w="1901"/>
      </w:tblGrid>
      <w:tr w:rsidR="00A95787">
        <w:trPr>
          <w:tblHeader/>
        </w:trPr>
        <w:tc>
          <w:tcPr>
            <w:tcW w:w="1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11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1</w:t>
            </w:r>
            <w:r>
              <w:rPr>
                <w:rFonts w:cs="Times New Roman" w:hint="eastAsia"/>
                <w:sz w:val="18"/>
                <w:szCs w:val="18"/>
              </w:rPr>
              <w:t>年以内</w:t>
            </w:r>
          </w:p>
        </w:tc>
        <w:tc>
          <w:tcPr>
            <w:tcW w:w="11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1-5</w:t>
            </w:r>
            <w:r>
              <w:rPr>
                <w:rFonts w:cs="Times New Roman" w:hint="eastAsia"/>
                <w:sz w:val="18"/>
                <w:szCs w:val="18"/>
              </w:rPr>
              <w:t>年</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5</w:t>
            </w:r>
            <w:r>
              <w:rPr>
                <w:rFonts w:cs="Times New Roman" w:hint="eastAsia"/>
                <w:sz w:val="18"/>
                <w:szCs w:val="18"/>
              </w:rPr>
              <w:t>年以上</w:t>
            </w:r>
          </w:p>
        </w:tc>
      </w:tr>
      <w:tr w:rsidR="00A95787">
        <w:tc>
          <w:tcPr>
            <w:tcW w:w="1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短期借款</w:t>
            </w:r>
          </w:p>
        </w:tc>
        <w:tc>
          <w:tcPr>
            <w:tcW w:w="116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978,290,953.20</w:t>
            </w:r>
          </w:p>
        </w:tc>
        <w:tc>
          <w:tcPr>
            <w:tcW w:w="114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等线" w:eastAsia="等线" w:hAnsi="等线" w:cs="Times New Roman" w:hint="eastAsia"/>
                <w:sz w:val="18"/>
                <w:szCs w:val="18"/>
              </w:rPr>
              <w:t xml:space="preserve">　</w:t>
            </w:r>
          </w:p>
        </w:tc>
        <w:tc>
          <w:tcPr>
            <w:tcW w:w="984" w:type="pct"/>
            <w:tcBorders>
              <w:top w:val="nil"/>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A95787">
        <w:tc>
          <w:tcPr>
            <w:tcW w:w="1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应付账款</w:t>
            </w:r>
          </w:p>
        </w:tc>
        <w:tc>
          <w:tcPr>
            <w:tcW w:w="116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157,544,954.27</w:t>
            </w:r>
          </w:p>
        </w:tc>
        <w:tc>
          <w:tcPr>
            <w:tcW w:w="114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等线" w:eastAsia="等线" w:hAnsi="等线" w:cs="Times New Roman" w:hint="eastAsia"/>
                <w:sz w:val="18"/>
                <w:szCs w:val="18"/>
              </w:rPr>
              <w:t xml:space="preserve">　</w:t>
            </w:r>
          </w:p>
        </w:tc>
        <w:tc>
          <w:tcPr>
            <w:tcW w:w="984" w:type="pct"/>
            <w:tcBorders>
              <w:top w:val="nil"/>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A95787">
        <w:tc>
          <w:tcPr>
            <w:tcW w:w="1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其他应付款</w:t>
            </w:r>
          </w:p>
        </w:tc>
        <w:tc>
          <w:tcPr>
            <w:tcW w:w="116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544,749.91</w:t>
            </w:r>
          </w:p>
        </w:tc>
        <w:tc>
          <w:tcPr>
            <w:tcW w:w="114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等线" w:eastAsia="等线" w:hAnsi="等线" w:cs="Times New Roman" w:hint="eastAsia"/>
                <w:sz w:val="18"/>
                <w:szCs w:val="18"/>
              </w:rPr>
              <w:t xml:space="preserve">　</w:t>
            </w:r>
          </w:p>
        </w:tc>
        <w:tc>
          <w:tcPr>
            <w:tcW w:w="984" w:type="pct"/>
            <w:tcBorders>
              <w:top w:val="nil"/>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A95787">
        <w:tc>
          <w:tcPr>
            <w:tcW w:w="1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其他流动负债</w:t>
            </w:r>
          </w:p>
        </w:tc>
        <w:tc>
          <w:tcPr>
            <w:tcW w:w="116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77,173,540.93</w:t>
            </w:r>
          </w:p>
        </w:tc>
        <w:tc>
          <w:tcPr>
            <w:tcW w:w="114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等线" w:eastAsia="等线" w:hAnsi="等线" w:cs="Times New Roman" w:hint="eastAsia"/>
                <w:sz w:val="18"/>
                <w:szCs w:val="18"/>
              </w:rPr>
              <w:t xml:space="preserve">　</w:t>
            </w:r>
          </w:p>
        </w:tc>
        <w:tc>
          <w:tcPr>
            <w:tcW w:w="984" w:type="pct"/>
            <w:tcBorders>
              <w:top w:val="nil"/>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A95787">
        <w:tc>
          <w:tcPr>
            <w:tcW w:w="1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长期借款</w:t>
            </w:r>
          </w:p>
        </w:tc>
        <w:tc>
          <w:tcPr>
            <w:tcW w:w="116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19,519,743.75</w:t>
            </w:r>
          </w:p>
        </w:tc>
        <w:tc>
          <w:tcPr>
            <w:tcW w:w="984" w:type="pct"/>
            <w:tcBorders>
              <w:top w:val="nil"/>
              <w:left w:val="nil"/>
              <w:bottom w:val="single" w:sz="8" w:space="0" w:color="auto"/>
              <w:right w:val="single" w:sz="8" w:space="0" w:color="auto"/>
            </w:tcBorders>
            <w:tcMar>
              <w:top w:w="0" w:type="dxa"/>
              <w:left w:w="108" w:type="dxa"/>
              <w:bottom w:w="0" w:type="dxa"/>
              <w:right w:w="108" w:type="dxa"/>
            </w:tcMa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bl>
    <w:p w:rsidR="00A95787" w:rsidRDefault="005D3CC1">
      <w:pPr>
        <w:pStyle w:val="2"/>
        <w:spacing w:before="300" w:after="300" w:line="320" w:lineRule="exact"/>
        <w:rPr>
          <w:rFonts w:ascii="宋体" w:eastAsia="宋体" w:hAnsi="宋体" w:cs="宋体"/>
          <w:b/>
          <w:bCs/>
          <w:sz w:val="24"/>
          <w:szCs w:val="24"/>
        </w:rPr>
      </w:pPr>
      <w:bookmarkStart w:id="340" w:name="_Toc989221"/>
      <w:r>
        <w:rPr>
          <w:rFonts w:ascii="宋体" w:eastAsia="宋体" w:hAnsi="宋体" w:cs="宋体"/>
          <w:b/>
          <w:bCs/>
          <w:sz w:val="24"/>
          <w:szCs w:val="24"/>
        </w:rPr>
        <w:t>十二、公允价值的披露</w:t>
      </w:r>
      <w:bookmarkEnd w:id="340"/>
    </w:p>
    <w:p w:rsidR="00A95787" w:rsidRDefault="005D3CC1">
      <w:pPr>
        <w:pStyle w:val="3"/>
        <w:spacing w:line="280" w:lineRule="exact"/>
        <w:jc w:val="left"/>
        <w:rPr>
          <w:rFonts w:ascii="宋体" w:hAnsi="宋体" w:cs="宋体"/>
          <w:b/>
          <w:bCs/>
        </w:rPr>
      </w:pPr>
      <w:bookmarkStart w:id="341" w:name="_Toc989222"/>
      <w:r>
        <w:rPr>
          <w:rFonts w:ascii="宋体" w:hAnsi="宋体" w:cs="宋体"/>
          <w:b/>
          <w:bCs/>
        </w:rPr>
        <w:t>1、以公允价值计量的资产和负债的期末公允价值</w:t>
      </w:r>
      <w:bookmarkEnd w:id="34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30"/>
        <w:gridCol w:w="1928"/>
        <w:gridCol w:w="1928"/>
        <w:gridCol w:w="1928"/>
        <w:gridCol w:w="2036"/>
      </w:tblGrid>
      <w:tr w:rsidR="00A95787">
        <w:trPr>
          <w:trHeight w:val="240"/>
        </w:trPr>
        <w:tc>
          <w:tcPr>
            <w:tcW w:w="18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A95787">
        <w:trPr>
          <w:trHeight w:val="240"/>
        </w:trPr>
        <w:tc>
          <w:tcPr>
            <w:tcW w:w="183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（一）交易性金融资产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237,252,629.51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237,252,629.51</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237,252,629.51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237,252,629.51</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（1）债务工具投资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225,152,000.00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225,152,000.00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26,215.00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26,215.00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（4）基金</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12,074,414.51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12,074,414.51</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（二）其他债权投资</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（四）投资性房地产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（五）生物资产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（六）其他非流动金融资产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（七）应收款项融资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200,883,796.09</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200,883,796.09</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237,252,629.51</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200,883,796.09</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1,280,086,794.64</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（六）交易性金融负债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（七）指定为以公允价值计量且变动计入当期损益的金融负债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18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95787" w:rsidRDefault="005D3CC1">
      <w:pPr>
        <w:pStyle w:val="3"/>
        <w:spacing w:line="280" w:lineRule="exact"/>
        <w:jc w:val="left"/>
        <w:rPr>
          <w:rFonts w:ascii="宋体" w:hAnsi="宋体" w:cs="宋体"/>
          <w:b/>
          <w:bCs/>
        </w:rPr>
      </w:pPr>
      <w:bookmarkStart w:id="342" w:name="_Toc989223"/>
      <w:r>
        <w:rPr>
          <w:rFonts w:ascii="宋体" w:hAnsi="宋体" w:cs="宋体"/>
          <w:b/>
          <w:bCs/>
        </w:rPr>
        <w:t>2、持续和非持续第一层次公允价值计量项目市价的确定依据</w:t>
      </w:r>
      <w:bookmarkEnd w:id="342"/>
    </w:p>
    <w:p w:rsidR="00A95787" w:rsidRDefault="005D3CC1">
      <w:pPr>
        <w:pStyle w:val="a6"/>
        <w:rPr>
          <w:sz w:val="18"/>
          <w:szCs w:val="18"/>
        </w:rPr>
      </w:pPr>
      <w:r>
        <w:rPr>
          <w:rFonts w:hint="eastAsia"/>
          <w:sz w:val="18"/>
          <w:szCs w:val="18"/>
        </w:rPr>
        <w:t>第一层输入值是在计量日能够取得的相同资产或负债在活跃市场上未经调整的报价。</w:t>
      </w:r>
    </w:p>
    <w:p w:rsidR="00A95787" w:rsidRDefault="005D3CC1">
      <w:pPr>
        <w:pStyle w:val="3"/>
        <w:spacing w:line="280" w:lineRule="exact"/>
        <w:jc w:val="left"/>
        <w:rPr>
          <w:rFonts w:ascii="宋体" w:hAnsi="宋体" w:cs="宋体"/>
          <w:b/>
          <w:bCs/>
        </w:rPr>
      </w:pPr>
      <w:bookmarkStart w:id="343" w:name="_Toc989224"/>
      <w:r>
        <w:rPr>
          <w:rFonts w:ascii="宋体" w:hAnsi="宋体" w:cs="宋体"/>
          <w:b/>
          <w:bCs/>
        </w:rPr>
        <w:t>3、持续和非持续第二层次公允价值计量项目，采用的估值技术和重要参数的定性及定量信息</w:t>
      </w:r>
      <w:bookmarkEnd w:id="343"/>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第二层次输入值：除第一层次输入值外相关资产或负债直接或</w:t>
      </w:r>
      <w:r w:rsidR="00441DB3">
        <w:rPr>
          <w:rFonts w:cs="Times New Roman" w:hint="eastAsia"/>
          <w:sz w:val="18"/>
          <w:szCs w:val="18"/>
        </w:rPr>
        <w:t>间接</w:t>
      </w:r>
      <w:r>
        <w:rPr>
          <w:rFonts w:cs="Times New Roman" w:hint="eastAsia"/>
          <w:sz w:val="18"/>
          <w:szCs w:val="18"/>
        </w:rPr>
        <w:t>可观察的输入值，期末公司持续和非持续第二层次公允价值计量项目主要为应收款项融资。</w:t>
      </w:r>
    </w:p>
    <w:tbl>
      <w:tblPr>
        <w:tblW w:w="5000" w:type="pct"/>
        <w:tblCellMar>
          <w:left w:w="0" w:type="dxa"/>
          <w:right w:w="0" w:type="dxa"/>
        </w:tblCellMar>
        <w:tblLook w:val="04A0" w:firstRow="1" w:lastRow="0" w:firstColumn="1" w:lastColumn="0" w:noHBand="0" w:noVBand="1"/>
      </w:tblPr>
      <w:tblGrid>
        <w:gridCol w:w="2760"/>
        <w:gridCol w:w="2509"/>
        <w:gridCol w:w="1896"/>
        <w:gridCol w:w="2528"/>
      </w:tblGrid>
      <w:tr w:rsidR="00A95787">
        <w:trPr>
          <w:trHeight w:val="345"/>
          <w:tblHeader/>
        </w:trPr>
        <w:tc>
          <w:tcPr>
            <w:tcW w:w="142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29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9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30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A95787">
        <w:trPr>
          <w:trHeight w:val="345"/>
        </w:trPr>
        <w:tc>
          <w:tcPr>
            <w:tcW w:w="142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应收款项融资</w:t>
            </w:r>
          </w:p>
        </w:tc>
        <w:tc>
          <w:tcPr>
            <w:tcW w:w="1294"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200,883,796.09</w:t>
            </w:r>
          </w:p>
        </w:tc>
        <w:tc>
          <w:tcPr>
            <w:tcW w:w="978"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现金流量折现法</w:t>
            </w:r>
          </w:p>
        </w:tc>
        <w:tc>
          <w:tcPr>
            <w:tcW w:w="1304"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折现率（注）</w:t>
            </w:r>
          </w:p>
        </w:tc>
      </w:tr>
    </w:tbl>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注：应收款项融资为银行承兑汇票，期限较短且风险较低，票面金额与公允价值接近，采用票面金额作为公允价值。</w:t>
      </w:r>
    </w:p>
    <w:p w:rsidR="00A95787" w:rsidRDefault="005D3CC1" w:rsidP="00D85548">
      <w:pPr>
        <w:pStyle w:val="3"/>
        <w:spacing w:line="280" w:lineRule="exact"/>
        <w:jc w:val="left"/>
        <w:rPr>
          <w:rFonts w:ascii="宋体" w:hAnsi="宋体" w:cs="宋体"/>
          <w:b/>
          <w:bCs/>
        </w:rPr>
      </w:pPr>
      <w:bookmarkStart w:id="344" w:name="_Toc989225"/>
      <w:r>
        <w:rPr>
          <w:rFonts w:ascii="宋体" w:hAnsi="宋体" w:cs="宋体"/>
          <w:b/>
          <w:bCs/>
        </w:rPr>
        <w:t>4、持续和非持续第三层次公允价值计量项目，采用的估值技术和重要参数的定性及定量信息</w:t>
      </w:r>
      <w:bookmarkEnd w:id="344"/>
    </w:p>
    <w:p w:rsidR="00A95787" w:rsidRDefault="005D3CC1">
      <w:pPr>
        <w:pStyle w:val="a6"/>
        <w:spacing w:before="0" w:beforeAutospacing="0" w:after="0" w:afterAutospacing="0" w:line="360" w:lineRule="auto"/>
        <w:ind w:firstLine="360"/>
        <w:jc w:val="both"/>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A95787" w:rsidRDefault="005D3CC1">
      <w:pPr>
        <w:pStyle w:val="a6"/>
        <w:spacing w:before="0" w:beforeAutospacing="0" w:after="0" w:afterAutospacing="0" w:line="360" w:lineRule="auto"/>
        <w:ind w:firstLine="360"/>
        <w:jc w:val="both"/>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5000" w:type="pct"/>
        <w:tblCellMar>
          <w:left w:w="0" w:type="dxa"/>
          <w:right w:w="0" w:type="dxa"/>
        </w:tblCellMar>
        <w:tblLook w:val="04A0" w:firstRow="1" w:lastRow="0" w:firstColumn="1" w:lastColumn="0" w:noHBand="0" w:noVBand="1"/>
      </w:tblPr>
      <w:tblGrid>
        <w:gridCol w:w="2763"/>
        <w:gridCol w:w="1667"/>
        <w:gridCol w:w="3489"/>
        <w:gridCol w:w="1774"/>
      </w:tblGrid>
      <w:tr w:rsidR="00A95787">
        <w:trPr>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6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79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91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A95787">
        <w:trPr>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其他非流动金融资产汇总</w:t>
            </w:r>
          </w:p>
        </w:tc>
        <w:tc>
          <w:tcPr>
            <w:tcW w:w="860"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841,950,369.04</w:t>
            </w:r>
          </w:p>
        </w:tc>
        <w:tc>
          <w:tcPr>
            <w:tcW w:w="179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参照可比上市公司市净率、流动性系数计算</w:t>
            </w:r>
          </w:p>
        </w:tc>
        <w:tc>
          <w:tcPr>
            <w:tcW w:w="915"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流动性折扣系数</w:t>
            </w:r>
          </w:p>
        </w:tc>
      </w:tr>
    </w:tbl>
    <w:p w:rsidR="00A95787" w:rsidRDefault="005D3CC1">
      <w:pPr>
        <w:pStyle w:val="2"/>
        <w:spacing w:before="300" w:after="300" w:line="320" w:lineRule="exact"/>
        <w:rPr>
          <w:rFonts w:ascii="宋体" w:eastAsia="宋体" w:hAnsi="宋体" w:cs="宋体"/>
          <w:b/>
          <w:bCs/>
          <w:sz w:val="24"/>
          <w:szCs w:val="24"/>
        </w:rPr>
      </w:pPr>
      <w:bookmarkStart w:id="345" w:name="_Toc989226"/>
      <w:r>
        <w:rPr>
          <w:rFonts w:ascii="宋体" w:eastAsia="宋体" w:hAnsi="宋体" w:cs="宋体"/>
          <w:b/>
          <w:bCs/>
          <w:sz w:val="24"/>
          <w:szCs w:val="24"/>
        </w:rPr>
        <w:t>十三、关联方及关联交易</w:t>
      </w:r>
      <w:bookmarkEnd w:id="345"/>
    </w:p>
    <w:p w:rsidR="00A95787" w:rsidRDefault="005D3CC1">
      <w:pPr>
        <w:pStyle w:val="3"/>
        <w:spacing w:line="280" w:lineRule="exact"/>
        <w:jc w:val="left"/>
        <w:rPr>
          <w:rFonts w:ascii="宋体" w:hAnsi="宋体" w:cs="宋体"/>
          <w:b/>
          <w:bCs/>
        </w:rPr>
      </w:pPr>
      <w:bookmarkStart w:id="346" w:name="_Toc989227"/>
      <w:r>
        <w:rPr>
          <w:rFonts w:ascii="宋体" w:hAnsi="宋体" w:cs="宋体"/>
          <w:b/>
          <w:bCs/>
        </w:rPr>
        <w:t>1、本企业的母公司情况</w:t>
      </w:r>
      <w:bookmarkEnd w:id="346"/>
    </w:p>
    <w:tbl>
      <w:tblPr>
        <w:tblW w:w="9700" w:type="dxa"/>
        <w:tblInd w:w="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34"/>
        <w:gridCol w:w="1606"/>
        <w:gridCol w:w="1606"/>
        <w:gridCol w:w="1607"/>
        <w:gridCol w:w="1607"/>
        <w:gridCol w:w="1740"/>
      </w:tblGrid>
      <w:tr w:rsidR="00A95787">
        <w:trPr>
          <w:trHeight w:val="240"/>
        </w:trPr>
        <w:tc>
          <w:tcPr>
            <w:tcW w:w="153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74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A95787">
        <w:trPr>
          <w:trHeight w:val="240"/>
        </w:trPr>
        <w:tc>
          <w:tcPr>
            <w:tcW w:w="153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A95787" w:rsidRDefault="005D3CC1">
      <w:pPr>
        <w:pStyle w:val="a6"/>
        <w:spacing w:before="0" w:beforeAutospacing="0" w:after="0" w:afterAutospacing="0" w:line="400" w:lineRule="atLeast"/>
        <w:ind w:firstLineChars="200" w:firstLine="360"/>
        <w:jc w:val="both"/>
        <w:rPr>
          <w:rFonts w:cs="Times New Roman"/>
          <w:sz w:val="18"/>
          <w:szCs w:val="18"/>
        </w:rPr>
      </w:pPr>
      <w:r>
        <w:rPr>
          <w:rFonts w:cs="Times New Roman" w:hint="eastAsia"/>
          <w:sz w:val="18"/>
          <w:szCs w:val="18"/>
        </w:rPr>
        <w:t>注：截至</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日，江苏华西集团有限公司累计持有本公司</w:t>
      </w:r>
      <w:r>
        <w:rPr>
          <w:rFonts w:ascii="Arial" w:hAnsi="Arial" w:cs="Arial"/>
          <w:sz w:val="18"/>
          <w:szCs w:val="18"/>
        </w:rPr>
        <w:t>29.34%</w:t>
      </w:r>
      <w:r>
        <w:rPr>
          <w:rFonts w:cs="Times New Roman" w:hint="eastAsia"/>
          <w:sz w:val="18"/>
          <w:szCs w:val="18"/>
        </w:rPr>
        <w:t>股份，持股数</w:t>
      </w:r>
      <w:r>
        <w:rPr>
          <w:rFonts w:ascii="Arial" w:hAnsi="Arial" w:cs="Arial"/>
          <w:sz w:val="18"/>
          <w:szCs w:val="18"/>
        </w:rPr>
        <w:t>260,000,000</w:t>
      </w:r>
      <w:r>
        <w:rPr>
          <w:rFonts w:cs="Times New Roman" w:hint="eastAsia"/>
          <w:sz w:val="18"/>
          <w:szCs w:val="18"/>
        </w:rPr>
        <w:t>股。</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江苏华西集团有限公司持有华西股份股权质押情况：</w:t>
      </w:r>
    </w:p>
    <w:tbl>
      <w:tblPr>
        <w:tblW w:w="9682" w:type="dxa"/>
        <w:jc w:val="center"/>
        <w:tblCellMar>
          <w:left w:w="0" w:type="dxa"/>
          <w:right w:w="0" w:type="dxa"/>
        </w:tblCellMar>
        <w:tblLook w:val="04A0" w:firstRow="1" w:lastRow="0" w:firstColumn="1" w:lastColumn="0" w:noHBand="0" w:noVBand="1"/>
      </w:tblPr>
      <w:tblGrid>
        <w:gridCol w:w="3352"/>
        <w:gridCol w:w="1701"/>
        <w:gridCol w:w="1418"/>
        <w:gridCol w:w="1417"/>
        <w:gridCol w:w="1794"/>
      </w:tblGrid>
      <w:tr w:rsidR="00A95787">
        <w:trPr>
          <w:trHeight w:val="360"/>
          <w:tblHeader/>
          <w:jc w:val="center"/>
        </w:trPr>
        <w:tc>
          <w:tcPr>
            <w:tcW w:w="335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股东名称</w:t>
            </w:r>
          </w:p>
        </w:tc>
        <w:tc>
          <w:tcPr>
            <w:tcW w:w="1701"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质押数量（股）</w:t>
            </w:r>
          </w:p>
        </w:tc>
        <w:tc>
          <w:tcPr>
            <w:tcW w:w="1418"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质押起始日</w:t>
            </w:r>
          </w:p>
        </w:tc>
        <w:tc>
          <w:tcPr>
            <w:tcW w:w="1417"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质押到期日</w:t>
            </w:r>
          </w:p>
        </w:tc>
        <w:tc>
          <w:tcPr>
            <w:tcW w:w="179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质权人</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82,400,000.00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2019/9/11</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2025/9/5</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lastRenderedPageBreak/>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50,000,000.00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2021/9/8</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2026/8/30</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40,000,000.00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2021/9/8</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2026/8/30</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30,000,000.00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2021/9/8</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2026/8/30</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40,000,000.00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2021/9/8</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2026/8/30</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江苏华西集团有限公司</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17,600,000.00</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2023/8/10</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xml:space="preserve">2028/8/9 </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中国工商银行股份有限公司江阴支行</w:t>
            </w:r>
          </w:p>
        </w:tc>
      </w:tr>
      <w:tr w:rsidR="00A95787">
        <w:trPr>
          <w:trHeight w:val="360"/>
          <w:jc w:val="center"/>
        </w:trPr>
        <w:tc>
          <w:tcPr>
            <w:tcW w:w="335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D85548">
              <w:rPr>
                <w:rFonts w:cs="Times New Roman" w:hint="eastAsia"/>
                <w:sz w:val="18"/>
                <w:szCs w:val="18"/>
              </w:rPr>
              <w:t xml:space="preserve">   </w:t>
            </w:r>
            <w:r>
              <w:rPr>
                <w:rFonts w:cs="Times New Roman" w:hint="eastAsia"/>
                <w:sz w:val="18"/>
                <w:szCs w:val="18"/>
              </w:rPr>
              <w:t>计</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xml:space="preserve">260,000,000.00 </w:t>
            </w:r>
          </w:p>
        </w:tc>
        <w:tc>
          <w:tcPr>
            <w:tcW w:w="1418"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1417"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1794" w:type="dxa"/>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 </w:t>
            </w:r>
          </w:p>
        </w:tc>
      </w:tr>
    </w:tbl>
    <w:p w:rsidR="00A95787" w:rsidRDefault="005D3CC1">
      <w:pPr>
        <w:pStyle w:val="a6"/>
        <w:spacing w:before="0" w:beforeAutospacing="0" w:after="0" w:afterAutospacing="0" w:line="400" w:lineRule="atLeast"/>
        <w:ind w:firstLine="360"/>
        <w:jc w:val="both"/>
        <w:rPr>
          <w:sz w:val="18"/>
          <w:szCs w:val="18"/>
        </w:rPr>
      </w:pPr>
      <w:r>
        <w:rPr>
          <w:rFonts w:ascii="Times New Roman" w:hAnsi="Times New Roman" w:cs="Times New Roman"/>
          <w:sz w:val="21"/>
          <w:szCs w:val="21"/>
        </w:rPr>
        <w:t> </w:t>
      </w:r>
      <w:r>
        <w:rPr>
          <w:sz w:val="18"/>
          <w:szCs w:val="18"/>
        </w:rPr>
        <w:t>本企业最终控制方是江阴市人民政府国有资产监督管理办公室。</w:t>
      </w:r>
    </w:p>
    <w:p w:rsidR="00507B8E" w:rsidRDefault="00507B8E">
      <w:pPr>
        <w:pStyle w:val="a6"/>
        <w:spacing w:before="0" w:beforeAutospacing="0" w:after="0" w:afterAutospacing="0" w:line="400" w:lineRule="atLeast"/>
        <w:ind w:firstLine="360"/>
        <w:jc w:val="both"/>
        <w:rPr>
          <w:sz w:val="18"/>
          <w:szCs w:val="18"/>
        </w:rPr>
      </w:pPr>
    </w:p>
    <w:p w:rsidR="00A95787" w:rsidRDefault="005D3CC1">
      <w:pPr>
        <w:pStyle w:val="3"/>
        <w:spacing w:line="280" w:lineRule="exact"/>
        <w:jc w:val="left"/>
        <w:rPr>
          <w:rFonts w:ascii="宋体" w:hAnsi="宋体" w:cs="宋体"/>
          <w:b/>
          <w:bCs/>
        </w:rPr>
      </w:pPr>
      <w:bookmarkStart w:id="347" w:name="_Toc989228"/>
      <w:r>
        <w:rPr>
          <w:rFonts w:ascii="宋体" w:hAnsi="宋体" w:cs="宋体"/>
          <w:b/>
          <w:bCs/>
        </w:rPr>
        <w:t>2、本企业的子公司情况</w:t>
      </w:r>
      <w:bookmarkEnd w:id="347"/>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本企业子公司的情况详见附注九、1、在子公司（含结构化主体）中的权益。</w:t>
      </w:r>
    </w:p>
    <w:p w:rsidR="00A95787" w:rsidRDefault="005D3CC1">
      <w:pPr>
        <w:pStyle w:val="3"/>
        <w:spacing w:line="280" w:lineRule="exact"/>
        <w:jc w:val="left"/>
        <w:rPr>
          <w:rFonts w:ascii="宋体" w:hAnsi="宋体" w:cs="宋体"/>
          <w:b/>
          <w:bCs/>
        </w:rPr>
      </w:pPr>
      <w:bookmarkStart w:id="348" w:name="_Toc989229"/>
      <w:r>
        <w:rPr>
          <w:rFonts w:ascii="宋体" w:hAnsi="宋体" w:cs="宋体"/>
          <w:b/>
          <w:bCs/>
        </w:rPr>
        <w:t>3、本企业合营和联营企业情况</w:t>
      </w:r>
      <w:bookmarkEnd w:id="348"/>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本企业重要的合营或联营企业详见附注九、2、在合营安排或联营企业中的权益。</w:t>
      </w:r>
    </w:p>
    <w:p w:rsidR="00A95787" w:rsidRDefault="005D3CC1">
      <w:pPr>
        <w:pStyle w:val="3"/>
        <w:spacing w:line="280" w:lineRule="exact"/>
        <w:jc w:val="left"/>
        <w:rPr>
          <w:rFonts w:ascii="宋体" w:hAnsi="宋体" w:cs="宋体"/>
          <w:b/>
          <w:bCs/>
        </w:rPr>
      </w:pPr>
      <w:bookmarkStart w:id="349" w:name="_Toc989230"/>
      <w:r>
        <w:rPr>
          <w:rFonts w:ascii="宋体" w:hAnsi="宋体" w:cs="宋体"/>
          <w:b/>
          <w:bCs/>
        </w:rPr>
        <w:t>4、其他关联方情况</w:t>
      </w:r>
      <w:bookmarkEnd w:id="349"/>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39"/>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其他关联方名称</w:t>
            </w:r>
          </w:p>
        </w:tc>
        <w:tc>
          <w:tcPr>
            <w:tcW w:w="49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其他关联方与本企业关系</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江苏华西集团财务有限公司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同一母公司</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江阴市华西热电有限公司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基于实质重于形式认定为关联方</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江苏华西售电有限公司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基于实质重于形式认定为关联方</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江阴市华西纺织有限公司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基于实质重于形式认定为关联方</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江苏华西村海洋工程服务有限公司</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本公司高管任职董事的企业</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939"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本公司董事担任负责人的自治组织</w:t>
            </w:r>
          </w:p>
        </w:tc>
      </w:tr>
    </w:tbl>
    <w:p w:rsidR="00A95787" w:rsidRDefault="005D3CC1">
      <w:pPr>
        <w:pStyle w:val="3"/>
        <w:spacing w:line="280" w:lineRule="exact"/>
        <w:jc w:val="left"/>
        <w:rPr>
          <w:rFonts w:ascii="宋体" w:hAnsi="宋体" w:cs="宋体"/>
          <w:b/>
          <w:bCs/>
        </w:rPr>
      </w:pPr>
      <w:bookmarkStart w:id="350" w:name="_Toc989231"/>
      <w:r>
        <w:rPr>
          <w:rFonts w:ascii="宋体" w:hAnsi="宋体" w:cs="宋体"/>
          <w:b/>
          <w:bCs/>
        </w:rPr>
        <w:t>5、关联交易情况</w:t>
      </w:r>
      <w:bookmarkEnd w:id="350"/>
    </w:p>
    <w:p w:rsidR="00A95787" w:rsidRDefault="005D3CC1">
      <w:pPr>
        <w:keepNext/>
        <w:keepLines/>
        <w:spacing w:before="300" w:after="300" w:line="280" w:lineRule="exact"/>
        <w:outlineLvl w:val="3"/>
        <w:rPr>
          <w:rFonts w:ascii="宋体" w:eastAsia="宋体" w:hAnsi="宋体" w:cs="宋体"/>
          <w:b/>
          <w:bCs/>
          <w:szCs w:val="21"/>
        </w:rPr>
      </w:pPr>
      <w:bookmarkStart w:id="351" w:name="_Toc989232"/>
      <w:r>
        <w:rPr>
          <w:rFonts w:ascii="宋体" w:eastAsia="宋体" w:hAnsi="宋体" w:cs="宋体"/>
          <w:b/>
          <w:bCs/>
          <w:szCs w:val="21"/>
        </w:rPr>
        <w:t>（1） 购销商品、提供和接受劳务的关联交易</w:t>
      </w:r>
      <w:bookmarkEnd w:id="35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采购商品/接受劳务情况表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62"/>
        <w:gridCol w:w="1200"/>
        <w:gridCol w:w="1588"/>
        <w:gridCol w:w="1712"/>
        <w:gridCol w:w="1348"/>
        <w:gridCol w:w="1727"/>
      </w:tblGrid>
      <w:tr w:rsidR="00A95787">
        <w:trPr>
          <w:trHeight w:val="240"/>
        </w:trPr>
        <w:tc>
          <w:tcPr>
            <w:tcW w:w="20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关联方</w:t>
            </w:r>
          </w:p>
        </w:tc>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关联交易内容</w:t>
            </w:r>
          </w:p>
        </w:tc>
        <w:tc>
          <w:tcPr>
            <w:tcW w:w="15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17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34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72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20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江阴市华西热电有限公司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燃料动力</w:t>
            </w:r>
          </w:p>
        </w:tc>
        <w:tc>
          <w:tcPr>
            <w:tcW w:w="1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45,241,006.84</w:t>
            </w:r>
          </w:p>
        </w:tc>
        <w:tc>
          <w:tcPr>
            <w:tcW w:w="1712" w:type="dxa"/>
            <w:vMerge w:val="restart"/>
            <w:tcBorders>
              <w:top w:val="single" w:sz="2" w:space="0" w:color="auto"/>
              <w:left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110,000,000.00</w:t>
            </w:r>
          </w:p>
        </w:tc>
        <w:tc>
          <w:tcPr>
            <w:tcW w:w="1348" w:type="dxa"/>
            <w:vMerge w:val="restart"/>
            <w:tcBorders>
              <w:top w:val="single" w:sz="2" w:space="0" w:color="auto"/>
              <w:left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否</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49,936,626.50</w:t>
            </w:r>
          </w:p>
        </w:tc>
      </w:tr>
      <w:tr w:rsidR="00A95787">
        <w:trPr>
          <w:trHeight w:val="240"/>
        </w:trPr>
        <w:tc>
          <w:tcPr>
            <w:tcW w:w="20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江苏华西售电有限公司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燃料动力</w:t>
            </w:r>
          </w:p>
        </w:tc>
        <w:tc>
          <w:tcPr>
            <w:tcW w:w="1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46,889,920.20</w:t>
            </w:r>
          </w:p>
        </w:tc>
        <w:tc>
          <w:tcPr>
            <w:tcW w:w="1712" w:type="dxa"/>
            <w:vMerge/>
            <w:tcBorders>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48" w:type="dxa"/>
            <w:vMerge/>
            <w:tcBorders>
              <w:left w:val="single" w:sz="2" w:space="0" w:color="auto"/>
              <w:bottom w:val="single" w:sz="2" w:space="0" w:color="auto"/>
              <w:right w:val="single" w:sz="2" w:space="0" w:color="auto"/>
            </w:tcBorders>
            <w:vAlign w:val="center"/>
          </w:tcPr>
          <w:p w:rsidR="00A95787" w:rsidRDefault="00A95787">
            <w:pPr>
              <w:spacing w:line="300" w:lineRule="exact"/>
              <w:jc w:val="center"/>
              <w:rPr>
                <w:rFonts w:ascii="宋体" w:eastAsia="宋体" w:hAnsi="宋体" w:cs="宋体"/>
                <w:sz w:val="18"/>
                <w:szCs w:val="18"/>
              </w:rPr>
            </w:pP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49,073,956.20</w:t>
            </w:r>
          </w:p>
        </w:tc>
      </w:tr>
      <w:tr w:rsidR="00A95787">
        <w:trPr>
          <w:trHeight w:val="240"/>
        </w:trPr>
        <w:tc>
          <w:tcPr>
            <w:tcW w:w="20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其他关联企业</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商品劳务</w:t>
            </w:r>
          </w:p>
        </w:tc>
        <w:tc>
          <w:tcPr>
            <w:tcW w:w="1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618,202.69</w:t>
            </w:r>
          </w:p>
        </w:tc>
        <w:tc>
          <w:tcPr>
            <w:tcW w:w="1712" w:type="dxa"/>
            <w:vMerge w:val="restart"/>
            <w:tcBorders>
              <w:top w:val="single" w:sz="2" w:space="0" w:color="auto"/>
              <w:left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3,000,000.00</w:t>
            </w:r>
          </w:p>
        </w:tc>
        <w:tc>
          <w:tcPr>
            <w:tcW w:w="1348" w:type="dxa"/>
            <w:vMerge w:val="restart"/>
            <w:tcBorders>
              <w:top w:val="single" w:sz="2" w:space="0" w:color="auto"/>
              <w:left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否</w:t>
            </w: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793,880.76</w:t>
            </w:r>
          </w:p>
        </w:tc>
      </w:tr>
      <w:tr w:rsidR="00A95787">
        <w:trPr>
          <w:trHeight w:val="240"/>
        </w:trPr>
        <w:tc>
          <w:tcPr>
            <w:tcW w:w="20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商品劳务</w:t>
            </w:r>
          </w:p>
        </w:tc>
        <w:tc>
          <w:tcPr>
            <w:tcW w:w="1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1,711,265.65</w:t>
            </w:r>
          </w:p>
        </w:tc>
        <w:tc>
          <w:tcPr>
            <w:tcW w:w="1712" w:type="dxa"/>
            <w:vMerge/>
            <w:tcBorders>
              <w:left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48" w:type="dxa"/>
            <w:vMerge/>
            <w:tcBorders>
              <w:left w:val="single" w:sz="2" w:space="0" w:color="auto"/>
              <w:right w:val="single" w:sz="2" w:space="0" w:color="auto"/>
            </w:tcBorders>
            <w:vAlign w:val="center"/>
          </w:tcPr>
          <w:p w:rsidR="00A95787" w:rsidRDefault="00A95787">
            <w:pPr>
              <w:spacing w:line="300" w:lineRule="exact"/>
              <w:jc w:val="center"/>
              <w:rPr>
                <w:rFonts w:ascii="宋体" w:eastAsia="宋体" w:hAnsi="宋体" w:cs="宋体"/>
                <w:sz w:val="18"/>
                <w:szCs w:val="18"/>
              </w:rPr>
            </w:pP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1,482,125.15</w:t>
            </w:r>
          </w:p>
        </w:tc>
      </w:tr>
      <w:tr w:rsidR="00A95787">
        <w:trPr>
          <w:trHeight w:val="240"/>
        </w:trPr>
        <w:tc>
          <w:tcPr>
            <w:tcW w:w="20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2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center"/>
              <w:rPr>
                <w:rFonts w:ascii="宋体" w:eastAsia="宋体" w:hAnsi="宋体" w:cs="宋体"/>
                <w:sz w:val="18"/>
                <w:szCs w:val="18"/>
              </w:rPr>
            </w:pPr>
            <w:r>
              <w:rPr>
                <w:rFonts w:ascii="宋体" w:eastAsia="宋体" w:hAnsi="宋体" w:cs="宋体"/>
                <w:sz w:val="18"/>
                <w:szCs w:val="18"/>
              </w:rPr>
              <w:t>商品劳务</w:t>
            </w:r>
          </w:p>
        </w:tc>
        <w:tc>
          <w:tcPr>
            <w:tcW w:w="15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5,000.00</w:t>
            </w:r>
          </w:p>
        </w:tc>
        <w:tc>
          <w:tcPr>
            <w:tcW w:w="1712" w:type="dxa"/>
            <w:vMerge/>
            <w:tcBorders>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48" w:type="dxa"/>
            <w:vMerge/>
            <w:tcBorders>
              <w:left w:val="single" w:sz="2" w:space="0" w:color="auto"/>
              <w:bottom w:val="single" w:sz="2" w:space="0" w:color="auto"/>
              <w:right w:val="single" w:sz="2" w:space="0" w:color="auto"/>
            </w:tcBorders>
            <w:vAlign w:val="center"/>
          </w:tcPr>
          <w:p w:rsidR="00A95787" w:rsidRDefault="00A95787">
            <w:pPr>
              <w:spacing w:line="300" w:lineRule="exact"/>
              <w:jc w:val="center"/>
              <w:rPr>
                <w:rFonts w:ascii="宋体" w:eastAsia="宋体" w:hAnsi="宋体" w:cs="宋体"/>
                <w:sz w:val="18"/>
                <w:szCs w:val="18"/>
              </w:rPr>
            </w:pPr>
          </w:p>
        </w:tc>
        <w:tc>
          <w:tcPr>
            <w:tcW w:w="172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60,950.00</w:t>
            </w:r>
          </w:p>
        </w:tc>
      </w:tr>
    </w:tbl>
    <w:p w:rsidR="00A95787" w:rsidRDefault="005D3CC1" w:rsidP="005D2672">
      <w:pPr>
        <w:spacing w:beforeLines="100" w:before="312" w:line="320" w:lineRule="exact"/>
        <w:rPr>
          <w:rFonts w:ascii="宋体" w:eastAsia="宋体" w:hAnsi="宋体" w:cs="宋体"/>
          <w:sz w:val="18"/>
          <w:szCs w:val="18"/>
        </w:rPr>
      </w:pPr>
      <w:r>
        <w:rPr>
          <w:rFonts w:ascii="宋体" w:eastAsia="宋体" w:hAnsi="宋体" w:cs="宋体"/>
          <w:sz w:val="18"/>
          <w:szCs w:val="18"/>
        </w:rPr>
        <w:t>出售商品/提供劳务情况表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900"/>
        <w:gridCol w:w="1785"/>
        <w:gridCol w:w="2410"/>
        <w:gridCol w:w="2530"/>
      </w:tblGrid>
      <w:tr w:rsidR="00A95787">
        <w:trPr>
          <w:trHeight w:val="240"/>
        </w:trPr>
        <w:tc>
          <w:tcPr>
            <w:tcW w:w="2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关联方</w:t>
            </w:r>
          </w:p>
        </w:tc>
        <w:tc>
          <w:tcPr>
            <w:tcW w:w="178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本期发生额</w:t>
            </w:r>
          </w:p>
        </w:tc>
        <w:tc>
          <w:tcPr>
            <w:tcW w:w="253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D85548">
            <w:pPr>
              <w:spacing w:before="40" w:after="40" w:line="360" w:lineRule="auto"/>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江阴华西船务有限公司</w:t>
            </w:r>
          </w:p>
        </w:tc>
        <w:tc>
          <w:tcPr>
            <w:tcW w:w="1785"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jc w:val="right"/>
              <w:rPr>
                <w:rFonts w:ascii="宋体" w:eastAsia="宋体" w:hAnsi="宋体" w:cs="宋体"/>
                <w:sz w:val="18"/>
                <w:szCs w:val="18"/>
              </w:rPr>
            </w:pPr>
            <w:r>
              <w:rPr>
                <w:rFonts w:ascii="宋体" w:eastAsia="宋体" w:hAnsi="宋体" w:cs="宋体"/>
                <w:sz w:val="18"/>
                <w:szCs w:val="18"/>
              </w:rPr>
              <w:t>143,387.92</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jc w:val="right"/>
              <w:rPr>
                <w:rFonts w:ascii="宋体" w:eastAsia="宋体" w:hAnsi="宋体" w:cs="宋体"/>
                <w:sz w:val="18"/>
                <w:szCs w:val="18"/>
              </w:rPr>
            </w:pPr>
            <w:r>
              <w:rPr>
                <w:rFonts w:ascii="宋体" w:eastAsia="宋体" w:hAnsi="宋体" w:cs="宋体"/>
                <w:sz w:val="18"/>
                <w:szCs w:val="18"/>
              </w:rPr>
              <w:t>135,022.92</w:t>
            </w:r>
          </w:p>
        </w:tc>
      </w:tr>
      <w:tr w:rsidR="00A95787">
        <w:trPr>
          <w:trHeight w:val="240"/>
        </w:trPr>
        <w:tc>
          <w:tcPr>
            <w:tcW w:w="290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江阴市华西纺织有限公司</w:t>
            </w:r>
          </w:p>
        </w:tc>
        <w:tc>
          <w:tcPr>
            <w:tcW w:w="1785"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rPr>
                <w:rFonts w:ascii="宋体" w:eastAsia="宋体" w:hAnsi="宋体" w:cs="宋体"/>
                <w:sz w:val="18"/>
                <w:szCs w:val="18"/>
              </w:rPr>
            </w:pPr>
            <w:r>
              <w:rPr>
                <w:rFonts w:ascii="宋体" w:eastAsia="宋体" w:hAnsi="宋体" w:cs="宋体"/>
                <w:sz w:val="18"/>
                <w:szCs w:val="18"/>
              </w:rPr>
              <w:t>商品劳务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rsidP="00D85548">
            <w:pPr>
              <w:spacing w:line="360" w:lineRule="auto"/>
              <w:jc w:val="right"/>
              <w:rPr>
                <w:rFonts w:ascii="宋体" w:eastAsia="宋体" w:hAnsi="宋体" w:cs="宋体"/>
                <w:sz w:val="18"/>
                <w:szCs w:val="18"/>
              </w:rPr>
            </w:pPr>
            <w:r>
              <w:rPr>
                <w:rFonts w:ascii="宋体" w:eastAsia="宋体" w:hAnsi="宋体" w:cs="宋体"/>
                <w:sz w:val="18"/>
                <w:szCs w:val="18"/>
              </w:rPr>
              <w:t>1,639,259.47</w:t>
            </w:r>
          </w:p>
        </w:tc>
        <w:tc>
          <w:tcPr>
            <w:tcW w:w="2530" w:type="dxa"/>
            <w:tcBorders>
              <w:top w:val="single" w:sz="2" w:space="0" w:color="auto"/>
              <w:left w:val="single" w:sz="2" w:space="0" w:color="auto"/>
              <w:bottom w:val="single" w:sz="2" w:space="0" w:color="auto"/>
              <w:right w:val="single" w:sz="2" w:space="0" w:color="auto"/>
            </w:tcBorders>
            <w:vAlign w:val="center"/>
          </w:tcPr>
          <w:p w:rsidR="00A95787" w:rsidRDefault="00A95787" w:rsidP="00D85548">
            <w:pPr>
              <w:spacing w:line="360" w:lineRule="auto"/>
              <w:jc w:val="right"/>
              <w:rPr>
                <w:rFonts w:ascii="宋体" w:eastAsia="宋体" w:hAnsi="宋体" w:cs="宋体"/>
                <w:sz w:val="18"/>
                <w:szCs w:val="18"/>
              </w:rPr>
            </w:pPr>
          </w:p>
        </w:tc>
      </w:tr>
    </w:tbl>
    <w:p w:rsidR="00A95787" w:rsidRDefault="005D3CC1">
      <w:pPr>
        <w:keepNext/>
        <w:keepLines/>
        <w:spacing w:before="300" w:after="300" w:line="280" w:lineRule="exact"/>
        <w:outlineLvl w:val="3"/>
        <w:rPr>
          <w:rFonts w:ascii="宋体" w:eastAsia="宋体" w:hAnsi="宋体" w:cs="宋体"/>
          <w:b/>
          <w:bCs/>
          <w:szCs w:val="21"/>
        </w:rPr>
      </w:pPr>
      <w:bookmarkStart w:id="352" w:name="_Toc989233"/>
      <w:r>
        <w:rPr>
          <w:rFonts w:ascii="宋体" w:eastAsia="宋体" w:hAnsi="宋体" w:cs="宋体"/>
          <w:b/>
          <w:bCs/>
          <w:szCs w:val="21"/>
        </w:rPr>
        <w:t>（2） 关联租赁情况</w:t>
      </w:r>
      <w:bookmarkEnd w:id="352"/>
    </w:p>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本公司作为承租方：</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2"/>
        <w:gridCol w:w="804"/>
        <w:gridCol w:w="804"/>
        <w:gridCol w:w="803"/>
        <w:gridCol w:w="803"/>
        <w:gridCol w:w="803"/>
        <w:gridCol w:w="803"/>
        <w:gridCol w:w="803"/>
        <w:gridCol w:w="803"/>
        <w:gridCol w:w="803"/>
        <w:gridCol w:w="803"/>
        <w:gridCol w:w="923"/>
      </w:tblGrid>
      <w:tr w:rsidR="00A95787">
        <w:trPr>
          <w:trHeight w:val="240"/>
        </w:trPr>
        <w:tc>
          <w:tcPr>
            <w:tcW w:w="68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7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A95787">
        <w:trPr>
          <w:trHeight w:val="240"/>
        </w:trPr>
        <w:tc>
          <w:tcPr>
            <w:tcW w:w="682" w:type="dxa"/>
            <w:vMerge/>
            <w:tcBorders>
              <w:top w:val="single" w:sz="2" w:space="0" w:color="auto"/>
              <w:left w:val="single" w:sz="2" w:space="0" w:color="auto"/>
              <w:bottom w:val="single" w:sz="2" w:space="0" w:color="auto"/>
              <w:right w:val="single" w:sz="2" w:space="0" w:color="auto"/>
            </w:tcBorders>
            <w:vAlign w:val="center"/>
          </w:tcPr>
          <w:p w:rsidR="00A95787" w:rsidRDefault="00A95787"/>
        </w:tc>
        <w:tc>
          <w:tcPr>
            <w:tcW w:w="804" w:type="dxa"/>
            <w:vMerge/>
            <w:tcBorders>
              <w:top w:val="single" w:sz="2" w:space="0" w:color="auto"/>
              <w:left w:val="single" w:sz="2" w:space="0" w:color="auto"/>
              <w:bottom w:val="single" w:sz="2" w:space="0" w:color="auto"/>
              <w:right w:val="single" w:sz="2" w:space="0" w:color="auto"/>
            </w:tcBorders>
            <w:vAlign w:val="center"/>
          </w:tcPr>
          <w:p w:rsidR="00A95787" w:rsidRDefault="00A95787"/>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9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6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8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房屋、土地</w:t>
            </w:r>
          </w:p>
        </w:tc>
        <w:tc>
          <w:tcPr>
            <w:tcW w:w="8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6,010,127.09</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6,276,732.57</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6,010,127.09</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6,276,732.57</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2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6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土地</w:t>
            </w:r>
          </w:p>
        </w:tc>
        <w:tc>
          <w:tcPr>
            <w:tcW w:w="8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2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bl>
    <w:p w:rsidR="00A95787" w:rsidRDefault="005D3CC1">
      <w:pPr>
        <w:keepNext/>
        <w:keepLines/>
        <w:spacing w:before="300" w:after="300" w:line="280" w:lineRule="exact"/>
        <w:outlineLvl w:val="3"/>
        <w:rPr>
          <w:rFonts w:ascii="宋体" w:eastAsia="宋体" w:hAnsi="宋体" w:cs="宋体"/>
          <w:b/>
          <w:bCs/>
          <w:szCs w:val="21"/>
        </w:rPr>
      </w:pPr>
      <w:bookmarkStart w:id="353" w:name="_Toc989234"/>
      <w:r>
        <w:rPr>
          <w:rFonts w:ascii="宋体" w:eastAsia="宋体" w:hAnsi="宋体" w:cs="宋体"/>
          <w:b/>
          <w:bCs/>
          <w:szCs w:val="21"/>
        </w:rPr>
        <w:t>（3） 关联担保情况</w:t>
      </w:r>
      <w:bookmarkEnd w:id="35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本公司作为担保方</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p w:rsidR="00D85548" w:rsidRDefault="00D85548">
      <w:pPr>
        <w:spacing w:before="120" w:after="120" w:line="240" w:lineRule="exact"/>
        <w:jc w:val="right"/>
        <w:rPr>
          <w:rFonts w:ascii="宋体" w:eastAsia="宋体" w:hAnsi="宋体" w:cs="宋体"/>
          <w:sz w:val="18"/>
          <w:szCs w:val="18"/>
        </w:rPr>
      </w:pP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25"/>
        <w:gridCol w:w="1662"/>
        <w:gridCol w:w="1750"/>
        <w:gridCol w:w="1852"/>
        <w:gridCol w:w="2036"/>
      </w:tblGrid>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被担保方</w:t>
            </w:r>
          </w:p>
        </w:tc>
        <w:tc>
          <w:tcPr>
            <w:tcW w:w="16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8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2025年11月12日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2025年11月12日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2025年12月10日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2025年12月10日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2024年01月10日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2025年01月09日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99,500,000.00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2025年01月31日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98,830,000.00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2025年01月31日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2024年10月17日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2025年10月17日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2024年09月10日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2025年09月10日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2025年03月24日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2024年11月12日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2025年11月10日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2026年03月29日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65,000,000.00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2024年07月23日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2025年01月22日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合计</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1,064,430,000.00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hint="eastAsia"/>
          <w:sz w:val="18"/>
          <w:szCs w:val="18"/>
        </w:rPr>
        <w:t>注：截至2024年12月31日，公司对江苏华西集团有限公司及关联人实际担保余额为85,409.95万元。</w:t>
      </w:r>
    </w:p>
    <w:p w:rsidR="00A95787" w:rsidRDefault="00A95787">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本公司作为被担保方</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25"/>
        <w:gridCol w:w="1662"/>
        <w:gridCol w:w="1750"/>
        <w:gridCol w:w="1852"/>
        <w:gridCol w:w="2036"/>
      </w:tblGrid>
      <w:tr w:rsidR="00A95787">
        <w:trPr>
          <w:trHeight w:val="240"/>
        </w:trPr>
        <w:tc>
          <w:tcPr>
            <w:tcW w:w="23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担保方</w:t>
            </w:r>
          </w:p>
        </w:tc>
        <w:tc>
          <w:tcPr>
            <w:tcW w:w="16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担保金额</w:t>
            </w:r>
          </w:p>
        </w:tc>
        <w:tc>
          <w:tcPr>
            <w:tcW w:w="17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担保起始日</w:t>
            </w:r>
          </w:p>
        </w:tc>
        <w:tc>
          <w:tcPr>
            <w:tcW w:w="18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担保到期日</w:t>
            </w:r>
          </w:p>
        </w:tc>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19,500,000.00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2024年06月27日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2026年06月26日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85,000,000.00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2024年09月13日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2025年09月05日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2024年08月07日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2025年02月05日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34,000,000.00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2024年02月20日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2025年02月18日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2024年02月23日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2025年02月21日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2024年04月10日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2025年04月09日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2024年05月11日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2025年05月09日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2024年05月24日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2025年05月23日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2024年03月21日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2025年03月21日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17,500,000.00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2024年09月09日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2025年03月09日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9,800,000.00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2024年11月20日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2025年05月20日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24,500,000.00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2024年12月24日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2025年06月24日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74,000,000.00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2024年11月04日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2025年05月04日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2024年12月10日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2025年06月09日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2024年12月27日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2025年06月25日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2024年11月01日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2025年10月31日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2024年11月01日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2025年10月31日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2024年06月07日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2025年06月06日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2024年07月11日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2025年07月07日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16,000,000.00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2024年08月09日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2025年02月04日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江苏华西集团有限公司</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50,000,000.00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2024年01月09日</w:t>
            </w: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2025年01月03日</w:t>
            </w: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否</w:t>
            </w:r>
          </w:p>
        </w:tc>
      </w:tr>
      <w:tr w:rsidR="00A95787">
        <w:trPr>
          <w:trHeight w:val="240"/>
        </w:trPr>
        <w:tc>
          <w:tcPr>
            <w:tcW w:w="23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合计</w:t>
            </w:r>
          </w:p>
        </w:tc>
        <w:tc>
          <w:tcPr>
            <w:tcW w:w="16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856,300,000.00</w:t>
            </w:r>
          </w:p>
        </w:tc>
        <w:tc>
          <w:tcPr>
            <w:tcW w:w="17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185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c>
          <w:tcPr>
            <w:tcW w:w="203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rPr>
                <w:rFonts w:ascii="宋体" w:eastAsia="宋体" w:hAnsi="宋体" w:cs="宋体"/>
                <w:sz w:val="18"/>
                <w:szCs w:val="18"/>
              </w:rPr>
            </w:pPr>
          </w:p>
        </w:tc>
      </w:tr>
    </w:tbl>
    <w:p w:rsidR="00A95787" w:rsidRDefault="005D3CC1">
      <w:pPr>
        <w:keepNext/>
        <w:keepLines/>
        <w:spacing w:before="300" w:after="300" w:line="280" w:lineRule="exact"/>
        <w:outlineLvl w:val="3"/>
        <w:rPr>
          <w:rFonts w:ascii="宋体" w:eastAsia="宋体" w:hAnsi="宋体" w:cs="宋体"/>
          <w:b/>
          <w:bCs/>
          <w:szCs w:val="21"/>
        </w:rPr>
      </w:pPr>
      <w:bookmarkStart w:id="354" w:name="_Toc989235"/>
      <w:r>
        <w:rPr>
          <w:rFonts w:ascii="宋体" w:eastAsia="宋体" w:hAnsi="宋体" w:cs="宋体"/>
          <w:b/>
          <w:bCs/>
          <w:szCs w:val="21"/>
        </w:rPr>
        <w:t>（4） 关键管理人员报酬</w:t>
      </w:r>
      <w:bookmarkEnd w:id="35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33"/>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3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2,722,200.00</w:t>
            </w:r>
          </w:p>
        </w:tc>
        <w:tc>
          <w:tcPr>
            <w:tcW w:w="333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2,920,700.00</w:t>
            </w:r>
          </w:p>
        </w:tc>
      </w:tr>
    </w:tbl>
    <w:p w:rsidR="00A95787" w:rsidRDefault="005D3CC1">
      <w:pPr>
        <w:keepNext/>
        <w:keepLines/>
        <w:spacing w:before="300" w:after="300" w:line="280" w:lineRule="exact"/>
        <w:outlineLvl w:val="3"/>
        <w:rPr>
          <w:rFonts w:ascii="宋体" w:eastAsia="宋体" w:hAnsi="宋体" w:cs="宋体"/>
          <w:b/>
          <w:bCs/>
          <w:szCs w:val="21"/>
        </w:rPr>
      </w:pPr>
      <w:bookmarkStart w:id="355" w:name="_Toc989236"/>
      <w:r>
        <w:rPr>
          <w:rFonts w:ascii="宋体" w:eastAsia="宋体" w:hAnsi="宋体" w:cs="宋体"/>
          <w:b/>
          <w:bCs/>
          <w:szCs w:val="21"/>
        </w:rPr>
        <w:lastRenderedPageBreak/>
        <w:t>（5） 关联方存款</w:t>
      </w:r>
      <w:bookmarkEnd w:id="355"/>
    </w:p>
    <w:tbl>
      <w:tblPr>
        <w:tblW w:w="4971" w:type="pct"/>
        <w:tblInd w:w="54" w:type="dxa"/>
        <w:tblCellMar>
          <w:left w:w="0" w:type="dxa"/>
          <w:right w:w="0" w:type="dxa"/>
        </w:tblCellMar>
        <w:tblLook w:val="04A0" w:firstRow="1" w:lastRow="0" w:firstColumn="1" w:lastColumn="0" w:noHBand="0" w:noVBand="1"/>
      </w:tblPr>
      <w:tblGrid>
        <w:gridCol w:w="1339"/>
        <w:gridCol w:w="2321"/>
        <w:gridCol w:w="1274"/>
        <w:gridCol w:w="1559"/>
        <w:gridCol w:w="1845"/>
        <w:gridCol w:w="1299"/>
      </w:tblGrid>
      <w:tr w:rsidR="00A95787">
        <w:trPr>
          <w:trHeight w:val="660"/>
          <w:tblHeader/>
        </w:trPr>
        <w:tc>
          <w:tcPr>
            <w:tcW w:w="69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20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66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c>
          <w:tcPr>
            <w:tcW w:w="80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本期借方</w:t>
            </w:r>
          </w:p>
        </w:tc>
        <w:tc>
          <w:tcPr>
            <w:tcW w:w="95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本期贷方</w:t>
            </w:r>
          </w:p>
        </w:tc>
        <w:tc>
          <w:tcPr>
            <w:tcW w:w="67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r>
      <w:tr w:rsidR="00A95787">
        <w:trPr>
          <w:trHeight w:val="345"/>
        </w:trPr>
        <w:tc>
          <w:tcPr>
            <w:tcW w:w="694"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货币资金</w:t>
            </w:r>
          </w:p>
        </w:tc>
        <w:tc>
          <w:tcPr>
            <w:tcW w:w="1203"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江苏华西集团财务有限公司</w:t>
            </w:r>
          </w:p>
        </w:tc>
        <w:tc>
          <w:tcPr>
            <w:tcW w:w="661"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c>
          <w:tcPr>
            <w:tcW w:w="809" w:type="pct"/>
            <w:tcBorders>
              <w:top w:val="nil"/>
              <w:left w:val="nil"/>
              <w:bottom w:val="single" w:sz="8" w:space="0" w:color="auto"/>
              <w:right w:val="single" w:sz="8" w:space="0" w:color="auto"/>
            </w:tcBorders>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1,132,868,504.94</w:t>
            </w:r>
          </w:p>
        </w:tc>
        <w:tc>
          <w:tcPr>
            <w:tcW w:w="956"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1,132,868,504.94</w:t>
            </w:r>
          </w:p>
        </w:tc>
        <w:tc>
          <w:tcPr>
            <w:tcW w:w="674"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A95787" w:rsidRDefault="005D3CC1">
            <w:pPr>
              <w:pStyle w:val="a6"/>
              <w:spacing w:before="0" w:beforeAutospacing="0" w:after="0" w:afterAutospacing="0" w:line="400" w:lineRule="atLeast"/>
              <w:jc w:val="center"/>
              <w:rPr>
                <w:rFonts w:ascii="Times New Roman" w:hAnsi="Times New Roman" w:cs="Times New Roman"/>
                <w:sz w:val="21"/>
                <w:szCs w:val="21"/>
              </w:rPr>
            </w:pPr>
            <w:r>
              <w:rPr>
                <w:rFonts w:ascii="Arial" w:hAnsi="Arial" w:cs="Arial"/>
                <w:sz w:val="18"/>
                <w:szCs w:val="18"/>
              </w:rPr>
              <w:t> </w:t>
            </w:r>
          </w:p>
        </w:tc>
      </w:tr>
    </w:tbl>
    <w:p w:rsidR="00A95787" w:rsidRDefault="005D3CC1">
      <w:pPr>
        <w:pStyle w:val="a6"/>
        <w:spacing w:before="0" w:beforeAutospacing="0" w:after="0" w:afterAutospacing="0" w:line="400" w:lineRule="atLeast"/>
        <w:ind w:firstLine="360"/>
        <w:jc w:val="both"/>
        <w:rPr>
          <w:rFonts w:ascii="Times New Roman" w:eastAsia="仿宋" w:hAnsi="Times New Roman" w:cs="Times New Roman"/>
          <w:sz w:val="21"/>
          <w:szCs w:val="21"/>
        </w:rPr>
      </w:pPr>
      <w:r>
        <w:rPr>
          <w:rFonts w:ascii="Arial" w:eastAsia="仿宋" w:hAnsi="Arial" w:cs="Arial"/>
          <w:sz w:val="18"/>
          <w:szCs w:val="18"/>
        </w:rPr>
        <w:t>2024</w:t>
      </w:r>
      <w:r>
        <w:rPr>
          <w:rFonts w:cs="Times New Roman" w:hint="eastAsia"/>
          <w:sz w:val="18"/>
          <w:szCs w:val="18"/>
        </w:rPr>
        <w:t>年度，公司收取在江苏华西集团财务有限公司的存款利息</w:t>
      </w:r>
      <w:r>
        <w:rPr>
          <w:rFonts w:ascii="Arial" w:eastAsia="仿宋" w:hAnsi="Arial" w:cs="Arial"/>
          <w:sz w:val="18"/>
          <w:szCs w:val="18"/>
        </w:rPr>
        <w:t>411,269.27</w:t>
      </w:r>
      <w:r>
        <w:rPr>
          <w:rFonts w:cs="Times New Roman" w:hint="eastAsia"/>
          <w:sz w:val="18"/>
          <w:szCs w:val="18"/>
        </w:rPr>
        <w:t>元。</w:t>
      </w:r>
    </w:p>
    <w:p w:rsidR="00A95787" w:rsidRDefault="005D3CC1">
      <w:pPr>
        <w:pStyle w:val="3"/>
        <w:spacing w:line="280" w:lineRule="exact"/>
        <w:jc w:val="left"/>
        <w:rPr>
          <w:rFonts w:ascii="宋体" w:hAnsi="宋体" w:cs="宋体"/>
          <w:b/>
          <w:bCs/>
        </w:rPr>
      </w:pPr>
      <w:bookmarkStart w:id="356" w:name="_Toc989237"/>
      <w:r>
        <w:rPr>
          <w:rFonts w:ascii="宋体" w:hAnsi="宋体" w:cs="宋体"/>
          <w:b/>
          <w:bCs/>
        </w:rPr>
        <w:t>6、关联方应收应付款项</w:t>
      </w:r>
      <w:bookmarkEnd w:id="356"/>
    </w:p>
    <w:p w:rsidR="00A95787" w:rsidRDefault="005D3CC1">
      <w:pPr>
        <w:keepNext/>
        <w:keepLines/>
        <w:spacing w:before="300" w:after="300" w:line="280" w:lineRule="exact"/>
        <w:outlineLvl w:val="3"/>
        <w:rPr>
          <w:rFonts w:ascii="宋体" w:eastAsia="宋体" w:hAnsi="宋体" w:cs="宋体"/>
          <w:b/>
          <w:bCs/>
          <w:szCs w:val="21"/>
        </w:rPr>
      </w:pPr>
      <w:bookmarkStart w:id="357" w:name="_Toc989238"/>
      <w:r>
        <w:rPr>
          <w:rFonts w:ascii="宋体" w:eastAsia="宋体" w:hAnsi="宋体" w:cs="宋体"/>
          <w:b/>
          <w:bCs/>
          <w:szCs w:val="21"/>
        </w:rPr>
        <w:t>（1） 应收项目</w:t>
      </w:r>
      <w:bookmarkEnd w:id="35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10"/>
        <w:gridCol w:w="2115"/>
        <w:gridCol w:w="1525"/>
        <w:gridCol w:w="1362"/>
        <w:gridCol w:w="1613"/>
        <w:gridCol w:w="1512"/>
      </w:tblGrid>
      <w:tr w:rsidR="00A95787">
        <w:trPr>
          <w:trHeight w:val="240"/>
        </w:trPr>
        <w:tc>
          <w:tcPr>
            <w:tcW w:w="15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项目名称</w:t>
            </w:r>
          </w:p>
        </w:tc>
        <w:tc>
          <w:tcPr>
            <w:tcW w:w="211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关联方</w:t>
            </w:r>
          </w:p>
        </w:tc>
        <w:tc>
          <w:tcPr>
            <w:tcW w:w="288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1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5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211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300" w:lineRule="exact"/>
            </w:pPr>
          </w:p>
        </w:tc>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16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5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r>
      <w:tr w:rsidR="00A95787">
        <w:trPr>
          <w:trHeight w:val="240"/>
        </w:trPr>
        <w:tc>
          <w:tcPr>
            <w:tcW w:w="15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应收账款</w:t>
            </w:r>
          </w:p>
        </w:tc>
        <w:tc>
          <w:tcPr>
            <w:tcW w:w="211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rPr>
                <w:rFonts w:ascii="宋体" w:eastAsia="宋体" w:hAnsi="宋体" w:cs="宋体"/>
                <w:sz w:val="18"/>
                <w:szCs w:val="18"/>
              </w:rPr>
            </w:pPr>
            <w:r>
              <w:rPr>
                <w:rFonts w:ascii="宋体" w:eastAsia="宋体" w:hAnsi="宋体" w:cs="宋体"/>
                <w:sz w:val="18"/>
                <w:szCs w:val="18"/>
              </w:rPr>
              <w:t>江阴华西船务有限公司</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3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300" w:lineRule="exact"/>
              <w:jc w:val="right"/>
              <w:rPr>
                <w:rFonts w:ascii="宋体" w:eastAsia="宋体" w:hAnsi="宋体" w:cs="宋体"/>
                <w:sz w:val="18"/>
                <w:szCs w:val="18"/>
              </w:rPr>
            </w:pPr>
          </w:p>
        </w:tc>
        <w:tc>
          <w:tcPr>
            <w:tcW w:w="16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10,690.60</w:t>
            </w:r>
          </w:p>
        </w:tc>
        <w:tc>
          <w:tcPr>
            <w:tcW w:w="15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534.53</w:t>
            </w:r>
          </w:p>
        </w:tc>
      </w:tr>
    </w:tbl>
    <w:p w:rsidR="00A95787" w:rsidRDefault="005D3CC1">
      <w:pPr>
        <w:pStyle w:val="2"/>
        <w:spacing w:before="300" w:after="300" w:line="320" w:lineRule="exact"/>
        <w:rPr>
          <w:rFonts w:ascii="宋体" w:eastAsia="宋体" w:hAnsi="宋体" w:cs="宋体"/>
          <w:b/>
          <w:bCs/>
          <w:sz w:val="24"/>
          <w:szCs w:val="24"/>
        </w:rPr>
      </w:pPr>
      <w:bookmarkStart w:id="358" w:name="_Toc989239"/>
      <w:r>
        <w:rPr>
          <w:rFonts w:ascii="宋体" w:eastAsia="宋体" w:hAnsi="宋体" w:cs="宋体"/>
          <w:b/>
          <w:bCs/>
          <w:sz w:val="24"/>
          <w:szCs w:val="24"/>
        </w:rPr>
        <w:t>十四、股份支付</w:t>
      </w:r>
      <w:bookmarkEnd w:id="358"/>
    </w:p>
    <w:p w:rsidR="00A95787" w:rsidRDefault="005D3CC1">
      <w:pPr>
        <w:pStyle w:val="3"/>
        <w:spacing w:line="280" w:lineRule="exact"/>
        <w:jc w:val="left"/>
        <w:rPr>
          <w:rFonts w:ascii="宋体" w:hAnsi="宋体" w:cs="宋体"/>
          <w:b/>
          <w:bCs/>
        </w:rPr>
      </w:pPr>
      <w:bookmarkStart w:id="359" w:name="_Toc989240"/>
      <w:r>
        <w:rPr>
          <w:rFonts w:ascii="宋体" w:hAnsi="宋体" w:cs="宋体"/>
          <w:b/>
          <w:bCs/>
        </w:rPr>
        <w:t>1、股份支付总体情况</w:t>
      </w:r>
      <w:bookmarkEnd w:id="359"/>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360" w:name="_Toc989241"/>
      <w:r>
        <w:rPr>
          <w:rFonts w:ascii="宋体" w:hAnsi="宋体" w:cs="宋体"/>
          <w:b/>
          <w:bCs/>
        </w:rPr>
        <w:t>2、以权益结算的股份支付情况</w:t>
      </w:r>
      <w:bookmarkEnd w:id="360"/>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361" w:name="_Toc989242"/>
      <w:r>
        <w:rPr>
          <w:rFonts w:ascii="宋体" w:hAnsi="宋体" w:cs="宋体"/>
          <w:b/>
          <w:bCs/>
        </w:rPr>
        <w:t>3、以现金结算的股份支付情况</w:t>
      </w:r>
      <w:bookmarkEnd w:id="361"/>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2"/>
        <w:spacing w:before="300" w:after="300" w:line="320" w:lineRule="exact"/>
        <w:rPr>
          <w:rFonts w:ascii="宋体" w:eastAsia="宋体" w:hAnsi="宋体" w:cs="宋体"/>
          <w:b/>
          <w:bCs/>
          <w:sz w:val="24"/>
          <w:szCs w:val="24"/>
        </w:rPr>
      </w:pPr>
      <w:bookmarkStart w:id="362" w:name="_Toc989243"/>
      <w:r>
        <w:rPr>
          <w:rFonts w:ascii="宋体" w:eastAsia="宋体" w:hAnsi="宋体" w:cs="宋体"/>
          <w:b/>
          <w:bCs/>
          <w:sz w:val="24"/>
          <w:szCs w:val="24"/>
        </w:rPr>
        <w:t>十五、承诺及或有事项</w:t>
      </w:r>
      <w:bookmarkEnd w:id="362"/>
    </w:p>
    <w:p w:rsidR="00A95787" w:rsidRDefault="005D3CC1">
      <w:pPr>
        <w:pStyle w:val="3"/>
        <w:spacing w:line="280" w:lineRule="exact"/>
        <w:jc w:val="left"/>
        <w:rPr>
          <w:rFonts w:ascii="宋体" w:hAnsi="宋体" w:cs="宋体"/>
          <w:b/>
          <w:bCs/>
        </w:rPr>
      </w:pPr>
      <w:bookmarkStart w:id="363" w:name="_Toc989244"/>
      <w:r>
        <w:rPr>
          <w:rFonts w:ascii="宋体" w:hAnsi="宋体" w:cs="宋体"/>
          <w:b/>
          <w:bCs/>
        </w:rPr>
        <w:t>1、重要承诺事项</w:t>
      </w:r>
      <w:bookmarkEnd w:id="36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资产负债表日存在的重要承诺</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截至</w:t>
      </w:r>
      <w:r>
        <w:rPr>
          <w:rFonts w:ascii="Arial" w:hAnsi="Arial" w:cs="Arial"/>
          <w:sz w:val="18"/>
          <w:szCs w:val="18"/>
        </w:rPr>
        <w:t>2024</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日，本公司无需要披露的重大承诺事项。</w:t>
      </w:r>
    </w:p>
    <w:p w:rsidR="00A95787" w:rsidRDefault="005D3CC1">
      <w:pPr>
        <w:pStyle w:val="3"/>
        <w:spacing w:line="280" w:lineRule="exact"/>
        <w:jc w:val="left"/>
        <w:rPr>
          <w:rFonts w:ascii="宋体" w:hAnsi="宋体" w:cs="宋体"/>
          <w:b/>
          <w:bCs/>
        </w:rPr>
      </w:pPr>
      <w:bookmarkStart w:id="364" w:name="_Toc989245"/>
      <w:r>
        <w:rPr>
          <w:rFonts w:ascii="宋体" w:hAnsi="宋体" w:cs="宋体"/>
          <w:b/>
          <w:bCs/>
        </w:rPr>
        <w:t>2、或有事项</w:t>
      </w:r>
      <w:bookmarkEnd w:id="364"/>
    </w:p>
    <w:p w:rsidR="00A95787" w:rsidRDefault="005D3CC1">
      <w:pPr>
        <w:keepNext/>
        <w:keepLines/>
        <w:spacing w:before="300" w:after="300" w:line="300" w:lineRule="exact"/>
        <w:outlineLvl w:val="3"/>
        <w:rPr>
          <w:rFonts w:ascii="宋体" w:eastAsia="宋体" w:hAnsi="宋体" w:cs="宋体"/>
          <w:b/>
          <w:bCs/>
          <w:szCs w:val="21"/>
        </w:rPr>
      </w:pPr>
      <w:bookmarkStart w:id="365" w:name="_Toc989246"/>
      <w:r>
        <w:rPr>
          <w:rFonts w:ascii="宋体" w:eastAsia="宋体" w:hAnsi="宋体" w:cs="宋体"/>
          <w:b/>
          <w:bCs/>
          <w:szCs w:val="21"/>
        </w:rPr>
        <w:t>（1） 资产负债表日存在的重要或有事项</w:t>
      </w:r>
      <w:bookmarkEnd w:id="365"/>
    </w:p>
    <w:p w:rsidR="00A95787" w:rsidRDefault="005D3CC1">
      <w:pPr>
        <w:pStyle w:val="a6"/>
        <w:spacing w:before="0" w:beforeAutospacing="0" w:after="0" w:afterAutospacing="0"/>
        <w:ind w:firstLine="363"/>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）为子公司提供担保：</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根据公司与郑州商品交易所、江阴华西化工码头有限公司签署的《担保合同》，公司对江阴华西化工码头有限公司因对二甲苯期货交割业务产生的一切债务和责任承担保证担保责任。</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lastRenderedPageBreak/>
        <w:t>根据公司向大连商品交易所出具的《担保函》，公司对江阴华西化工码头有限公司参与苯乙烯期货储存交割等相关业务所应承担的一切责任，承担全额连带担保责任。</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ascii="Arial" w:hAnsi="Arial" w:cs="Arial"/>
          <w:sz w:val="18"/>
          <w:szCs w:val="18"/>
        </w:rPr>
        <w:t>2024</w:t>
      </w:r>
      <w:r>
        <w:rPr>
          <w:rFonts w:cs="Times New Roman" w:hint="eastAsia"/>
          <w:sz w:val="18"/>
          <w:szCs w:val="18"/>
        </w:rPr>
        <w:t>年度，公司为江阴华西化工码头有限公司上述指定交割库业务提供担保发生额为</w:t>
      </w:r>
      <w:r>
        <w:rPr>
          <w:rFonts w:ascii="Arial" w:hAnsi="Arial" w:cs="Arial"/>
          <w:sz w:val="18"/>
          <w:szCs w:val="18"/>
        </w:rPr>
        <w:t>34,463.07</w:t>
      </w:r>
      <w:r>
        <w:rPr>
          <w:rFonts w:cs="Times New Roman" w:hint="eastAsia"/>
          <w:sz w:val="18"/>
          <w:szCs w:val="18"/>
        </w:rPr>
        <w:t>万元。截至报告期末，实际担保金额为零元。</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）公司为其他单位提供担保情况详</w:t>
      </w:r>
      <w:r>
        <w:rPr>
          <w:rFonts w:cs="Times New Roman" w:hint="eastAsia"/>
          <w:sz w:val="18"/>
          <w:szCs w:val="18"/>
          <w:shd w:val="clear" w:color="auto" w:fill="FFFFFF"/>
        </w:rPr>
        <w:t>见附注十三、</w:t>
      </w:r>
      <w:r>
        <w:rPr>
          <w:rFonts w:ascii="Arial" w:hAnsi="Arial" w:cs="Arial"/>
          <w:sz w:val="18"/>
          <w:szCs w:val="18"/>
          <w:shd w:val="clear" w:color="auto" w:fill="FFFFFF"/>
        </w:rPr>
        <w:t>5</w:t>
      </w:r>
      <w:r>
        <w:rPr>
          <w:rFonts w:cs="Times New Roman" w:hint="eastAsia"/>
          <w:sz w:val="18"/>
          <w:szCs w:val="18"/>
          <w:shd w:val="clear" w:color="auto" w:fill="FFFFFF"/>
        </w:rPr>
        <w:t>、（</w:t>
      </w:r>
      <w:r>
        <w:rPr>
          <w:rFonts w:ascii="Arial" w:hAnsi="Arial" w:cs="Arial"/>
          <w:sz w:val="18"/>
          <w:szCs w:val="18"/>
          <w:shd w:val="clear" w:color="auto" w:fill="FFFFFF"/>
        </w:rPr>
        <w:t>3</w:t>
      </w:r>
      <w:r>
        <w:rPr>
          <w:rFonts w:cs="Times New Roman" w:hint="eastAsia"/>
          <w:sz w:val="18"/>
          <w:szCs w:val="18"/>
          <w:shd w:val="clear" w:color="auto" w:fill="FFFFFF"/>
        </w:rPr>
        <w:t>）本公司作为担保方的关联担保情况。</w:t>
      </w:r>
    </w:p>
    <w:p w:rsidR="00A95787" w:rsidRDefault="005D3CC1">
      <w:pPr>
        <w:keepNext/>
        <w:keepLines/>
        <w:spacing w:before="300" w:after="300" w:line="280" w:lineRule="exact"/>
        <w:outlineLvl w:val="3"/>
        <w:rPr>
          <w:rFonts w:ascii="宋体" w:eastAsia="宋体" w:hAnsi="宋体" w:cs="宋体"/>
          <w:b/>
          <w:bCs/>
          <w:szCs w:val="21"/>
        </w:rPr>
      </w:pPr>
      <w:bookmarkStart w:id="366" w:name="_Toc989247"/>
      <w:r>
        <w:rPr>
          <w:rFonts w:ascii="宋体" w:eastAsia="宋体" w:hAnsi="宋体" w:cs="宋体"/>
          <w:b/>
          <w:bCs/>
          <w:szCs w:val="21"/>
        </w:rPr>
        <w:t>（2） 公司没有需要披露的重要或有事项，也应予以说明</w:t>
      </w:r>
      <w:bookmarkEnd w:id="36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A95787" w:rsidRDefault="005D3CC1">
      <w:pPr>
        <w:pStyle w:val="2"/>
        <w:spacing w:before="300" w:after="300" w:line="320" w:lineRule="exact"/>
        <w:rPr>
          <w:rFonts w:ascii="宋体" w:eastAsia="宋体" w:hAnsi="宋体" w:cs="宋体"/>
          <w:b/>
          <w:bCs/>
          <w:sz w:val="24"/>
          <w:szCs w:val="24"/>
        </w:rPr>
      </w:pPr>
      <w:bookmarkStart w:id="367" w:name="_Toc989248"/>
      <w:r>
        <w:rPr>
          <w:rFonts w:ascii="宋体" w:eastAsia="宋体" w:hAnsi="宋体" w:cs="宋体"/>
          <w:b/>
          <w:bCs/>
          <w:sz w:val="24"/>
          <w:szCs w:val="24"/>
        </w:rPr>
        <w:t>十六、资产负债表日后事项</w:t>
      </w:r>
      <w:bookmarkEnd w:id="367"/>
    </w:p>
    <w:p w:rsidR="00A95787" w:rsidRDefault="005D3CC1">
      <w:pPr>
        <w:pStyle w:val="3"/>
        <w:spacing w:line="280" w:lineRule="exact"/>
        <w:jc w:val="left"/>
        <w:rPr>
          <w:rFonts w:ascii="宋体" w:hAnsi="宋体" w:cs="宋体"/>
          <w:b/>
          <w:bCs/>
        </w:rPr>
      </w:pPr>
      <w:bookmarkStart w:id="368" w:name="_Toc989249"/>
      <w:r>
        <w:rPr>
          <w:rFonts w:ascii="宋体" w:hAnsi="宋体" w:cs="宋体"/>
          <w:b/>
          <w:bCs/>
        </w:rPr>
        <w:t>1、利润分配情况</w:t>
      </w:r>
      <w:bookmarkEnd w:id="368"/>
    </w:p>
    <w:tbl>
      <w:tblPr>
        <w:tblW w:w="967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64"/>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拟分配每10股派息数（元）</w:t>
            </w:r>
          </w:p>
        </w:tc>
        <w:tc>
          <w:tcPr>
            <w:tcW w:w="4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0.20</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拟分配每10股分红股（股）</w:t>
            </w:r>
          </w:p>
        </w:tc>
        <w:tc>
          <w:tcPr>
            <w:tcW w:w="4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拟分配每10股转增数（股）</w:t>
            </w:r>
          </w:p>
        </w:tc>
        <w:tc>
          <w:tcPr>
            <w:tcW w:w="4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300" w:lineRule="exact"/>
              <w:rPr>
                <w:rFonts w:ascii="宋体" w:eastAsia="宋体" w:hAnsi="宋体" w:cs="宋体"/>
                <w:sz w:val="18"/>
                <w:szCs w:val="18"/>
              </w:rPr>
            </w:pPr>
            <w:r>
              <w:rPr>
                <w:rFonts w:ascii="宋体" w:eastAsia="宋体" w:hAnsi="宋体" w:cs="宋体"/>
                <w:sz w:val="18"/>
                <w:szCs w:val="18"/>
              </w:rPr>
              <w:t>利润分配方案</w:t>
            </w:r>
          </w:p>
        </w:tc>
        <w:tc>
          <w:tcPr>
            <w:tcW w:w="4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300" w:lineRule="exact"/>
              <w:jc w:val="both"/>
              <w:rPr>
                <w:rFonts w:ascii="宋体" w:eastAsia="宋体" w:hAnsi="宋体" w:cs="宋体"/>
                <w:sz w:val="18"/>
                <w:szCs w:val="18"/>
              </w:rPr>
            </w:pPr>
            <w:r>
              <w:rPr>
                <w:rFonts w:ascii="宋体" w:eastAsia="宋体" w:hAnsi="宋体" w:cs="宋体"/>
                <w:sz w:val="18"/>
                <w:szCs w:val="18"/>
              </w:rPr>
              <w:t>根据公司第九届董事会第七次会议审议通过的《关于2024年度利润分配方案的议案》，公司2024年度利润分配方案为：以2024年12月31日的总股本886,012,887股为基数，向全体股东每10股派发现金红利0.20元（含税），共计派发现金红利总额为17,720,257.74元（含税）。本次分配公司不送红股也不进行资本公积金转增股本。上述分配方案尚需公司股东会批准。</w:t>
            </w:r>
          </w:p>
        </w:tc>
      </w:tr>
    </w:tbl>
    <w:p w:rsidR="00A95787" w:rsidRDefault="005D3CC1">
      <w:pPr>
        <w:pStyle w:val="3"/>
        <w:spacing w:line="280" w:lineRule="exact"/>
        <w:jc w:val="left"/>
        <w:rPr>
          <w:rFonts w:ascii="宋体" w:hAnsi="宋体" w:cs="宋体"/>
          <w:b/>
          <w:bCs/>
        </w:rPr>
      </w:pPr>
      <w:bookmarkStart w:id="369" w:name="_Toc989250"/>
      <w:r>
        <w:rPr>
          <w:rFonts w:ascii="宋体" w:hAnsi="宋体" w:cs="宋体"/>
          <w:b/>
          <w:bCs/>
        </w:rPr>
        <w:t>2、其他资产负债表日后事项说明</w:t>
      </w:r>
      <w:bookmarkEnd w:id="369"/>
    </w:p>
    <w:p w:rsidR="00A95787" w:rsidRDefault="005D3CC1">
      <w:pPr>
        <w:pStyle w:val="a6"/>
        <w:spacing w:before="0" w:beforeAutospacing="0" w:after="0" w:afterAutospacing="0"/>
        <w:ind w:firstLine="420"/>
        <w:jc w:val="both"/>
        <w:rPr>
          <w:rFonts w:ascii="Times New Roman" w:hAnsi="Times New Roman" w:cs="Times New Roman"/>
          <w:sz w:val="21"/>
          <w:szCs w:val="21"/>
        </w:rPr>
      </w:pPr>
      <w:r>
        <w:rPr>
          <w:rFonts w:cs="Times New Roman" w:hint="eastAsia"/>
          <w:sz w:val="18"/>
          <w:szCs w:val="18"/>
        </w:rPr>
        <w:t>转让参股公司部分股份终止事项：</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sz w:val="18"/>
          <w:szCs w:val="18"/>
        </w:rPr>
        <w:t>报告期内，公司第九届董事会第三次会议、</w:t>
      </w:r>
      <w:r>
        <w:rPr>
          <w:rFonts w:ascii="Arial" w:hAnsi="Arial" w:cs="Arial"/>
          <w:sz w:val="18"/>
          <w:szCs w:val="18"/>
        </w:rPr>
        <w:t>2024</w:t>
      </w:r>
      <w:r>
        <w:rPr>
          <w:rFonts w:cs="Times New Roman" w:hint="eastAsia"/>
          <w:sz w:val="18"/>
          <w:szCs w:val="18"/>
        </w:rPr>
        <w:t>年第一次临时股东大会审议通过了《关于转让参股公司部分股份的议案》，公司控制主体上海启澜企业管理咨询合伙企业（有限合伙）（以下简称“上海启澜”）与北京万通新发展集团股份有限公司（以下简称“万通发展”）签署了《关于</w:t>
      </w:r>
      <w:r>
        <w:rPr>
          <w:rFonts w:ascii="Arial" w:hAnsi="Arial" w:cs="Arial"/>
          <w:sz w:val="18"/>
          <w:szCs w:val="18"/>
        </w:rPr>
        <w:t xml:space="preserve"> Source Photonics Holdings (Cayman) Limited </w:t>
      </w:r>
      <w:r>
        <w:rPr>
          <w:rFonts w:cs="Times New Roman" w:hint="eastAsia"/>
          <w:sz w:val="18"/>
          <w:szCs w:val="18"/>
        </w:rPr>
        <w:t>之股份转让协议》，上海启澜拟将其持有</w:t>
      </w:r>
      <w:r>
        <w:rPr>
          <w:rFonts w:ascii="Arial" w:hAnsi="Arial" w:cs="Arial"/>
          <w:sz w:val="18"/>
          <w:szCs w:val="18"/>
        </w:rPr>
        <w:t>556.03</w:t>
      </w:r>
      <w:r>
        <w:rPr>
          <w:rFonts w:cs="Times New Roman" w:hint="eastAsia"/>
          <w:sz w:val="18"/>
          <w:szCs w:val="18"/>
        </w:rPr>
        <w:t>万股</w:t>
      </w:r>
      <w:r>
        <w:rPr>
          <w:rFonts w:ascii="Arial" w:hAnsi="Arial" w:cs="Arial"/>
          <w:sz w:val="18"/>
          <w:szCs w:val="18"/>
        </w:rPr>
        <w:t>Source Photonics Holdings (Cayman) Limited</w:t>
      </w:r>
      <w:r>
        <w:rPr>
          <w:rFonts w:cs="Times New Roman" w:hint="eastAsia"/>
          <w:sz w:val="18"/>
          <w:szCs w:val="18"/>
        </w:rPr>
        <w:t>（以下简称“索尔思光电”）股份以及通过</w:t>
      </w:r>
      <w:r>
        <w:rPr>
          <w:rFonts w:ascii="Arial" w:hAnsi="Arial" w:cs="Arial"/>
          <w:sz w:val="18"/>
          <w:szCs w:val="18"/>
        </w:rPr>
        <w:t xml:space="preserve"> Diamond Hill, L.P.</w:t>
      </w:r>
      <w:r>
        <w:rPr>
          <w:rFonts w:cs="Times New Roman" w:hint="eastAsia"/>
          <w:sz w:val="18"/>
          <w:szCs w:val="18"/>
        </w:rPr>
        <w:t>持有的</w:t>
      </w:r>
      <w:r>
        <w:rPr>
          <w:rFonts w:ascii="Arial" w:hAnsi="Arial" w:cs="Arial"/>
          <w:sz w:val="18"/>
          <w:szCs w:val="18"/>
        </w:rPr>
        <w:t>2,959.25</w:t>
      </w:r>
      <w:r>
        <w:rPr>
          <w:rFonts w:cs="Times New Roman" w:hint="eastAsia"/>
          <w:sz w:val="18"/>
          <w:szCs w:val="18"/>
        </w:rPr>
        <w:t>万股索尔思光电股份转让给万通发展，合计转让</w:t>
      </w:r>
      <w:r>
        <w:rPr>
          <w:rFonts w:ascii="Arial" w:hAnsi="Arial" w:cs="Arial"/>
          <w:sz w:val="18"/>
          <w:szCs w:val="18"/>
        </w:rPr>
        <w:t>3,515.28</w:t>
      </w:r>
      <w:r>
        <w:rPr>
          <w:rFonts w:cs="Times New Roman" w:hint="eastAsia"/>
          <w:sz w:val="18"/>
          <w:szCs w:val="18"/>
        </w:rPr>
        <w:t>万股索尔思光电股份，转让总价款为</w:t>
      </w:r>
      <w:r>
        <w:rPr>
          <w:rFonts w:ascii="Arial" w:hAnsi="Arial" w:cs="Arial"/>
          <w:sz w:val="18"/>
          <w:szCs w:val="18"/>
        </w:rPr>
        <w:t>9,202.66</w:t>
      </w:r>
      <w:r>
        <w:rPr>
          <w:rFonts w:cs="Times New Roman" w:hint="eastAsia"/>
          <w:sz w:val="18"/>
          <w:szCs w:val="18"/>
        </w:rPr>
        <w:t>万美元。</w:t>
      </w:r>
    </w:p>
    <w:p w:rsidR="00A95787" w:rsidRDefault="005D3CC1">
      <w:pPr>
        <w:pStyle w:val="a6"/>
        <w:spacing w:before="0" w:beforeAutospacing="0" w:after="0" w:afterAutospacing="0" w:line="400" w:lineRule="atLeast"/>
        <w:ind w:firstLine="360"/>
        <w:jc w:val="both"/>
        <w:rPr>
          <w:rFonts w:ascii="Times New Roman" w:hAnsi="Times New Roman" w:cs="Times New Roman"/>
          <w:sz w:val="21"/>
          <w:szCs w:val="21"/>
        </w:rPr>
      </w:pPr>
      <w:r>
        <w:rPr>
          <w:rFonts w:ascii="Arial" w:hAnsi="Arial" w:cs="Arial"/>
          <w:sz w:val="18"/>
          <w:szCs w:val="18"/>
        </w:rPr>
        <w:t>2025</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24</w:t>
      </w:r>
      <w:r>
        <w:rPr>
          <w:rFonts w:cs="Times New Roman" w:hint="eastAsia"/>
          <w:sz w:val="18"/>
          <w:szCs w:val="18"/>
        </w:rPr>
        <w:t>日，公司转让索尔思光电部分股份事项终止。</w:t>
      </w:r>
    </w:p>
    <w:p w:rsidR="00A95787" w:rsidRDefault="005D3CC1">
      <w:pPr>
        <w:pStyle w:val="2"/>
        <w:spacing w:before="300" w:after="300" w:line="320" w:lineRule="exact"/>
        <w:rPr>
          <w:rFonts w:ascii="宋体" w:eastAsia="宋体" w:hAnsi="宋体" w:cs="宋体"/>
          <w:b/>
          <w:bCs/>
          <w:sz w:val="24"/>
          <w:szCs w:val="24"/>
        </w:rPr>
      </w:pPr>
      <w:bookmarkStart w:id="370" w:name="_Toc989251"/>
      <w:r>
        <w:rPr>
          <w:rFonts w:ascii="宋体" w:eastAsia="宋体" w:hAnsi="宋体" w:cs="宋体"/>
          <w:b/>
          <w:bCs/>
          <w:sz w:val="24"/>
          <w:szCs w:val="24"/>
        </w:rPr>
        <w:t>十七、其他重要事项</w:t>
      </w:r>
      <w:bookmarkEnd w:id="370"/>
    </w:p>
    <w:p w:rsidR="00A95787" w:rsidRDefault="005D3CC1">
      <w:pPr>
        <w:pStyle w:val="3"/>
        <w:spacing w:line="280" w:lineRule="exact"/>
        <w:jc w:val="left"/>
        <w:rPr>
          <w:rFonts w:ascii="宋体" w:hAnsi="宋体" w:cs="宋体"/>
          <w:b/>
          <w:bCs/>
        </w:rPr>
      </w:pPr>
      <w:bookmarkStart w:id="371" w:name="_Toc989252"/>
      <w:r>
        <w:rPr>
          <w:rFonts w:ascii="宋体" w:hAnsi="宋体" w:cs="宋体"/>
          <w:b/>
          <w:bCs/>
        </w:rPr>
        <w:t>1、其他</w:t>
      </w:r>
      <w:bookmarkEnd w:id="371"/>
    </w:p>
    <w:p w:rsidR="00A95787" w:rsidRDefault="005D3CC1">
      <w:pPr>
        <w:pStyle w:val="a6"/>
        <w:spacing w:before="0" w:beforeAutospacing="0" w:after="0" w:afterAutospacing="0"/>
        <w:ind w:firstLine="482"/>
        <w:rPr>
          <w:rFonts w:ascii="Times New Roman" w:hAnsi="Times New Roman" w:cs="Times New Roman"/>
          <w:sz w:val="21"/>
          <w:szCs w:val="21"/>
        </w:rPr>
      </w:pPr>
      <w:r>
        <w:rPr>
          <w:rFonts w:cs="Times New Roman" w:hint="eastAsia"/>
          <w:sz w:val="18"/>
          <w:szCs w:val="18"/>
        </w:rPr>
        <w:t>本报告期无需要披露的其他重要事项。</w:t>
      </w:r>
    </w:p>
    <w:p w:rsidR="00A95787" w:rsidRDefault="005D3CC1">
      <w:pPr>
        <w:pStyle w:val="2"/>
        <w:spacing w:before="300" w:after="300" w:line="320" w:lineRule="exact"/>
        <w:rPr>
          <w:rFonts w:ascii="宋体" w:eastAsia="宋体" w:hAnsi="宋体" w:cs="宋体"/>
          <w:b/>
          <w:bCs/>
          <w:sz w:val="24"/>
          <w:szCs w:val="24"/>
        </w:rPr>
      </w:pPr>
      <w:bookmarkStart w:id="372" w:name="_Toc989253"/>
      <w:r>
        <w:rPr>
          <w:rFonts w:ascii="宋体" w:eastAsia="宋体" w:hAnsi="宋体" w:cs="宋体"/>
          <w:b/>
          <w:bCs/>
          <w:sz w:val="24"/>
          <w:szCs w:val="24"/>
        </w:rPr>
        <w:lastRenderedPageBreak/>
        <w:t>十八、母公司财务报表主要项目注释</w:t>
      </w:r>
      <w:bookmarkEnd w:id="372"/>
    </w:p>
    <w:p w:rsidR="00A95787" w:rsidRDefault="005D3CC1">
      <w:pPr>
        <w:pStyle w:val="3"/>
        <w:spacing w:line="280" w:lineRule="exact"/>
        <w:jc w:val="left"/>
        <w:rPr>
          <w:rFonts w:ascii="宋体" w:hAnsi="宋体" w:cs="宋体"/>
          <w:b/>
          <w:bCs/>
        </w:rPr>
      </w:pPr>
      <w:bookmarkStart w:id="373" w:name="_Toc989254"/>
      <w:r>
        <w:rPr>
          <w:rFonts w:ascii="宋体" w:hAnsi="宋体" w:cs="宋体"/>
          <w:b/>
          <w:bCs/>
        </w:rPr>
        <w:t>1、应收账款</w:t>
      </w:r>
      <w:bookmarkEnd w:id="373"/>
    </w:p>
    <w:p w:rsidR="00A95787" w:rsidRDefault="005D3CC1">
      <w:pPr>
        <w:keepNext/>
        <w:keepLines/>
        <w:spacing w:before="300" w:after="300" w:line="280" w:lineRule="exact"/>
        <w:outlineLvl w:val="3"/>
        <w:rPr>
          <w:rFonts w:ascii="宋体" w:eastAsia="宋体" w:hAnsi="宋体" w:cs="宋体"/>
          <w:b/>
          <w:bCs/>
          <w:szCs w:val="21"/>
        </w:rPr>
      </w:pPr>
      <w:bookmarkStart w:id="374" w:name="_Toc989255"/>
      <w:r>
        <w:rPr>
          <w:rFonts w:ascii="宋体" w:eastAsia="宋体" w:hAnsi="宋体" w:cs="宋体"/>
          <w:b/>
          <w:bCs/>
          <w:szCs w:val="21"/>
        </w:rPr>
        <w:t>（1） 按账龄披露</w:t>
      </w:r>
      <w:bookmarkEnd w:id="374"/>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1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296"/>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9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105,432,186.08</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100,822,383.86</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105,432,186.08</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100,822,383.86</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14,021,301.28</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5,017,334.06</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2,538,245.84</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4,697.60</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1,015,414.11</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5,553,498.94</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10,302.78</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1,015,414.11</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5,541,656.25</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329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111,397,914.46</w:t>
            </w:r>
          </w:p>
        </w:tc>
      </w:tr>
    </w:tbl>
    <w:p w:rsidR="00A95787" w:rsidRDefault="005D3CC1">
      <w:pPr>
        <w:keepNext/>
        <w:keepLines/>
        <w:spacing w:before="300" w:after="300" w:line="280" w:lineRule="exact"/>
        <w:outlineLvl w:val="3"/>
        <w:rPr>
          <w:rFonts w:ascii="宋体" w:eastAsia="宋体" w:hAnsi="宋体" w:cs="宋体"/>
          <w:b/>
          <w:bCs/>
          <w:szCs w:val="21"/>
        </w:rPr>
      </w:pPr>
      <w:bookmarkStart w:id="375" w:name="_Toc989256"/>
      <w:r>
        <w:rPr>
          <w:rFonts w:ascii="宋体" w:eastAsia="宋体" w:hAnsi="宋体" w:cs="宋体"/>
          <w:b/>
          <w:bCs/>
          <w:szCs w:val="21"/>
        </w:rPr>
        <w:t>（2） 按坏账计提方法分类披露</w:t>
      </w:r>
      <w:bookmarkEnd w:id="37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0"/>
        <w:gridCol w:w="775"/>
        <w:gridCol w:w="925"/>
        <w:gridCol w:w="887"/>
        <w:gridCol w:w="788"/>
        <w:gridCol w:w="875"/>
        <w:gridCol w:w="912"/>
        <w:gridCol w:w="900"/>
        <w:gridCol w:w="863"/>
        <w:gridCol w:w="800"/>
        <w:gridCol w:w="850"/>
      </w:tblGrid>
      <w:tr w:rsidR="00A95787">
        <w:trPr>
          <w:trHeight w:val="240"/>
        </w:trPr>
        <w:tc>
          <w:tcPr>
            <w:tcW w:w="10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25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25"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0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70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价值</w:t>
            </w:r>
          </w:p>
        </w:tc>
        <w:tc>
          <w:tcPr>
            <w:tcW w:w="181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价值</w:t>
            </w:r>
          </w:p>
        </w:tc>
      </w:tr>
      <w:tr w:rsidR="00A95787">
        <w:trPr>
          <w:trHeight w:val="240"/>
        </w:trPr>
        <w:tc>
          <w:tcPr>
            <w:tcW w:w="10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114,556,520.02</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100,357,653.36</w:t>
            </w:r>
          </w:p>
        </w:tc>
      </w:tr>
      <w:tr w:rsidR="00A95787">
        <w:trPr>
          <w:trHeight w:val="240"/>
        </w:trPr>
        <w:tc>
          <w:tcPr>
            <w:tcW w:w="1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7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0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114,556,520.02</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110,304,530.22</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99.02%</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10.01%</w:t>
            </w: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99,264,269.12</w:t>
            </w:r>
          </w:p>
        </w:tc>
      </w:tr>
      <w:tr w:rsidR="00A95787">
        <w:trPr>
          <w:trHeight w:val="240"/>
        </w:trPr>
        <w:tc>
          <w:tcPr>
            <w:tcW w:w="10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合并范围内关联方组合</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1,093,384.24</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1,093,384.24</w:t>
            </w:r>
          </w:p>
        </w:tc>
      </w:tr>
      <w:tr w:rsidR="00A95787">
        <w:trPr>
          <w:trHeight w:val="240"/>
        </w:trPr>
        <w:tc>
          <w:tcPr>
            <w:tcW w:w="10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7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w:t>
            </w:r>
          </w:p>
        </w:tc>
        <w:tc>
          <w:tcPr>
            <w:tcW w:w="8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114,556,520.02</w:t>
            </w:r>
          </w:p>
        </w:tc>
        <w:tc>
          <w:tcPr>
            <w:tcW w:w="9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9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100,357,653.36</w:t>
            </w:r>
          </w:p>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按组合计提坏账准备：8,450,627.29元</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12"/>
        <w:gridCol w:w="2410"/>
        <w:gridCol w:w="2410"/>
        <w:gridCol w:w="2505"/>
      </w:tblGrid>
      <w:tr w:rsidR="00A95787">
        <w:trPr>
          <w:trHeight w:val="240"/>
        </w:trPr>
        <w:tc>
          <w:tcPr>
            <w:tcW w:w="23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32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3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50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123,007,147.31</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c>
          <w:tcPr>
            <w:tcW w:w="250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6.87%</w:t>
            </w:r>
          </w:p>
        </w:tc>
      </w:tr>
    </w:tbl>
    <w:p w:rsidR="009645EF" w:rsidRDefault="009645EF">
      <w:pPr>
        <w:spacing w:before="100" w:after="100" w:line="240" w:lineRule="exact"/>
        <w:rPr>
          <w:rFonts w:ascii="宋体" w:eastAsia="宋体" w:hAnsi="宋体" w:cs="宋体"/>
          <w:sz w:val="18"/>
          <w:szCs w:val="18"/>
        </w:rPr>
      </w:pPr>
    </w:p>
    <w:p w:rsidR="009645EF" w:rsidRDefault="009645EF">
      <w:pPr>
        <w:spacing w:before="100" w:after="100" w:line="240" w:lineRule="exact"/>
        <w:rPr>
          <w:rFonts w:ascii="宋体" w:eastAsia="宋体" w:hAnsi="宋体" w:cs="宋体"/>
          <w:sz w:val="18"/>
          <w:szCs w:val="18"/>
        </w:rPr>
      </w:pP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确定该组合依据的说明：</w:t>
      </w:r>
    </w:p>
    <w:p w:rsidR="00A95787" w:rsidRDefault="005D3CC1">
      <w:pPr>
        <w:pStyle w:val="a6"/>
        <w:rPr>
          <w:sz w:val="18"/>
          <w:szCs w:val="18"/>
        </w:rPr>
      </w:pPr>
      <w:r>
        <w:rPr>
          <w:rFonts w:hint="eastAsia"/>
          <w:sz w:val="18"/>
          <w:szCs w:val="18"/>
        </w:rPr>
        <w:t>   参考历史信用损失经验，结合当前状况以及对未来经济账龄组合。本组合以应收款项的账龄作为信用风险特征状况的预测，编制应收款项账龄与预期信用损失率对照表，计算预期信用损失。</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Cs w:val="21"/>
        </w:rPr>
      </w:pPr>
      <w:bookmarkStart w:id="376" w:name="_Toc989257"/>
      <w:r>
        <w:rPr>
          <w:rFonts w:ascii="宋体" w:eastAsia="宋体" w:hAnsi="宋体" w:cs="宋体"/>
          <w:b/>
          <w:bCs/>
          <w:szCs w:val="21"/>
        </w:rPr>
        <w:t>（3） 本期计提、收回或转回的坏账准备情况</w:t>
      </w:r>
      <w:bookmarkEnd w:id="37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2"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482"/>
        <w:gridCol w:w="1388"/>
        <w:gridCol w:w="1261"/>
        <w:gridCol w:w="1377"/>
        <w:gridCol w:w="1377"/>
        <w:gridCol w:w="1497"/>
      </w:tblGrid>
      <w:tr w:rsidR="00A95787">
        <w:trPr>
          <w:trHeight w:val="240"/>
        </w:trPr>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48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4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365"/>
        </w:trPr>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48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3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6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9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28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1,966,994.80</w:t>
            </w:r>
          </w:p>
        </w:tc>
        <w:tc>
          <w:tcPr>
            <w:tcW w:w="126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4,556,628.61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8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138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1,966,994.80</w:t>
            </w:r>
          </w:p>
        </w:tc>
        <w:tc>
          <w:tcPr>
            <w:tcW w:w="126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4,556,628.61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8,450,627.29</w:t>
            </w:r>
          </w:p>
        </w:tc>
      </w:tr>
    </w:tbl>
    <w:p w:rsidR="00A95787" w:rsidRDefault="005D3CC1">
      <w:pPr>
        <w:keepNext/>
        <w:keepLines/>
        <w:spacing w:before="300" w:after="300" w:line="280" w:lineRule="exact"/>
        <w:outlineLvl w:val="3"/>
        <w:rPr>
          <w:rFonts w:ascii="宋体" w:eastAsia="宋体" w:hAnsi="宋体" w:cs="宋体"/>
          <w:b/>
          <w:bCs/>
          <w:szCs w:val="21"/>
        </w:rPr>
      </w:pPr>
      <w:bookmarkStart w:id="377" w:name="_Toc989258"/>
      <w:r>
        <w:rPr>
          <w:rFonts w:ascii="宋体" w:eastAsia="宋体" w:hAnsi="宋体" w:cs="宋体"/>
          <w:b/>
          <w:bCs/>
          <w:szCs w:val="21"/>
        </w:rPr>
        <w:t>（4） 本期实际核销的应收账款情况</w:t>
      </w:r>
      <w:bookmarkEnd w:id="37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00"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36"/>
        <w:gridCol w:w="4964"/>
      </w:tblGrid>
      <w:tr w:rsidR="00A95787">
        <w:trPr>
          <w:trHeight w:val="240"/>
        </w:trPr>
        <w:tc>
          <w:tcPr>
            <w:tcW w:w="47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96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A95787">
        <w:trPr>
          <w:trHeight w:val="240"/>
        </w:trPr>
        <w:tc>
          <w:tcPr>
            <w:tcW w:w="473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96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4,556,628.61</w:t>
            </w:r>
          </w:p>
        </w:tc>
      </w:tr>
    </w:tbl>
    <w:p w:rsidR="00A95787" w:rsidRDefault="005D3CC1">
      <w:pPr>
        <w:keepNext/>
        <w:keepLines/>
        <w:spacing w:before="300" w:after="300" w:line="280" w:lineRule="exact"/>
        <w:outlineLvl w:val="3"/>
        <w:rPr>
          <w:rFonts w:ascii="宋体" w:eastAsia="宋体" w:hAnsi="宋体" w:cs="宋体"/>
          <w:b/>
          <w:bCs/>
          <w:szCs w:val="21"/>
        </w:rPr>
      </w:pPr>
      <w:bookmarkStart w:id="378" w:name="_Toc989259"/>
      <w:r>
        <w:rPr>
          <w:rFonts w:ascii="宋体" w:eastAsia="宋体" w:hAnsi="宋体" w:cs="宋体"/>
          <w:b/>
          <w:bCs/>
          <w:szCs w:val="21"/>
        </w:rPr>
        <w:t>（5） 按欠款方归集的期末余额前五名的应收账款和合同资产情况</w:t>
      </w:r>
      <w:bookmarkEnd w:id="37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00" w:type="dxa"/>
        <w:tblInd w:w="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22"/>
        <w:gridCol w:w="1606"/>
        <w:gridCol w:w="1606"/>
        <w:gridCol w:w="1607"/>
        <w:gridCol w:w="1607"/>
        <w:gridCol w:w="1752"/>
      </w:tblGrid>
      <w:tr w:rsidR="00A95787">
        <w:trPr>
          <w:trHeight w:val="240"/>
        </w:trPr>
        <w:tc>
          <w:tcPr>
            <w:tcW w:w="152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7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19,578,237.67</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19,578,237.67</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15.92%</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978,911.88</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15.02%</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2,101,232.26</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17,113,423.88</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17,113,423.88</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13.91%</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855,671.19</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15,156,128.95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15,156,128.95</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12.32%</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757,806.45</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12,221,757.22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12,221,757.22</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9.94%</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611,087.86</w:t>
            </w:r>
          </w:p>
        </w:tc>
      </w:tr>
      <w:tr w:rsidR="00A95787">
        <w:trPr>
          <w:trHeight w:val="240"/>
        </w:trPr>
        <w:tc>
          <w:tcPr>
            <w:tcW w:w="152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82,551,335.78</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82,551,335.78</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67.11%</w:t>
            </w:r>
          </w:p>
        </w:tc>
        <w:tc>
          <w:tcPr>
            <w:tcW w:w="17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5,304,709.64</w:t>
            </w:r>
          </w:p>
        </w:tc>
      </w:tr>
    </w:tbl>
    <w:p w:rsidR="00A95787" w:rsidRDefault="005D3CC1">
      <w:pPr>
        <w:pStyle w:val="3"/>
        <w:spacing w:line="280" w:lineRule="exact"/>
        <w:jc w:val="left"/>
        <w:rPr>
          <w:rFonts w:ascii="宋体" w:hAnsi="宋体" w:cs="宋体"/>
          <w:b/>
          <w:bCs/>
        </w:rPr>
      </w:pPr>
      <w:bookmarkStart w:id="379" w:name="_Toc989260"/>
      <w:r>
        <w:rPr>
          <w:rFonts w:ascii="宋体" w:hAnsi="宋体" w:cs="宋体"/>
          <w:b/>
          <w:bCs/>
        </w:rPr>
        <w:t>2、其他应收款</w:t>
      </w:r>
      <w:bookmarkEnd w:id="37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0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7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3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553,756.93</w:t>
            </w:r>
          </w:p>
        </w:tc>
        <w:tc>
          <w:tcPr>
            <w:tcW w:w="33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553,756.93</w:t>
            </w:r>
          </w:p>
        </w:tc>
        <w:tc>
          <w:tcPr>
            <w:tcW w:w="33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584,058.26</w:t>
            </w:r>
          </w:p>
        </w:tc>
      </w:tr>
    </w:tbl>
    <w:p w:rsidR="00A95787" w:rsidRDefault="005D3CC1">
      <w:pPr>
        <w:keepNext/>
        <w:keepLines/>
        <w:spacing w:before="300" w:after="300" w:line="280" w:lineRule="exact"/>
        <w:outlineLvl w:val="3"/>
        <w:rPr>
          <w:rFonts w:ascii="宋体" w:eastAsia="宋体" w:hAnsi="宋体" w:cs="宋体"/>
          <w:b/>
          <w:bCs/>
          <w:sz w:val="18"/>
          <w:szCs w:val="18"/>
        </w:rPr>
      </w:pPr>
      <w:bookmarkStart w:id="380" w:name="_Toc989261"/>
      <w:r>
        <w:rPr>
          <w:rFonts w:ascii="宋体" w:eastAsia="宋体" w:hAnsi="宋体" w:cs="宋体"/>
          <w:b/>
          <w:bCs/>
          <w:sz w:val="18"/>
          <w:szCs w:val="18"/>
        </w:rPr>
        <w:t>（1） 其他应收款</w:t>
      </w:r>
      <w:bookmarkEnd w:id="380"/>
    </w:p>
    <w:p w:rsidR="00A95787" w:rsidRDefault="005D3CC1">
      <w:pPr>
        <w:keepNext/>
        <w:keepLines/>
        <w:spacing w:before="300" w:after="300" w:line="280" w:lineRule="exact"/>
        <w:outlineLvl w:val="4"/>
        <w:rPr>
          <w:rFonts w:ascii="宋体" w:eastAsia="宋体" w:hAnsi="宋体" w:cs="宋体"/>
          <w:b/>
          <w:bCs/>
          <w:sz w:val="18"/>
          <w:szCs w:val="18"/>
        </w:rPr>
      </w:pPr>
      <w:bookmarkStart w:id="381" w:name="_Toc989262"/>
      <w:r>
        <w:rPr>
          <w:rFonts w:ascii="宋体" w:eastAsia="宋体" w:hAnsi="宋体" w:cs="宋体"/>
          <w:b/>
          <w:bCs/>
          <w:sz w:val="18"/>
          <w:szCs w:val="18"/>
        </w:rPr>
        <w:t>1） 其他应收款按款项性质分类情况</w:t>
      </w:r>
      <w:bookmarkEnd w:id="38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7"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08"/>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47,000.00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65,000.00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409,586.24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237,166.59</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8,056,436.14</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37,740,473.65</w:t>
            </w:r>
          </w:p>
        </w:tc>
      </w:tr>
    </w:tbl>
    <w:p w:rsidR="00A95787" w:rsidRDefault="005D3CC1">
      <w:pPr>
        <w:keepNext/>
        <w:keepLines/>
        <w:spacing w:before="300" w:after="300" w:line="280" w:lineRule="exact"/>
        <w:outlineLvl w:val="4"/>
        <w:rPr>
          <w:rFonts w:ascii="宋体" w:eastAsia="宋体" w:hAnsi="宋体" w:cs="宋体"/>
          <w:b/>
          <w:bCs/>
          <w:sz w:val="18"/>
          <w:szCs w:val="18"/>
        </w:rPr>
      </w:pPr>
      <w:bookmarkStart w:id="382" w:name="_Toc989263"/>
      <w:r>
        <w:rPr>
          <w:rFonts w:ascii="宋体" w:eastAsia="宋体" w:hAnsi="宋体" w:cs="宋体"/>
          <w:b/>
          <w:bCs/>
          <w:sz w:val="18"/>
          <w:szCs w:val="18"/>
        </w:rPr>
        <w:t>2） 按账龄披露</w:t>
      </w:r>
      <w:bookmarkEnd w:id="382"/>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6"/>
        <w:gridCol w:w="3213"/>
        <w:gridCol w:w="3321"/>
      </w:tblGrid>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456,586.24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242,166.59</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456,586.24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242,166.59</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7,599,849.90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37,438,307.06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A95787">
        <w:trPr>
          <w:trHeight w:val="240"/>
        </w:trPr>
        <w:tc>
          <w:tcPr>
            <w:tcW w:w="311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8,056,436.14</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37,740,473.65</w:t>
            </w:r>
          </w:p>
        </w:tc>
      </w:tr>
    </w:tbl>
    <w:p w:rsidR="00A95787" w:rsidRDefault="005D3CC1">
      <w:pPr>
        <w:keepNext/>
        <w:keepLines/>
        <w:spacing w:before="300" w:after="300" w:line="280" w:lineRule="exact"/>
        <w:outlineLvl w:val="4"/>
        <w:rPr>
          <w:rFonts w:ascii="宋体" w:eastAsia="宋体" w:hAnsi="宋体" w:cs="宋体"/>
          <w:b/>
          <w:bCs/>
          <w:sz w:val="18"/>
          <w:szCs w:val="18"/>
        </w:rPr>
      </w:pPr>
      <w:bookmarkStart w:id="383" w:name="_Toc989264"/>
      <w:r>
        <w:rPr>
          <w:rFonts w:ascii="宋体" w:eastAsia="宋体" w:hAnsi="宋体" w:cs="宋体"/>
          <w:b/>
          <w:bCs/>
          <w:sz w:val="18"/>
          <w:szCs w:val="18"/>
        </w:rPr>
        <w:t>3） 按坏账计提方法分类披露</w:t>
      </w:r>
      <w:bookmarkEnd w:id="383"/>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3"/>
        <w:gridCol w:w="876"/>
        <w:gridCol w:w="877"/>
        <w:gridCol w:w="876"/>
        <w:gridCol w:w="877"/>
        <w:gridCol w:w="876"/>
        <w:gridCol w:w="876"/>
        <w:gridCol w:w="877"/>
        <w:gridCol w:w="876"/>
        <w:gridCol w:w="877"/>
        <w:gridCol w:w="984"/>
      </w:tblGrid>
      <w:tr w:rsidR="00A95787">
        <w:trPr>
          <w:trHeight w:val="240"/>
        </w:trPr>
        <w:tc>
          <w:tcPr>
            <w:tcW w:w="7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9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75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9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75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9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86.89%</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94.12%</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7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13.11%</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47.59%</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553,756.93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9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A95787">
        <w:trPr>
          <w:trHeight w:val="240"/>
        </w:trPr>
        <w:tc>
          <w:tcPr>
            <w:tcW w:w="7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98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75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13.11%</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47.59%</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553,756.93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9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A95787">
        <w:trPr>
          <w:trHeight w:val="240"/>
        </w:trPr>
        <w:tc>
          <w:tcPr>
            <w:tcW w:w="75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其他组合</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984"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75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8,056,436.14</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7,502,679.21</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93.13%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553,756.93</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37,740,473.65</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8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98.45%</w:t>
            </w:r>
          </w:p>
        </w:tc>
        <w:tc>
          <w:tcPr>
            <w:tcW w:w="984"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584,058.26</w:t>
            </w:r>
          </w:p>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lastRenderedPageBreak/>
        <w:t>按单项计提坏账准备：6,999,849.90元</w:t>
      </w:r>
      <w:r w:rsidR="009645EF">
        <w:rPr>
          <w:rFonts w:ascii="宋体" w:eastAsia="宋体" w:hAnsi="宋体" w:cs="宋体"/>
          <w:sz w:val="18"/>
          <w:szCs w:val="18"/>
        </w:rPr>
        <w:t>。</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8"/>
        <w:gridCol w:w="1670"/>
        <w:gridCol w:w="1450"/>
        <w:gridCol w:w="1500"/>
        <w:gridCol w:w="1475"/>
        <w:gridCol w:w="987"/>
        <w:gridCol w:w="1300"/>
      </w:tblGrid>
      <w:tr w:rsidR="00A95787">
        <w:trPr>
          <w:trHeight w:val="240"/>
        </w:trPr>
        <w:tc>
          <w:tcPr>
            <w:tcW w:w="12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1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26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9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9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7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4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5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47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9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3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spacing w:line="240" w:lineRule="exact"/>
        <w:rPr>
          <w:rFonts w:ascii="宋体" w:eastAsia="宋体" w:hAnsi="宋体" w:cs="宋体"/>
          <w:sz w:val="18"/>
          <w:szCs w:val="18"/>
        </w:rPr>
      </w:pPr>
      <w:r>
        <w:rPr>
          <w:rFonts w:ascii="宋体" w:eastAsia="宋体" w:hAnsi="宋体" w:cs="宋体"/>
          <w:sz w:val="18"/>
          <w:szCs w:val="18"/>
        </w:rPr>
        <w:t>按组合计提坏账准备：502,829.31元</w:t>
      </w:r>
      <w:r w:rsidR="009645EF">
        <w:rPr>
          <w:rFonts w:ascii="宋体" w:eastAsia="宋体" w:hAnsi="宋体" w:cs="宋体"/>
          <w:sz w:val="18"/>
          <w:szCs w:val="18"/>
        </w:rPr>
        <w:t>。</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87"/>
        <w:gridCol w:w="2410"/>
        <w:gridCol w:w="2410"/>
        <w:gridCol w:w="2543"/>
      </w:tblGrid>
      <w:tr w:rsidR="00A95787">
        <w:trPr>
          <w:trHeight w:val="240"/>
        </w:trPr>
        <w:tc>
          <w:tcPr>
            <w:tcW w:w="228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36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228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5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账龄组合</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254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47.59%</w:t>
            </w:r>
          </w:p>
        </w:tc>
      </w:tr>
      <w:tr w:rsidR="00A95787">
        <w:trPr>
          <w:trHeight w:val="240"/>
        </w:trPr>
        <w:tc>
          <w:tcPr>
            <w:tcW w:w="22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1,056,586.24</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254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88"/>
        <w:gridCol w:w="1525"/>
        <w:gridCol w:w="1861"/>
        <w:gridCol w:w="189"/>
        <w:gridCol w:w="2112"/>
        <w:gridCol w:w="1700"/>
      </w:tblGrid>
      <w:tr w:rsidR="00A95787">
        <w:trPr>
          <w:trHeight w:val="240"/>
        </w:trPr>
        <w:tc>
          <w:tcPr>
            <w:tcW w:w="228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86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23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7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228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20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21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7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2024年1月1日余额</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37,156,415.39</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2024年1月1日余额在本期</w:t>
            </w:r>
          </w:p>
        </w:tc>
        <w:tc>
          <w:tcPr>
            <w:tcW w:w="15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86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3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7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165,379.98</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165,379.98</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1,297,929.36</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28,521,186.80</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228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2024年12月31日余额</w:t>
            </w:r>
          </w:p>
        </w:tc>
        <w:tc>
          <w:tcPr>
            <w:tcW w:w="15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502,829.31</w:t>
            </w:r>
          </w:p>
        </w:tc>
        <w:tc>
          <w:tcPr>
            <w:tcW w:w="186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2301"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70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7,502,679.21</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4"/>
        <w:rPr>
          <w:rFonts w:ascii="宋体" w:eastAsia="宋体" w:hAnsi="宋体" w:cs="宋体"/>
          <w:b/>
          <w:bCs/>
          <w:sz w:val="18"/>
          <w:szCs w:val="18"/>
        </w:rPr>
      </w:pPr>
      <w:bookmarkStart w:id="384" w:name="_Toc989265"/>
      <w:r>
        <w:rPr>
          <w:rFonts w:ascii="宋体" w:eastAsia="宋体" w:hAnsi="宋体" w:cs="宋体"/>
          <w:b/>
          <w:bCs/>
          <w:sz w:val="18"/>
          <w:szCs w:val="18"/>
        </w:rPr>
        <w:t>4） 本期计提、收回或转回的坏账准备情况</w:t>
      </w:r>
      <w:bookmarkEnd w:id="384"/>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68"/>
        <w:gridCol w:w="1532"/>
        <w:gridCol w:w="1222"/>
        <w:gridCol w:w="1377"/>
        <w:gridCol w:w="1539"/>
        <w:gridCol w:w="1215"/>
        <w:gridCol w:w="1497"/>
      </w:tblGrid>
      <w:tr w:rsidR="00A95787">
        <w:trPr>
          <w:trHeight w:val="240"/>
        </w:trPr>
        <w:tc>
          <w:tcPr>
            <w:tcW w:w="12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3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35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95787">
        <w:trPr>
          <w:trHeight w:val="240"/>
        </w:trPr>
        <w:tc>
          <w:tcPr>
            <w:tcW w:w="12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53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22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53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21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9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126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5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12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165,379.98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5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c>
          <w:tcPr>
            <w:tcW w:w="121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7,502,679.21</w:t>
            </w:r>
          </w:p>
        </w:tc>
      </w:tr>
      <w:tr w:rsidR="00A95787">
        <w:trPr>
          <w:trHeight w:val="240"/>
        </w:trPr>
        <w:tc>
          <w:tcPr>
            <w:tcW w:w="126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122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165,379.98</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53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c>
          <w:tcPr>
            <w:tcW w:w="121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7,502,679.21</w:t>
            </w:r>
          </w:p>
        </w:tc>
      </w:tr>
    </w:tbl>
    <w:p w:rsidR="00A95787" w:rsidRDefault="005D3CC1">
      <w:pPr>
        <w:keepNext/>
        <w:keepLines/>
        <w:spacing w:before="300" w:after="300" w:line="280" w:lineRule="exact"/>
        <w:outlineLvl w:val="4"/>
        <w:rPr>
          <w:rFonts w:ascii="宋体" w:eastAsia="宋体" w:hAnsi="宋体" w:cs="宋体"/>
          <w:b/>
          <w:bCs/>
          <w:sz w:val="18"/>
          <w:szCs w:val="18"/>
        </w:rPr>
      </w:pPr>
      <w:bookmarkStart w:id="385" w:name="_Toc989266"/>
      <w:r>
        <w:rPr>
          <w:rFonts w:ascii="宋体" w:eastAsia="宋体" w:hAnsi="宋体" w:cs="宋体"/>
          <w:b/>
          <w:bCs/>
          <w:sz w:val="18"/>
          <w:szCs w:val="18"/>
        </w:rPr>
        <w:lastRenderedPageBreak/>
        <w:t>5） 本期实际核销的其他应收款情况</w:t>
      </w:r>
      <w:bookmarkEnd w:id="385"/>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11"/>
        <w:gridCol w:w="4952"/>
      </w:tblGrid>
      <w:tr w:rsidR="00A95787">
        <w:trPr>
          <w:trHeight w:val="240"/>
        </w:trPr>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95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A95787">
        <w:trPr>
          <w:trHeight w:val="240"/>
        </w:trPr>
        <w:tc>
          <w:tcPr>
            <w:tcW w:w="471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实际核销的其他应收款</w:t>
            </w:r>
          </w:p>
        </w:tc>
        <w:tc>
          <w:tcPr>
            <w:tcW w:w="495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29,819,116.16</w:t>
            </w:r>
          </w:p>
        </w:tc>
      </w:tr>
    </w:tbl>
    <w:p w:rsidR="00A95787" w:rsidRDefault="005D3CC1">
      <w:pPr>
        <w:keepNext/>
        <w:keepLines/>
        <w:spacing w:before="300" w:after="300" w:line="280" w:lineRule="exact"/>
        <w:outlineLvl w:val="4"/>
        <w:rPr>
          <w:rFonts w:ascii="宋体" w:eastAsia="宋体" w:hAnsi="宋体" w:cs="宋体"/>
          <w:b/>
          <w:bCs/>
          <w:sz w:val="18"/>
          <w:szCs w:val="18"/>
        </w:rPr>
      </w:pPr>
      <w:bookmarkStart w:id="386" w:name="_Toc989267"/>
      <w:r>
        <w:rPr>
          <w:rFonts w:ascii="宋体" w:eastAsia="宋体" w:hAnsi="宋体" w:cs="宋体"/>
          <w:b/>
          <w:bCs/>
          <w:sz w:val="18"/>
          <w:szCs w:val="18"/>
        </w:rPr>
        <w:t>6） 按欠款方归集的期末余额前五名的其他应收款情况</w:t>
      </w:r>
      <w:bookmarkEnd w:id="386"/>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09"/>
        <w:gridCol w:w="1606"/>
        <w:gridCol w:w="1606"/>
        <w:gridCol w:w="1607"/>
        <w:gridCol w:w="1607"/>
        <w:gridCol w:w="1740"/>
      </w:tblGrid>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74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86.89%</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6,999,849.90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7.45%</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480,000.00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69,540.00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3,477.00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备用金</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47,000.00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0.58%</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2,350.00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16,280.00</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814.00</w:t>
            </w:r>
          </w:p>
        </w:tc>
      </w:tr>
      <w:tr w:rsidR="00A95787">
        <w:trPr>
          <w:trHeight w:val="240"/>
        </w:trPr>
        <w:tc>
          <w:tcPr>
            <w:tcW w:w="150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06"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7,732,669.90</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60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95.98%</w:t>
            </w:r>
          </w:p>
        </w:tc>
        <w:tc>
          <w:tcPr>
            <w:tcW w:w="174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7,486,490.90</w:t>
            </w:r>
          </w:p>
        </w:tc>
      </w:tr>
    </w:tbl>
    <w:p w:rsidR="00A95787" w:rsidRDefault="005D3CC1">
      <w:pPr>
        <w:pStyle w:val="3"/>
        <w:spacing w:line="280" w:lineRule="exact"/>
        <w:jc w:val="left"/>
        <w:rPr>
          <w:rFonts w:ascii="宋体" w:hAnsi="宋体" w:cs="宋体"/>
          <w:b/>
          <w:bCs/>
        </w:rPr>
      </w:pPr>
      <w:bookmarkStart w:id="387" w:name="_Toc989268"/>
      <w:r>
        <w:rPr>
          <w:rFonts w:ascii="宋体" w:hAnsi="宋体" w:cs="宋体"/>
          <w:b/>
          <w:bCs/>
        </w:rPr>
        <w:t>3、长期股权投资</w:t>
      </w:r>
      <w:bookmarkEnd w:id="387"/>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7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0"/>
        <w:gridCol w:w="1377"/>
        <w:gridCol w:w="1377"/>
        <w:gridCol w:w="1377"/>
        <w:gridCol w:w="1489"/>
        <w:gridCol w:w="1337"/>
        <w:gridCol w:w="1438"/>
      </w:tblGrid>
      <w:tr w:rsidR="00A95787">
        <w:trPr>
          <w:trHeight w:val="352"/>
        </w:trPr>
        <w:tc>
          <w:tcPr>
            <w:tcW w:w="12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6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95787">
        <w:trPr>
          <w:trHeight w:val="240"/>
        </w:trPr>
        <w:tc>
          <w:tcPr>
            <w:tcW w:w="128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8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43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4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2,137,953,822.91</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2,607,841,407.70</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2,402,100,683.74</w:t>
            </w:r>
          </w:p>
        </w:tc>
        <w:tc>
          <w:tcPr>
            <w:tcW w:w="14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2,727,627,417.23</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4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2,577,254,551.14</w:t>
            </w:r>
          </w:p>
        </w:tc>
      </w:tr>
      <w:tr w:rsidR="00A95787">
        <w:trPr>
          <w:trHeight w:val="240"/>
        </w:trPr>
        <w:tc>
          <w:tcPr>
            <w:tcW w:w="128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4,745,795,230.61</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205,740,723.96</w:t>
            </w:r>
          </w:p>
        </w:tc>
        <w:tc>
          <w:tcPr>
            <w:tcW w:w="137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4,540,054,506.65</w:t>
            </w:r>
          </w:p>
        </w:tc>
        <w:tc>
          <w:tcPr>
            <w:tcW w:w="148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4,865,581,240.14</w:t>
            </w:r>
          </w:p>
        </w:tc>
        <w:tc>
          <w:tcPr>
            <w:tcW w:w="133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4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4,715,208,374.05</w:t>
            </w:r>
          </w:p>
        </w:tc>
      </w:tr>
    </w:tbl>
    <w:p w:rsidR="00A95787" w:rsidRDefault="005D3CC1">
      <w:pPr>
        <w:keepNext/>
        <w:keepLines/>
        <w:spacing w:before="300" w:after="300" w:line="280" w:lineRule="exact"/>
        <w:outlineLvl w:val="3"/>
        <w:rPr>
          <w:rFonts w:ascii="宋体" w:eastAsia="宋体" w:hAnsi="宋体" w:cs="宋体"/>
          <w:b/>
          <w:bCs/>
          <w:szCs w:val="21"/>
        </w:rPr>
      </w:pPr>
      <w:bookmarkStart w:id="388" w:name="_Toc989269"/>
      <w:r>
        <w:rPr>
          <w:rFonts w:ascii="宋体" w:eastAsia="宋体" w:hAnsi="宋体" w:cs="宋体"/>
          <w:b/>
          <w:bCs/>
          <w:szCs w:val="21"/>
        </w:rPr>
        <w:t>（1） 对子公司投资</w:t>
      </w:r>
      <w:bookmarkEnd w:id="388"/>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63"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5"/>
        <w:gridCol w:w="1701"/>
        <w:gridCol w:w="851"/>
        <w:gridCol w:w="708"/>
        <w:gridCol w:w="851"/>
        <w:gridCol w:w="850"/>
        <w:gridCol w:w="993"/>
        <w:gridCol w:w="1484"/>
        <w:gridCol w:w="950"/>
      </w:tblGrid>
      <w:tr w:rsidR="00A95787" w:rsidTr="009645EF">
        <w:trPr>
          <w:trHeight w:val="240"/>
        </w:trPr>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被投资单位</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期初余额（账面价值）</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减值准备期初余额</w:t>
            </w:r>
          </w:p>
        </w:tc>
        <w:tc>
          <w:tcPr>
            <w:tcW w:w="340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本期增减变动</w:t>
            </w:r>
          </w:p>
        </w:tc>
        <w:tc>
          <w:tcPr>
            <w:tcW w:w="14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期末余额（账面价值）</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减值准备期末余额</w:t>
            </w:r>
          </w:p>
        </w:tc>
      </w:tr>
      <w:tr w:rsidR="00A95787" w:rsidTr="009645EF">
        <w:trPr>
          <w:trHeight w:val="240"/>
        </w:trPr>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9645EF">
            <w:pPr>
              <w:adjustRightInd w:val="0"/>
              <w:snapToGrid w:val="0"/>
              <w:spacing w:line="276" w:lineRule="auto"/>
            </w:pP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9645EF">
            <w:pPr>
              <w:adjustRightInd w:val="0"/>
              <w:snapToGrid w:val="0"/>
              <w:spacing w:line="276" w:lineRule="auto"/>
            </w:pPr>
          </w:p>
        </w:tc>
        <w:tc>
          <w:tcPr>
            <w:tcW w:w="851" w:type="dxa"/>
            <w:vMerge/>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pP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追加</w:t>
            </w:r>
          </w:p>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投资</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减少</w:t>
            </w:r>
          </w:p>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投资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计提减值准备</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jc w:val="center"/>
              <w:rPr>
                <w:rFonts w:ascii="宋体" w:eastAsia="宋体" w:hAnsi="宋体" w:cs="宋体"/>
                <w:sz w:val="18"/>
                <w:szCs w:val="18"/>
              </w:rPr>
            </w:pPr>
            <w:r>
              <w:rPr>
                <w:rFonts w:ascii="宋体" w:eastAsia="宋体" w:hAnsi="宋体" w:cs="宋体"/>
                <w:sz w:val="18"/>
                <w:szCs w:val="18"/>
              </w:rPr>
              <w:t>其他</w:t>
            </w:r>
          </w:p>
        </w:tc>
        <w:tc>
          <w:tcPr>
            <w:tcW w:w="14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9645EF">
            <w:pPr>
              <w:adjustRightInd w:val="0"/>
              <w:snapToGrid w:val="0"/>
              <w:spacing w:line="276" w:lineRule="auto"/>
            </w:pPr>
          </w:p>
        </w:tc>
        <w:tc>
          <w:tcPr>
            <w:tcW w:w="9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rsidP="009645EF">
            <w:pPr>
              <w:adjustRightInd w:val="0"/>
              <w:snapToGrid w:val="0"/>
              <w:spacing w:line="276" w:lineRule="auto"/>
            </w:pPr>
          </w:p>
        </w:tc>
      </w:tr>
      <w:tr w:rsidR="00A95787" w:rsidTr="009645EF">
        <w:trPr>
          <w:trHeight w:val="240"/>
        </w:trPr>
        <w:tc>
          <w:tcPr>
            <w:tcW w:w="1275"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rPr>
                <w:rFonts w:ascii="宋体" w:eastAsia="宋体" w:hAnsi="宋体" w:cs="宋体"/>
                <w:sz w:val="18"/>
                <w:szCs w:val="18"/>
              </w:rPr>
            </w:pPr>
            <w:r>
              <w:rPr>
                <w:rFonts w:ascii="宋体" w:eastAsia="宋体" w:hAnsi="宋体" w:cs="宋体"/>
                <w:sz w:val="18"/>
                <w:szCs w:val="18"/>
              </w:rPr>
              <w:t>江阴华西化工码头有限公司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410,453,822.91</w:t>
            </w: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410,453,822.91</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r>
      <w:tr w:rsidR="00A95787" w:rsidTr="009645EF">
        <w:trPr>
          <w:trHeight w:val="240"/>
        </w:trPr>
        <w:tc>
          <w:tcPr>
            <w:tcW w:w="1275"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rPr>
                <w:rFonts w:ascii="宋体" w:eastAsia="宋体" w:hAnsi="宋体" w:cs="宋体"/>
                <w:sz w:val="18"/>
                <w:szCs w:val="18"/>
              </w:rPr>
            </w:pPr>
            <w:r>
              <w:rPr>
                <w:rFonts w:ascii="宋体" w:eastAsia="宋体" w:hAnsi="宋体" w:cs="宋体"/>
                <w:sz w:val="18"/>
                <w:szCs w:val="18"/>
              </w:rPr>
              <w:t>江阴华西村资本有限公司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725,000,000.00</w:t>
            </w: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725,000,000.00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r>
      <w:tr w:rsidR="00A95787" w:rsidTr="009645EF">
        <w:trPr>
          <w:trHeight w:val="240"/>
        </w:trPr>
        <w:tc>
          <w:tcPr>
            <w:tcW w:w="1275"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rPr>
                <w:rFonts w:ascii="宋体" w:eastAsia="宋体" w:hAnsi="宋体" w:cs="宋体"/>
                <w:sz w:val="18"/>
                <w:szCs w:val="18"/>
              </w:rPr>
            </w:pPr>
            <w:r>
              <w:rPr>
                <w:rFonts w:ascii="宋体" w:eastAsia="宋体" w:hAnsi="宋体" w:cs="宋体"/>
                <w:sz w:val="18"/>
                <w:szCs w:val="18"/>
              </w:rPr>
              <w:t>上海启澜企业管理咨询合伙企业（有限合伙）</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962,500,000.00</w:t>
            </w: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962,500,000.00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r>
      <w:tr w:rsidR="00A95787" w:rsidTr="009645EF">
        <w:trPr>
          <w:trHeight w:val="240"/>
        </w:trPr>
        <w:tc>
          <w:tcPr>
            <w:tcW w:w="1275"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rPr>
                <w:rFonts w:ascii="宋体" w:eastAsia="宋体" w:hAnsi="宋体" w:cs="宋体"/>
                <w:sz w:val="18"/>
                <w:szCs w:val="18"/>
              </w:rPr>
            </w:pPr>
            <w:r>
              <w:rPr>
                <w:rFonts w:ascii="宋体" w:eastAsia="宋体" w:hAnsi="宋体" w:cs="宋体"/>
                <w:sz w:val="18"/>
                <w:szCs w:val="18"/>
              </w:rPr>
              <w:t>江阴市华西</w:t>
            </w:r>
            <w:r>
              <w:rPr>
                <w:rFonts w:ascii="宋体" w:eastAsia="宋体" w:hAnsi="宋体" w:cs="宋体"/>
                <w:sz w:val="18"/>
                <w:szCs w:val="18"/>
              </w:rPr>
              <w:lastRenderedPageBreak/>
              <w:t>新材料科技有限公司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lastRenderedPageBreak/>
              <w:t>40,000,000.00</w:t>
            </w: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40,000,000.00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r>
      <w:tr w:rsidR="00A95787" w:rsidTr="009645EF">
        <w:trPr>
          <w:trHeight w:val="240"/>
        </w:trPr>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rsidP="009645EF">
            <w:pPr>
              <w:adjustRightInd w:val="0"/>
              <w:snapToGrid w:val="0"/>
              <w:spacing w:before="40" w:after="40" w:line="276" w:lineRule="auto"/>
              <w:rPr>
                <w:rFonts w:ascii="宋体" w:eastAsia="宋体" w:hAnsi="宋体" w:cs="宋体"/>
                <w:sz w:val="18"/>
                <w:szCs w:val="18"/>
              </w:rPr>
            </w:pPr>
            <w:r>
              <w:rPr>
                <w:rFonts w:ascii="宋体" w:eastAsia="宋体" w:hAnsi="宋体" w:cs="宋体"/>
                <w:sz w:val="18"/>
                <w:szCs w:val="18"/>
              </w:rPr>
              <w:lastRenderedPageBreak/>
              <w:t>合计</w:t>
            </w:r>
          </w:p>
        </w:tc>
        <w:tc>
          <w:tcPr>
            <w:tcW w:w="1701"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2,137,953,822.91</w:t>
            </w: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c>
          <w:tcPr>
            <w:tcW w:w="1484" w:type="dxa"/>
            <w:tcBorders>
              <w:top w:val="single" w:sz="2" w:space="0" w:color="auto"/>
              <w:left w:val="single" w:sz="2" w:space="0" w:color="auto"/>
              <w:bottom w:val="single" w:sz="2" w:space="0" w:color="auto"/>
              <w:right w:val="single" w:sz="2" w:space="0" w:color="auto"/>
            </w:tcBorders>
            <w:vAlign w:val="center"/>
          </w:tcPr>
          <w:p w:rsidR="00A95787" w:rsidRDefault="005D3CC1" w:rsidP="009645EF">
            <w:pPr>
              <w:adjustRightInd w:val="0"/>
              <w:snapToGrid w:val="0"/>
              <w:spacing w:line="276" w:lineRule="auto"/>
              <w:jc w:val="right"/>
              <w:rPr>
                <w:rFonts w:ascii="宋体" w:eastAsia="宋体" w:hAnsi="宋体" w:cs="宋体"/>
                <w:sz w:val="18"/>
                <w:szCs w:val="18"/>
              </w:rPr>
            </w:pPr>
            <w:r>
              <w:rPr>
                <w:rFonts w:ascii="宋体" w:eastAsia="宋体" w:hAnsi="宋体" w:cs="宋体"/>
                <w:sz w:val="18"/>
                <w:szCs w:val="18"/>
              </w:rPr>
              <w:t>2,137,953,822.91</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A95787" w:rsidP="009645EF">
            <w:pPr>
              <w:adjustRightInd w:val="0"/>
              <w:snapToGrid w:val="0"/>
              <w:spacing w:line="276" w:lineRule="auto"/>
              <w:jc w:val="right"/>
              <w:rPr>
                <w:rFonts w:ascii="宋体" w:eastAsia="宋体" w:hAnsi="宋体" w:cs="宋体"/>
                <w:sz w:val="18"/>
                <w:szCs w:val="18"/>
              </w:rPr>
            </w:pPr>
          </w:p>
        </w:tc>
      </w:tr>
    </w:tbl>
    <w:p w:rsidR="00A95787" w:rsidRDefault="005D3CC1">
      <w:pPr>
        <w:keepNext/>
        <w:keepLines/>
        <w:spacing w:before="300" w:after="300" w:line="280" w:lineRule="exact"/>
        <w:outlineLvl w:val="3"/>
        <w:rPr>
          <w:rFonts w:ascii="宋体" w:eastAsia="宋体" w:hAnsi="宋体" w:cs="宋体"/>
          <w:b/>
          <w:bCs/>
          <w:szCs w:val="21"/>
        </w:rPr>
      </w:pPr>
      <w:bookmarkStart w:id="389" w:name="_Toc989270"/>
      <w:r>
        <w:rPr>
          <w:rFonts w:ascii="宋体" w:eastAsia="宋体" w:hAnsi="宋体" w:cs="宋体"/>
          <w:b/>
          <w:bCs/>
          <w:szCs w:val="21"/>
        </w:rPr>
        <w:t>（2） 对联营、合营企业投资</w:t>
      </w:r>
      <w:bookmarkEnd w:id="389"/>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50"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2"/>
        <w:gridCol w:w="1118"/>
        <w:gridCol w:w="950"/>
        <w:gridCol w:w="500"/>
        <w:gridCol w:w="450"/>
        <w:gridCol w:w="687"/>
        <w:gridCol w:w="741"/>
        <w:gridCol w:w="697"/>
        <w:gridCol w:w="925"/>
        <w:gridCol w:w="863"/>
        <w:gridCol w:w="637"/>
        <w:gridCol w:w="738"/>
        <w:gridCol w:w="712"/>
      </w:tblGrid>
      <w:tr w:rsidR="00A95787">
        <w:trPr>
          <w:trHeight w:val="240"/>
        </w:trPr>
        <w:tc>
          <w:tcPr>
            <w:tcW w:w="63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被投资单位</w:t>
            </w:r>
          </w:p>
        </w:tc>
        <w:tc>
          <w:tcPr>
            <w:tcW w:w="11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500"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本期增减变动</w:t>
            </w:r>
          </w:p>
        </w:tc>
        <w:tc>
          <w:tcPr>
            <w:tcW w:w="73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A95787">
        <w:trPr>
          <w:trHeight w:val="240"/>
        </w:trPr>
        <w:tc>
          <w:tcPr>
            <w:tcW w:w="63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11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950" w:type="dxa"/>
            <w:vMerge/>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pPr>
          </w:p>
        </w:tc>
        <w:tc>
          <w:tcPr>
            <w:tcW w:w="50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追加投资</w:t>
            </w:r>
          </w:p>
        </w:tc>
        <w:tc>
          <w:tcPr>
            <w:tcW w:w="45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减少投资</w:t>
            </w:r>
          </w:p>
        </w:tc>
        <w:tc>
          <w:tcPr>
            <w:tcW w:w="68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69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其他权益变动</w:t>
            </w:r>
          </w:p>
        </w:tc>
        <w:tc>
          <w:tcPr>
            <w:tcW w:w="925"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6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计提减值准备</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jc w:val="center"/>
              <w:rPr>
                <w:rFonts w:ascii="宋体" w:eastAsia="宋体" w:hAnsi="宋体" w:cs="宋体"/>
                <w:sz w:val="18"/>
                <w:szCs w:val="18"/>
              </w:rPr>
            </w:pPr>
            <w:r>
              <w:rPr>
                <w:rFonts w:ascii="宋体" w:eastAsia="宋体" w:hAnsi="宋体" w:cs="宋体"/>
                <w:sz w:val="18"/>
                <w:szCs w:val="18"/>
              </w:rPr>
              <w:t>其他</w:t>
            </w:r>
          </w:p>
        </w:tc>
        <w:tc>
          <w:tcPr>
            <w:tcW w:w="73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c>
          <w:tcPr>
            <w:tcW w:w="7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pPr>
              <w:spacing w:line="280" w:lineRule="exact"/>
            </w:pPr>
          </w:p>
        </w:tc>
      </w:tr>
      <w:tr w:rsidR="00A95787">
        <w:trPr>
          <w:trHeight w:val="240"/>
        </w:trPr>
        <w:tc>
          <w:tcPr>
            <w:tcW w:w="9650"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一、合营企业</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小计</w:t>
            </w:r>
          </w:p>
        </w:tc>
        <w:tc>
          <w:tcPr>
            <w:tcW w:w="1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9650"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二、联营企业</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一村资本有限公司</w:t>
            </w:r>
          </w:p>
        </w:tc>
        <w:tc>
          <w:tcPr>
            <w:tcW w:w="1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1,347,967,732.67</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117,066,392.94</w:t>
            </w:r>
          </w:p>
        </w:tc>
        <w:tc>
          <w:tcPr>
            <w:tcW w:w="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64,179,056.75</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-141,947.68</w:t>
            </w:r>
          </w:p>
        </w:tc>
        <w:tc>
          <w:tcPr>
            <w:tcW w:w="6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-10,517,921.57</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61,386,236.43</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1,340,100,683.74</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117,066,392.94</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rPr>
                <w:rFonts w:ascii="宋体" w:eastAsia="宋体" w:hAnsi="宋体" w:cs="宋体"/>
                <w:sz w:val="18"/>
                <w:szCs w:val="18"/>
              </w:rPr>
            </w:pPr>
            <w:r>
              <w:rPr>
                <w:rFonts w:ascii="宋体" w:eastAsia="宋体" w:hAnsi="宋体" w:cs="宋体"/>
                <w:sz w:val="18"/>
                <w:szCs w:val="18"/>
              </w:rPr>
              <w:t>联储证券股份有限公司</w:t>
            </w:r>
          </w:p>
        </w:tc>
        <w:tc>
          <w:tcPr>
            <w:tcW w:w="1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1,229,286,818.47</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33,306,473.15</w:t>
            </w:r>
          </w:p>
        </w:tc>
        <w:tc>
          <w:tcPr>
            <w:tcW w:w="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-112,265,001.16</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346,040.56</w:t>
            </w:r>
          </w:p>
        </w:tc>
        <w:tc>
          <w:tcPr>
            <w:tcW w:w="69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55,367,857.87</w:t>
            </w: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1,062,000,000.00</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88,674,331.02</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小计</w:t>
            </w:r>
          </w:p>
        </w:tc>
        <w:tc>
          <w:tcPr>
            <w:tcW w:w="1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2,577,254,551.14</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150,372,866.09</w:t>
            </w:r>
          </w:p>
        </w:tc>
        <w:tc>
          <w:tcPr>
            <w:tcW w:w="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-48,085,944.41</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204,092.88</w:t>
            </w:r>
          </w:p>
        </w:tc>
        <w:tc>
          <w:tcPr>
            <w:tcW w:w="6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-10,517,921.57</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61,386,236.43</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55,367,857.87</w:t>
            </w: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2,402,100,683.74</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205,740,723.96</w:t>
            </w:r>
          </w:p>
        </w:tc>
      </w:tr>
      <w:tr w:rsidR="00A95787">
        <w:trPr>
          <w:trHeight w:val="240"/>
        </w:trPr>
        <w:tc>
          <w:tcPr>
            <w:tcW w:w="63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80" w:lineRule="exact"/>
              <w:rPr>
                <w:rFonts w:ascii="宋体" w:eastAsia="宋体" w:hAnsi="宋体" w:cs="宋体"/>
                <w:sz w:val="18"/>
                <w:szCs w:val="18"/>
              </w:rPr>
            </w:pPr>
            <w:r>
              <w:rPr>
                <w:rFonts w:ascii="宋体" w:eastAsia="宋体" w:hAnsi="宋体" w:cs="宋体"/>
                <w:sz w:val="18"/>
                <w:szCs w:val="18"/>
              </w:rPr>
              <w:t>合计</w:t>
            </w:r>
          </w:p>
        </w:tc>
        <w:tc>
          <w:tcPr>
            <w:tcW w:w="111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2,577,254,551.14</w:t>
            </w:r>
          </w:p>
        </w:tc>
        <w:tc>
          <w:tcPr>
            <w:tcW w:w="95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150,372,866.09</w:t>
            </w:r>
          </w:p>
        </w:tc>
        <w:tc>
          <w:tcPr>
            <w:tcW w:w="50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450"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68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-48,085,944.41</w:t>
            </w:r>
          </w:p>
        </w:tc>
        <w:tc>
          <w:tcPr>
            <w:tcW w:w="74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204,092.88</w:t>
            </w:r>
          </w:p>
        </w:tc>
        <w:tc>
          <w:tcPr>
            <w:tcW w:w="697"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-10,517,921.57</w:t>
            </w:r>
          </w:p>
        </w:tc>
        <w:tc>
          <w:tcPr>
            <w:tcW w:w="925"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61,386,236.43</w:t>
            </w:r>
          </w:p>
        </w:tc>
        <w:tc>
          <w:tcPr>
            <w:tcW w:w="86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55,367,857.87</w:t>
            </w:r>
          </w:p>
        </w:tc>
        <w:tc>
          <w:tcPr>
            <w:tcW w:w="637"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80" w:lineRule="exact"/>
              <w:jc w:val="right"/>
              <w:rPr>
                <w:rFonts w:ascii="宋体" w:eastAsia="宋体" w:hAnsi="宋体" w:cs="宋体"/>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2,402,100,683.74</w:t>
            </w:r>
          </w:p>
        </w:tc>
        <w:tc>
          <w:tcPr>
            <w:tcW w:w="71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80" w:lineRule="exact"/>
              <w:jc w:val="right"/>
              <w:rPr>
                <w:rFonts w:ascii="宋体" w:eastAsia="宋体" w:hAnsi="宋体" w:cs="宋体"/>
                <w:sz w:val="18"/>
                <w:szCs w:val="18"/>
              </w:rPr>
            </w:pPr>
            <w:r>
              <w:rPr>
                <w:rFonts w:ascii="宋体" w:eastAsia="宋体" w:hAnsi="宋体" w:cs="宋体"/>
                <w:sz w:val="18"/>
                <w:szCs w:val="18"/>
              </w:rPr>
              <w:t>205,740,723.96</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pStyle w:val="3"/>
        <w:spacing w:line="280" w:lineRule="exact"/>
        <w:jc w:val="left"/>
        <w:rPr>
          <w:rFonts w:ascii="宋体" w:hAnsi="宋体" w:cs="宋体"/>
          <w:b/>
          <w:bCs/>
        </w:rPr>
      </w:pPr>
      <w:bookmarkStart w:id="390" w:name="_Toc989272"/>
      <w:r>
        <w:rPr>
          <w:rFonts w:ascii="宋体" w:hAnsi="宋体" w:cs="宋体"/>
          <w:b/>
          <w:bCs/>
        </w:rPr>
        <w:t>4、营业收入和营业成本</w:t>
      </w:r>
      <w:bookmarkEnd w:id="390"/>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18"/>
        <w:gridCol w:w="1928"/>
        <w:gridCol w:w="1928"/>
        <w:gridCol w:w="1928"/>
        <w:gridCol w:w="2023"/>
      </w:tblGrid>
      <w:tr w:rsidR="00A95787">
        <w:trPr>
          <w:trHeight w:val="240"/>
        </w:trPr>
        <w:tc>
          <w:tcPr>
            <w:tcW w:w="18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9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18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202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3,049,790,480.17</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2,987,273,396.76</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2,654,353,617.17</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2,619,152,580.41</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45,312,559.53</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43,745,263.94</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28,304,487.43</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45,991,672.59</w:t>
            </w:r>
          </w:p>
        </w:tc>
      </w:tr>
      <w:tr w:rsidR="00A95787">
        <w:trPr>
          <w:trHeight w:val="240"/>
        </w:trPr>
        <w:tc>
          <w:tcPr>
            <w:tcW w:w="181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c>
          <w:tcPr>
            <w:tcW w:w="192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202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2,665,144,253.00</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2"/>
        <w:gridCol w:w="1071"/>
        <w:gridCol w:w="1071"/>
        <w:gridCol w:w="1071"/>
        <w:gridCol w:w="1071"/>
        <w:gridCol w:w="1071"/>
        <w:gridCol w:w="1071"/>
        <w:gridCol w:w="1071"/>
        <w:gridCol w:w="1179"/>
      </w:tblGrid>
      <w:tr w:rsidR="00A95787">
        <w:trPr>
          <w:trHeight w:val="240"/>
        </w:trPr>
        <w:tc>
          <w:tcPr>
            <w:tcW w:w="9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2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95787">
        <w:trPr>
          <w:trHeight w:val="240"/>
        </w:trPr>
        <w:tc>
          <w:tcPr>
            <w:tcW w:w="9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3,049,790,480.17</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2,987,273,396.76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3,049,790,480.17</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2,987,273,396.76</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45,312,559.53</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43,745,263.94</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45,312,559.53</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43,745,263.94</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2,655,407,618.44</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2,617,369,507.98</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2,655,407,618.44</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2,617,369,507.98</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439,695,421.26</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413,649,152.72</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439,695,421.26</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413,649,152.72</w:t>
            </w: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r>
      <w:tr w:rsidR="00A95787">
        <w:trPr>
          <w:trHeight w:val="240"/>
        </w:trPr>
        <w:tc>
          <w:tcPr>
            <w:tcW w:w="962"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r>
      <w:tr w:rsidR="00A95787">
        <w:trPr>
          <w:trHeight w:val="240"/>
        </w:trPr>
        <w:tc>
          <w:tcPr>
            <w:tcW w:w="96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c>
          <w:tcPr>
            <w:tcW w:w="107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3,095,103,039.70</w:t>
            </w:r>
          </w:p>
        </w:tc>
        <w:tc>
          <w:tcPr>
            <w:tcW w:w="1179"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3,031,018,660.70</w:t>
            </w:r>
          </w:p>
        </w:tc>
      </w:tr>
    </w:tbl>
    <w:p w:rsidR="00A95787" w:rsidRDefault="005D3CC1" w:rsidP="009645EF">
      <w:pPr>
        <w:spacing w:before="100" w:after="100" w:line="276" w:lineRule="auto"/>
        <w:rPr>
          <w:rFonts w:ascii="宋体" w:eastAsia="宋体" w:hAnsi="宋体" w:cs="宋体"/>
          <w:sz w:val="18"/>
          <w:szCs w:val="18"/>
        </w:rPr>
      </w:pPr>
      <w:r>
        <w:rPr>
          <w:rFonts w:ascii="宋体" w:eastAsia="宋体" w:hAnsi="宋体" w:cs="宋体"/>
          <w:sz w:val="18"/>
          <w:szCs w:val="18"/>
        </w:rPr>
        <w:t>与履约义务相关的信息：</w:t>
      </w:r>
    </w:p>
    <w:p w:rsidR="00A95787" w:rsidRDefault="005D3CC1" w:rsidP="009645EF">
      <w:pPr>
        <w:pStyle w:val="a6"/>
        <w:spacing w:before="0" w:beforeAutospacing="0" w:after="0" w:afterAutospacing="0" w:line="276" w:lineRule="auto"/>
        <w:ind w:firstLine="360"/>
        <w:jc w:val="both"/>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点履行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w:t>
      </w:r>
      <w:r>
        <w:rPr>
          <w:rFonts w:cs="Times New Roman" w:hint="eastAsia"/>
          <w:sz w:val="18"/>
          <w:szCs w:val="18"/>
        </w:rPr>
        <w:lastRenderedPageBreak/>
        <w:t>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A95787" w:rsidRDefault="005D3CC1" w:rsidP="009645EF">
      <w:pPr>
        <w:pStyle w:val="a6"/>
        <w:spacing w:before="0" w:beforeAutospacing="0" w:after="0" w:afterAutospacing="0" w:line="276" w:lineRule="auto"/>
        <w:ind w:firstLine="360"/>
        <w:jc w:val="both"/>
        <w:rPr>
          <w:rFonts w:ascii="Times New Roman" w:hAnsi="Times New Roman" w:cs="Times New Roman"/>
          <w:sz w:val="21"/>
          <w:szCs w:val="21"/>
        </w:rPr>
      </w:pPr>
      <w:r>
        <w:rPr>
          <w:rFonts w:cs="Times New Roman" w:hint="eastAsia"/>
          <w:sz w:val="18"/>
          <w:szCs w:val="18"/>
        </w:rPr>
        <w:t>与分摊至剩余履约义务的交易价格相关的信息：</w:t>
      </w:r>
    </w:p>
    <w:p w:rsidR="00A95787" w:rsidRDefault="005D3CC1" w:rsidP="009645EF">
      <w:pPr>
        <w:pStyle w:val="a6"/>
        <w:spacing w:before="0" w:beforeAutospacing="0" w:after="0" w:afterAutospacing="0" w:line="276" w:lineRule="auto"/>
        <w:ind w:firstLine="360"/>
        <w:jc w:val="both"/>
        <w:rPr>
          <w:rFonts w:ascii="Times New Roman" w:hAnsi="Times New Roman" w:cs="Times New Roman"/>
          <w:sz w:val="21"/>
          <w:szCs w:val="21"/>
        </w:rPr>
      </w:pPr>
      <w:r>
        <w:rPr>
          <w:rFonts w:cs="Times New Roman" w:hint="eastAsia"/>
          <w:sz w:val="18"/>
          <w:szCs w:val="18"/>
        </w:rPr>
        <w:t>本报告期末已签订合同、但尚未履行或尚未履行完毕的履约义务所对应的收入金额为</w:t>
      </w:r>
      <w:r>
        <w:rPr>
          <w:rFonts w:ascii="Arial" w:hAnsi="Arial" w:cs="Arial"/>
          <w:sz w:val="18"/>
          <w:szCs w:val="18"/>
        </w:rPr>
        <w:t>137,603,680.76</w:t>
      </w:r>
      <w:r>
        <w:rPr>
          <w:rFonts w:cs="Times New Roman" w:hint="eastAsia"/>
          <w:sz w:val="18"/>
          <w:szCs w:val="18"/>
        </w:rPr>
        <w:t>元，其中</w:t>
      </w:r>
      <w:r>
        <w:rPr>
          <w:rFonts w:ascii="Arial" w:hAnsi="Arial" w:cs="Arial"/>
          <w:sz w:val="18"/>
          <w:szCs w:val="18"/>
        </w:rPr>
        <w:t>137,603,680.76</w:t>
      </w:r>
      <w:r>
        <w:rPr>
          <w:rFonts w:cs="Times New Roman" w:hint="eastAsia"/>
          <w:sz w:val="18"/>
          <w:szCs w:val="18"/>
        </w:rPr>
        <w:t>元预计将于</w:t>
      </w:r>
      <w:r>
        <w:rPr>
          <w:rFonts w:ascii="Arial" w:hAnsi="Arial" w:cs="Arial"/>
          <w:sz w:val="18"/>
          <w:szCs w:val="18"/>
        </w:rPr>
        <w:t>2025</w:t>
      </w:r>
      <w:r>
        <w:rPr>
          <w:rFonts w:cs="Times New Roman" w:hint="eastAsia"/>
          <w:sz w:val="18"/>
          <w:szCs w:val="18"/>
        </w:rPr>
        <w:t>年度确认收入。</w:t>
      </w:r>
    </w:p>
    <w:p w:rsidR="00A95787" w:rsidRDefault="005D3CC1">
      <w:pPr>
        <w:pStyle w:val="3"/>
        <w:spacing w:line="280" w:lineRule="exact"/>
        <w:jc w:val="left"/>
        <w:rPr>
          <w:rFonts w:ascii="宋体" w:hAnsi="宋体" w:cs="宋体"/>
          <w:b/>
          <w:bCs/>
        </w:rPr>
      </w:pPr>
      <w:bookmarkStart w:id="391" w:name="_Toc989273"/>
      <w:r>
        <w:rPr>
          <w:rFonts w:ascii="宋体" w:hAnsi="宋体" w:cs="宋体"/>
          <w:b/>
          <w:bCs/>
        </w:rPr>
        <w:t>5、投资收益</w:t>
      </w:r>
      <w:bookmarkEnd w:id="391"/>
    </w:p>
    <w:p w:rsidR="00A95787" w:rsidRDefault="005D3C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25" w:type="dxa"/>
        <w:tblInd w:w="1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1"/>
        <w:gridCol w:w="3213"/>
        <w:gridCol w:w="3321"/>
      </w:tblGrid>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100,000,000.00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-48,085,944.41</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9,507,679.14</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13,048,573.60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16,781,671.42</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-9,063,104.99</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11,781,412.83</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丧失控制权后，剩余股权按公允价值重新计量产生的利得</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其他债权投资在持有期间取得的利息收入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处置其他债权投资取得的投资收益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95787">
        <w:trPr>
          <w:trHeight w:val="240"/>
        </w:trPr>
        <w:tc>
          <w:tcPr>
            <w:tcW w:w="309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155,899,524.20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138,070,763.39</w:t>
            </w:r>
          </w:p>
        </w:tc>
      </w:tr>
    </w:tbl>
    <w:p w:rsidR="00A95787" w:rsidRDefault="005D3CC1">
      <w:pPr>
        <w:pStyle w:val="2"/>
        <w:spacing w:before="300" w:after="300" w:line="320" w:lineRule="exact"/>
        <w:rPr>
          <w:rFonts w:ascii="宋体" w:eastAsia="宋体" w:hAnsi="宋体" w:cs="宋体"/>
          <w:b/>
          <w:bCs/>
          <w:sz w:val="24"/>
          <w:szCs w:val="24"/>
        </w:rPr>
      </w:pPr>
      <w:bookmarkStart w:id="392" w:name="_Toc989274"/>
      <w:r>
        <w:rPr>
          <w:rFonts w:ascii="宋体" w:eastAsia="宋体" w:hAnsi="宋体" w:cs="宋体"/>
          <w:b/>
          <w:bCs/>
          <w:sz w:val="24"/>
          <w:szCs w:val="24"/>
        </w:rPr>
        <w:t>十九、补充资料</w:t>
      </w:r>
      <w:bookmarkEnd w:id="392"/>
    </w:p>
    <w:p w:rsidR="00A95787" w:rsidRDefault="005D3CC1">
      <w:pPr>
        <w:pStyle w:val="3"/>
        <w:spacing w:line="280" w:lineRule="exact"/>
        <w:jc w:val="left"/>
        <w:rPr>
          <w:rFonts w:ascii="宋体" w:hAnsi="宋体" w:cs="宋体"/>
          <w:b/>
          <w:bCs/>
        </w:rPr>
      </w:pPr>
      <w:bookmarkStart w:id="393" w:name="_Toc989275"/>
      <w:r>
        <w:rPr>
          <w:rFonts w:ascii="宋体" w:hAnsi="宋体" w:cs="宋体"/>
          <w:b/>
          <w:bCs/>
        </w:rPr>
        <w:t>1、当期非经常性损益明细表</w:t>
      </w:r>
      <w:bookmarkEnd w:id="393"/>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95787" w:rsidRDefault="005D3CC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8"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21"/>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-59,605.75</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773,529.30</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8,144,993.93</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2,182,034.07</w:t>
            </w:r>
          </w:p>
        </w:tc>
        <w:tc>
          <w:tcPr>
            <w:tcW w:w="3321" w:type="dxa"/>
            <w:tcBorders>
              <w:top w:val="single" w:sz="2" w:space="0" w:color="auto"/>
              <w:left w:val="single" w:sz="2" w:space="0" w:color="auto"/>
              <w:bottom w:val="single" w:sz="2" w:space="0" w:color="auto"/>
              <w:right w:val="single" w:sz="2" w:space="0" w:color="auto"/>
            </w:tcBorders>
            <w:vAlign w:val="center"/>
          </w:tcPr>
          <w:p w:rsidR="00A95787" w:rsidRDefault="00A95787">
            <w:pPr>
              <w:spacing w:line="240" w:lineRule="exact"/>
              <w:rPr>
                <w:rFonts w:ascii="宋体" w:eastAsia="宋体" w:hAnsi="宋体" w:cs="宋体"/>
                <w:sz w:val="18"/>
                <w:szCs w:val="18"/>
              </w:rPr>
            </w:pP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6,676,883.41</w:t>
            </w:r>
          </w:p>
        </w:tc>
        <w:tc>
          <w:tcPr>
            <w:tcW w:w="3321"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其他符合非经常性损益定义的损益项目的具体情况：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25" w:type="dxa"/>
        <w:tblInd w:w="1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04"/>
        <w:gridCol w:w="3213"/>
        <w:gridCol w:w="3308"/>
      </w:tblGrid>
      <w:tr w:rsidR="00A95787">
        <w:trPr>
          <w:trHeight w:val="240"/>
        </w:trPr>
        <w:tc>
          <w:tcPr>
            <w:tcW w:w="3104"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308"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A95787">
        <w:trPr>
          <w:trHeight w:val="240"/>
        </w:trPr>
        <w:tc>
          <w:tcPr>
            <w:tcW w:w="3104" w:type="dxa"/>
            <w:tcBorders>
              <w:top w:val="single" w:sz="2" w:space="0" w:color="auto"/>
              <w:left w:val="single" w:sz="2" w:space="0" w:color="auto"/>
              <w:bottom w:val="single" w:sz="2" w:space="0" w:color="auto"/>
              <w:right w:val="single" w:sz="2" w:space="0" w:color="auto"/>
            </w:tcBorders>
            <w:vAlign w:val="center"/>
          </w:tcPr>
          <w:p w:rsidR="00A95787" w:rsidRDefault="0016561F">
            <w:pPr>
              <w:spacing w:line="240" w:lineRule="exact"/>
              <w:rPr>
                <w:rFonts w:ascii="宋体" w:eastAsia="宋体" w:hAnsi="宋体" w:cs="宋体"/>
                <w:sz w:val="18"/>
                <w:szCs w:val="18"/>
              </w:rPr>
            </w:pPr>
            <w:r w:rsidRPr="0016561F">
              <w:rPr>
                <w:rFonts w:ascii="宋体" w:eastAsia="宋体" w:hAnsi="宋体" w:cs="宋体" w:hint="eastAsia"/>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28,651,962.15</w:t>
            </w:r>
          </w:p>
        </w:tc>
        <w:tc>
          <w:tcPr>
            <w:tcW w:w="3308"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A95787" w:rsidRDefault="005D3CC1">
      <w:pPr>
        <w:pStyle w:val="3"/>
        <w:spacing w:line="280" w:lineRule="exact"/>
        <w:jc w:val="left"/>
        <w:rPr>
          <w:rFonts w:ascii="宋体" w:hAnsi="宋体" w:cs="宋体"/>
          <w:b/>
          <w:bCs/>
        </w:rPr>
      </w:pPr>
      <w:bookmarkStart w:id="394" w:name="_Toc989276"/>
      <w:r>
        <w:rPr>
          <w:rFonts w:ascii="宋体" w:hAnsi="宋体" w:cs="宋体"/>
          <w:b/>
          <w:bCs/>
        </w:rPr>
        <w:t>2、净资产收益率及每股收益</w:t>
      </w:r>
      <w:bookmarkEnd w:id="394"/>
    </w:p>
    <w:tbl>
      <w:tblPr>
        <w:tblW w:w="9625" w:type="dxa"/>
        <w:tblInd w:w="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312"/>
        <w:gridCol w:w="2410"/>
        <w:gridCol w:w="2410"/>
        <w:gridCol w:w="2493"/>
      </w:tblGrid>
      <w:tr w:rsidR="00A95787">
        <w:trPr>
          <w:trHeight w:val="240"/>
        </w:trPr>
        <w:tc>
          <w:tcPr>
            <w:tcW w:w="23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90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A95787">
        <w:trPr>
          <w:trHeight w:val="240"/>
        </w:trPr>
        <w:tc>
          <w:tcPr>
            <w:tcW w:w="23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A957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93"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2.28%</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249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0.13</w:t>
            </w:r>
          </w:p>
        </w:tc>
      </w:tr>
      <w:tr w:rsidR="00A95787">
        <w:trPr>
          <w:trHeight w:val="240"/>
        </w:trPr>
        <w:tc>
          <w:tcPr>
            <w:tcW w:w="2312" w:type="dxa"/>
            <w:tcBorders>
              <w:top w:val="single" w:sz="2" w:space="0" w:color="auto"/>
              <w:left w:val="single" w:sz="2" w:space="0" w:color="auto"/>
              <w:bottom w:val="single" w:sz="2" w:space="0" w:color="auto"/>
              <w:right w:val="single" w:sz="2" w:space="0" w:color="auto"/>
            </w:tcBorders>
            <w:shd w:val="clear" w:color="auto" w:fill="D3D3D3"/>
            <w:vAlign w:val="center"/>
          </w:tcPr>
          <w:p w:rsidR="00A95787" w:rsidRDefault="005D3CC1">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2.15%</w:t>
            </w:r>
          </w:p>
        </w:tc>
        <w:tc>
          <w:tcPr>
            <w:tcW w:w="2410"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2493" w:type="dxa"/>
            <w:tcBorders>
              <w:top w:val="single" w:sz="2" w:space="0" w:color="auto"/>
              <w:left w:val="single" w:sz="2" w:space="0" w:color="auto"/>
              <w:bottom w:val="single" w:sz="2" w:space="0" w:color="auto"/>
              <w:right w:val="single" w:sz="2" w:space="0" w:color="auto"/>
            </w:tcBorders>
            <w:vAlign w:val="center"/>
          </w:tcPr>
          <w:p w:rsidR="00A95787" w:rsidRDefault="005D3CC1">
            <w:pPr>
              <w:spacing w:line="240" w:lineRule="exact"/>
              <w:jc w:val="right"/>
              <w:rPr>
                <w:rFonts w:ascii="宋体" w:eastAsia="宋体" w:hAnsi="宋体" w:cs="宋体"/>
                <w:sz w:val="18"/>
                <w:szCs w:val="18"/>
              </w:rPr>
            </w:pPr>
            <w:r>
              <w:rPr>
                <w:rFonts w:ascii="宋体" w:eastAsia="宋体" w:hAnsi="宋体" w:cs="宋体"/>
                <w:sz w:val="18"/>
                <w:szCs w:val="18"/>
              </w:rPr>
              <w:t>0.12</w:t>
            </w:r>
          </w:p>
        </w:tc>
      </w:tr>
    </w:tbl>
    <w:p w:rsidR="00A95787" w:rsidRDefault="005D3CC1">
      <w:pPr>
        <w:pStyle w:val="3"/>
        <w:spacing w:line="280" w:lineRule="exact"/>
        <w:jc w:val="left"/>
        <w:rPr>
          <w:rFonts w:ascii="宋体" w:hAnsi="宋体" w:cs="宋体"/>
          <w:b/>
          <w:bCs/>
        </w:rPr>
      </w:pPr>
      <w:bookmarkStart w:id="395" w:name="_Toc989277"/>
      <w:r>
        <w:rPr>
          <w:rFonts w:ascii="宋体" w:hAnsi="宋体" w:cs="宋体"/>
          <w:b/>
          <w:bCs/>
        </w:rPr>
        <w:t>3、境内外会计准则下会计数据差异</w:t>
      </w:r>
      <w:bookmarkEnd w:id="395"/>
    </w:p>
    <w:p w:rsidR="00A95787" w:rsidRDefault="005D3CC1">
      <w:pPr>
        <w:keepNext/>
        <w:keepLines/>
        <w:spacing w:before="300" w:after="300" w:line="280" w:lineRule="exact"/>
        <w:outlineLvl w:val="3"/>
        <w:rPr>
          <w:rFonts w:ascii="宋体" w:eastAsia="宋体" w:hAnsi="宋体" w:cs="宋体"/>
          <w:b/>
          <w:bCs/>
          <w:szCs w:val="21"/>
        </w:rPr>
      </w:pPr>
      <w:bookmarkStart w:id="396" w:name="_Toc989278"/>
      <w:r>
        <w:rPr>
          <w:rFonts w:ascii="宋体" w:eastAsia="宋体" w:hAnsi="宋体" w:cs="宋体"/>
          <w:b/>
          <w:bCs/>
          <w:szCs w:val="21"/>
        </w:rPr>
        <w:t>（1） 同时按照国际会计准则与按中国会计准则披露的财务报告中净利润和净资产差异情况</w:t>
      </w:r>
      <w:bookmarkEnd w:id="396"/>
    </w:p>
    <w:p w:rsidR="00A95787" w:rsidRDefault="005D3C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Cs w:val="21"/>
        </w:rPr>
      </w:pPr>
      <w:bookmarkStart w:id="397" w:name="_Toc989279"/>
      <w:r>
        <w:rPr>
          <w:rFonts w:ascii="宋体" w:eastAsia="宋体" w:hAnsi="宋体" w:cs="宋体"/>
          <w:b/>
          <w:bCs/>
          <w:szCs w:val="21"/>
        </w:rPr>
        <w:t>（2） 同时按照境外会计准则与按中国会计准则披露的财务报告中净利润和净资产差异情况</w:t>
      </w:r>
      <w:bookmarkEnd w:id="397"/>
    </w:p>
    <w:p w:rsidR="00A95787" w:rsidRDefault="005D3C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95787" w:rsidRDefault="005D3CC1">
      <w:pPr>
        <w:keepNext/>
        <w:keepLines/>
        <w:spacing w:before="300" w:after="300" w:line="280" w:lineRule="exact"/>
        <w:outlineLvl w:val="3"/>
        <w:rPr>
          <w:rFonts w:ascii="宋体" w:eastAsia="宋体" w:hAnsi="宋体" w:cs="宋体"/>
          <w:b/>
          <w:bCs/>
          <w:szCs w:val="21"/>
        </w:rPr>
      </w:pPr>
      <w:bookmarkStart w:id="398" w:name="_Toc989280"/>
      <w:r>
        <w:rPr>
          <w:rFonts w:ascii="宋体" w:eastAsia="宋体" w:hAnsi="宋体" w:cs="宋体"/>
          <w:b/>
          <w:bCs/>
          <w:szCs w:val="21"/>
        </w:rPr>
        <w:t>（3） 境内外会计准则下会计数据差异原因说明，对已经境外审计机构审计的数据进行差异调节的，应注明该境外机构的名称</w:t>
      </w:r>
      <w:bookmarkEnd w:id="398"/>
    </w:p>
    <w:p w:rsidR="00143177" w:rsidRDefault="00143177" w:rsidP="00143177">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9645EF" w:rsidRDefault="009645EF" w:rsidP="00143177">
      <w:pPr>
        <w:spacing w:line="240" w:lineRule="exact"/>
        <w:rPr>
          <w:rFonts w:ascii="宋体" w:eastAsia="宋体" w:hAnsi="宋体" w:cs="宋体"/>
          <w:sz w:val="18"/>
          <w:szCs w:val="18"/>
        </w:rPr>
      </w:pPr>
    </w:p>
    <w:p w:rsidR="009645EF" w:rsidRDefault="009645EF" w:rsidP="00143177">
      <w:pPr>
        <w:spacing w:line="240" w:lineRule="exact"/>
        <w:rPr>
          <w:rFonts w:ascii="宋体" w:eastAsia="宋体" w:hAnsi="宋体" w:cs="宋体"/>
          <w:sz w:val="18"/>
          <w:szCs w:val="18"/>
        </w:rPr>
      </w:pPr>
    </w:p>
    <w:p w:rsidR="009645EF" w:rsidRDefault="009645EF" w:rsidP="00143177">
      <w:pPr>
        <w:spacing w:line="240" w:lineRule="exact"/>
        <w:rPr>
          <w:rFonts w:ascii="宋体" w:eastAsia="宋体" w:hAnsi="宋体" w:cs="宋体"/>
          <w:sz w:val="18"/>
          <w:szCs w:val="18"/>
        </w:rPr>
      </w:pPr>
    </w:p>
    <w:p w:rsidR="00F04108" w:rsidRPr="00F04108" w:rsidRDefault="00F04108" w:rsidP="00143177">
      <w:pPr>
        <w:spacing w:line="240" w:lineRule="exact"/>
        <w:rPr>
          <w:rFonts w:ascii="宋体" w:eastAsia="宋体" w:hAnsi="宋体" w:cs="宋体"/>
          <w:sz w:val="18"/>
          <w:szCs w:val="18"/>
        </w:rPr>
      </w:pPr>
    </w:p>
    <w:p w:rsidR="009645EF" w:rsidRDefault="009645EF" w:rsidP="00143177">
      <w:pPr>
        <w:spacing w:line="240" w:lineRule="exact"/>
        <w:rPr>
          <w:rFonts w:ascii="宋体" w:eastAsia="宋体" w:hAnsi="宋体" w:cs="宋体"/>
          <w:sz w:val="18"/>
          <w:szCs w:val="18"/>
        </w:rPr>
      </w:pPr>
    </w:p>
    <w:p w:rsidR="00143177" w:rsidRDefault="00143177" w:rsidP="00143177">
      <w:pPr>
        <w:pStyle w:val="a6"/>
        <w:spacing w:before="0" w:beforeAutospacing="0" w:after="0" w:afterAutospacing="0" w:line="276" w:lineRule="auto"/>
        <w:ind w:firstLineChars="3600" w:firstLine="6480"/>
        <w:jc w:val="both"/>
        <w:rPr>
          <w:sz w:val="18"/>
          <w:szCs w:val="18"/>
        </w:rPr>
      </w:pPr>
      <w:r>
        <w:rPr>
          <w:rFonts w:hint="eastAsia"/>
          <w:sz w:val="18"/>
          <w:szCs w:val="18"/>
        </w:rPr>
        <w:t>江苏华西村股份有限公司董事会</w:t>
      </w:r>
    </w:p>
    <w:p w:rsidR="00143177" w:rsidRDefault="00143177" w:rsidP="00143177">
      <w:pPr>
        <w:pStyle w:val="a6"/>
        <w:spacing w:before="0" w:beforeAutospacing="0" w:after="0" w:afterAutospacing="0" w:line="276" w:lineRule="auto"/>
        <w:ind w:firstLineChars="4000" w:firstLine="7200"/>
        <w:jc w:val="both"/>
        <w:rPr>
          <w:sz w:val="18"/>
          <w:szCs w:val="18"/>
        </w:rPr>
      </w:pPr>
      <w:r>
        <w:rPr>
          <w:rFonts w:hint="eastAsia"/>
          <w:sz w:val="18"/>
          <w:szCs w:val="18"/>
        </w:rPr>
        <w:t>董事长：吴协恩</w:t>
      </w:r>
    </w:p>
    <w:p w:rsidR="00143177" w:rsidRPr="00DF19CA" w:rsidRDefault="00143177" w:rsidP="00143177">
      <w:pPr>
        <w:pStyle w:val="a6"/>
        <w:spacing w:before="0" w:beforeAutospacing="0" w:after="0" w:afterAutospacing="0" w:line="276" w:lineRule="auto"/>
        <w:ind w:firstLineChars="4000" w:firstLine="7200"/>
        <w:jc w:val="both"/>
        <w:rPr>
          <w:sz w:val="18"/>
          <w:szCs w:val="18"/>
        </w:rPr>
      </w:pPr>
      <w:r>
        <w:rPr>
          <w:rFonts w:hint="eastAsia"/>
          <w:sz w:val="18"/>
          <w:szCs w:val="18"/>
        </w:rPr>
        <w:t>2025年4月28日</w:t>
      </w:r>
    </w:p>
    <w:sectPr w:rsidR="00143177" w:rsidRPr="00DF19CA" w:rsidSect="004F6471">
      <w:headerReference w:type="default" r:id="rId10"/>
      <w:footerReference w:type="default" r:id="rId11"/>
      <w:pgSz w:w="11905" w:h="16840"/>
      <w:pgMar w:top="1440" w:right="1134" w:bottom="1440" w:left="1134" w:header="850"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0B" w:rsidRDefault="0051270B">
      <w:r>
        <w:separator/>
      </w:r>
    </w:p>
  </w:endnote>
  <w:endnote w:type="continuationSeparator" w:id="0">
    <w:p w:rsidR="0051270B" w:rsidRDefault="0051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5E" w:rsidRDefault="007D205E">
    <w:pPr>
      <w:pStyle w:val="fotter1"/>
      <w:jc w:val="center"/>
    </w:pPr>
    <w:r>
      <w:fldChar w:fldCharType="begin"/>
    </w:r>
    <w:r>
      <w:instrText>PAGE   \* MERGEFORMAT</w:instrText>
    </w:r>
    <w:r>
      <w:fldChar w:fldCharType="separate"/>
    </w:r>
    <w:r w:rsidR="004F0EE6">
      <w:rPr>
        <w:noProof/>
      </w:rPr>
      <w:t>155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0B" w:rsidRDefault="0051270B">
      <w:r>
        <w:separator/>
      </w:r>
    </w:p>
  </w:footnote>
  <w:footnote w:type="continuationSeparator" w:id="0">
    <w:p w:rsidR="0051270B" w:rsidRDefault="0051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5E" w:rsidRDefault="007D205E">
    <w:pPr>
      <w:pStyle w:val="Header1"/>
      <w:pBdr>
        <w:bottom w:val="single" w:sz="6" w:space="1" w:color="auto"/>
      </w:pBdr>
    </w:pPr>
    <w:r>
      <w:t>江苏华西村股份有限公司2024年年度报告全文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894"/>
    <w:multiLevelType w:val="multilevel"/>
    <w:tmpl w:val="0536289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2E80BA5"/>
    <w:multiLevelType w:val="multilevel"/>
    <w:tmpl w:val="42E80BA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71878A4"/>
    <w:multiLevelType w:val="multilevel"/>
    <w:tmpl w:val="571878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402C4"/>
    <w:rsid w:val="0000332E"/>
    <w:rsid w:val="00003BA1"/>
    <w:rsid w:val="00004840"/>
    <w:rsid w:val="0001317F"/>
    <w:rsid w:val="00013DEC"/>
    <w:rsid w:val="00025493"/>
    <w:rsid w:val="000335EF"/>
    <w:rsid w:val="000345B2"/>
    <w:rsid w:val="000364FC"/>
    <w:rsid w:val="00050757"/>
    <w:rsid w:val="000673F2"/>
    <w:rsid w:val="00072406"/>
    <w:rsid w:val="000873D2"/>
    <w:rsid w:val="000A19B4"/>
    <w:rsid w:val="000C3681"/>
    <w:rsid w:val="000D0C01"/>
    <w:rsid w:val="001350B5"/>
    <w:rsid w:val="001378EB"/>
    <w:rsid w:val="00141E8D"/>
    <w:rsid w:val="00143177"/>
    <w:rsid w:val="0016561F"/>
    <w:rsid w:val="00173520"/>
    <w:rsid w:val="001B730A"/>
    <w:rsid w:val="001D0ED1"/>
    <w:rsid w:val="001F353E"/>
    <w:rsid w:val="00257364"/>
    <w:rsid w:val="002606F7"/>
    <w:rsid w:val="00264BCA"/>
    <w:rsid w:val="00270BC4"/>
    <w:rsid w:val="00295C33"/>
    <w:rsid w:val="002B2A0D"/>
    <w:rsid w:val="002B6C06"/>
    <w:rsid w:val="002C03BA"/>
    <w:rsid w:val="002E346D"/>
    <w:rsid w:val="00312E27"/>
    <w:rsid w:val="00321321"/>
    <w:rsid w:val="003402C4"/>
    <w:rsid w:val="003412C9"/>
    <w:rsid w:val="003461FB"/>
    <w:rsid w:val="00346A24"/>
    <w:rsid w:val="003473E6"/>
    <w:rsid w:val="003602E0"/>
    <w:rsid w:val="00382264"/>
    <w:rsid w:val="0038441D"/>
    <w:rsid w:val="003A289D"/>
    <w:rsid w:val="003F23BC"/>
    <w:rsid w:val="003F2D68"/>
    <w:rsid w:val="003F5A99"/>
    <w:rsid w:val="00424660"/>
    <w:rsid w:val="004379DA"/>
    <w:rsid w:val="00441DB3"/>
    <w:rsid w:val="00460A52"/>
    <w:rsid w:val="00470110"/>
    <w:rsid w:val="004804B3"/>
    <w:rsid w:val="004822C3"/>
    <w:rsid w:val="004958A4"/>
    <w:rsid w:val="004B3A3D"/>
    <w:rsid w:val="004B6DB9"/>
    <w:rsid w:val="004F0EE6"/>
    <w:rsid w:val="004F6471"/>
    <w:rsid w:val="00504C1A"/>
    <w:rsid w:val="00507B8E"/>
    <w:rsid w:val="00510725"/>
    <w:rsid w:val="0051270B"/>
    <w:rsid w:val="00524FD5"/>
    <w:rsid w:val="00567D77"/>
    <w:rsid w:val="0058738B"/>
    <w:rsid w:val="00593CF2"/>
    <w:rsid w:val="005B515C"/>
    <w:rsid w:val="005C7485"/>
    <w:rsid w:val="005D2672"/>
    <w:rsid w:val="005D3CC1"/>
    <w:rsid w:val="00650661"/>
    <w:rsid w:val="00653E4B"/>
    <w:rsid w:val="00667413"/>
    <w:rsid w:val="00673EF7"/>
    <w:rsid w:val="0067748B"/>
    <w:rsid w:val="006B22E8"/>
    <w:rsid w:val="006E7148"/>
    <w:rsid w:val="006F57C4"/>
    <w:rsid w:val="007305A3"/>
    <w:rsid w:val="007765B4"/>
    <w:rsid w:val="0078136A"/>
    <w:rsid w:val="00795D83"/>
    <w:rsid w:val="007968C2"/>
    <w:rsid w:val="007B2470"/>
    <w:rsid w:val="007C3A92"/>
    <w:rsid w:val="007D205E"/>
    <w:rsid w:val="007E3F4F"/>
    <w:rsid w:val="007E4E93"/>
    <w:rsid w:val="00804168"/>
    <w:rsid w:val="00853A28"/>
    <w:rsid w:val="00857FAB"/>
    <w:rsid w:val="00864A83"/>
    <w:rsid w:val="00866A3E"/>
    <w:rsid w:val="00891D4A"/>
    <w:rsid w:val="008A392D"/>
    <w:rsid w:val="008A4F74"/>
    <w:rsid w:val="008B5FD5"/>
    <w:rsid w:val="008E3A4F"/>
    <w:rsid w:val="008E6B5D"/>
    <w:rsid w:val="008F2817"/>
    <w:rsid w:val="009148C8"/>
    <w:rsid w:val="00915D77"/>
    <w:rsid w:val="00937EE7"/>
    <w:rsid w:val="00940CBD"/>
    <w:rsid w:val="00957078"/>
    <w:rsid w:val="009645EF"/>
    <w:rsid w:val="00976825"/>
    <w:rsid w:val="009B753A"/>
    <w:rsid w:val="009C38D7"/>
    <w:rsid w:val="009D119F"/>
    <w:rsid w:val="00A14A00"/>
    <w:rsid w:val="00A24B21"/>
    <w:rsid w:val="00A51368"/>
    <w:rsid w:val="00A66121"/>
    <w:rsid w:val="00A85295"/>
    <w:rsid w:val="00A90E57"/>
    <w:rsid w:val="00A95787"/>
    <w:rsid w:val="00AA326D"/>
    <w:rsid w:val="00AA4C93"/>
    <w:rsid w:val="00AD6E5B"/>
    <w:rsid w:val="00AE7E34"/>
    <w:rsid w:val="00B01AE1"/>
    <w:rsid w:val="00B157BE"/>
    <w:rsid w:val="00B344E4"/>
    <w:rsid w:val="00B3516D"/>
    <w:rsid w:val="00B40B1D"/>
    <w:rsid w:val="00B518A9"/>
    <w:rsid w:val="00B56155"/>
    <w:rsid w:val="00B5640A"/>
    <w:rsid w:val="00B611E9"/>
    <w:rsid w:val="00B7091D"/>
    <w:rsid w:val="00B71B1D"/>
    <w:rsid w:val="00B71FD6"/>
    <w:rsid w:val="00B7460B"/>
    <w:rsid w:val="00B7486E"/>
    <w:rsid w:val="00B764C1"/>
    <w:rsid w:val="00B87AC7"/>
    <w:rsid w:val="00B94E70"/>
    <w:rsid w:val="00BA06FD"/>
    <w:rsid w:val="00BA0E31"/>
    <w:rsid w:val="00BA4B66"/>
    <w:rsid w:val="00BB081F"/>
    <w:rsid w:val="00BC0A9A"/>
    <w:rsid w:val="00BC1139"/>
    <w:rsid w:val="00BF3BB6"/>
    <w:rsid w:val="00C02BCD"/>
    <w:rsid w:val="00C0468F"/>
    <w:rsid w:val="00C34001"/>
    <w:rsid w:val="00CA5FEF"/>
    <w:rsid w:val="00CD74FA"/>
    <w:rsid w:val="00CF1D71"/>
    <w:rsid w:val="00D06BAE"/>
    <w:rsid w:val="00D85548"/>
    <w:rsid w:val="00DA61B4"/>
    <w:rsid w:val="00DA6804"/>
    <w:rsid w:val="00DD4670"/>
    <w:rsid w:val="00DE1BE7"/>
    <w:rsid w:val="00E16652"/>
    <w:rsid w:val="00E208FC"/>
    <w:rsid w:val="00E56631"/>
    <w:rsid w:val="00E81372"/>
    <w:rsid w:val="00EB307D"/>
    <w:rsid w:val="00EE038C"/>
    <w:rsid w:val="00EE3ECC"/>
    <w:rsid w:val="00EE5EAA"/>
    <w:rsid w:val="00F04108"/>
    <w:rsid w:val="00F052F5"/>
    <w:rsid w:val="00F111A0"/>
    <w:rsid w:val="00F24B50"/>
    <w:rsid w:val="00F42804"/>
    <w:rsid w:val="00F43086"/>
    <w:rsid w:val="00F466B4"/>
    <w:rsid w:val="00FD52B9"/>
    <w:rsid w:val="00FE0D93"/>
    <w:rsid w:val="00FE2C77"/>
    <w:rsid w:val="010333FC"/>
    <w:rsid w:val="02CB5ED9"/>
    <w:rsid w:val="0341020B"/>
    <w:rsid w:val="04934A97"/>
    <w:rsid w:val="064F49ED"/>
    <w:rsid w:val="06670810"/>
    <w:rsid w:val="06BE2A9A"/>
    <w:rsid w:val="076512BF"/>
    <w:rsid w:val="092E3A4F"/>
    <w:rsid w:val="0F091448"/>
    <w:rsid w:val="0F234C69"/>
    <w:rsid w:val="10066D9E"/>
    <w:rsid w:val="10FE1DB7"/>
    <w:rsid w:val="11082369"/>
    <w:rsid w:val="11E132E5"/>
    <w:rsid w:val="130D1EB8"/>
    <w:rsid w:val="154A2F50"/>
    <w:rsid w:val="15A11260"/>
    <w:rsid w:val="163B0AEA"/>
    <w:rsid w:val="16BF6B65"/>
    <w:rsid w:val="176A0758"/>
    <w:rsid w:val="185A5BA0"/>
    <w:rsid w:val="194B373A"/>
    <w:rsid w:val="195D42D9"/>
    <w:rsid w:val="1AD25EC1"/>
    <w:rsid w:val="1C3A1F70"/>
    <w:rsid w:val="1D0E0D07"/>
    <w:rsid w:val="1D183933"/>
    <w:rsid w:val="1E1E31CB"/>
    <w:rsid w:val="1EA90CE7"/>
    <w:rsid w:val="1EBC3110"/>
    <w:rsid w:val="1FA37E2C"/>
    <w:rsid w:val="208D41D2"/>
    <w:rsid w:val="210B3EDB"/>
    <w:rsid w:val="224156DA"/>
    <w:rsid w:val="22C02AA3"/>
    <w:rsid w:val="242552B4"/>
    <w:rsid w:val="244A6AC8"/>
    <w:rsid w:val="24B44889"/>
    <w:rsid w:val="24DC4B11"/>
    <w:rsid w:val="25B54415"/>
    <w:rsid w:val="261A4617"/>
    <w:rsid w:val="27335F39"/>
    <w:rsid w:val="274C0DA9"/>
    <w:rsid w:val="277B343D"/>
    <w:rsid w:val="279029B7"/>
    <w:rsid w:val="27AB3D22"/>
    <w:rsid w:val="28341F69"/>
    <w:rsid w:val="29064F88"/>
    <w:rsid w:val="2A5341FD"/>
    <w:rsid w:val="2B5B1240"/>
    <w:rsid w:val="2B9D45A2"/>
    <w:rsid w:val="2BA94DE0"/>
    <w:rsid w:val="2D0068BE"/>
    <w:rsid w:val="2EBC4A66"/>
    <w:rsid w:val="2F907E47"/>
    <w:rsid w:val="305B7FDF"/>
    <w:rsid w:val="30A36FF1"/>
    <w:rsid w:val="32314D46"/>
    <w:rsid w:val="32894C60"/>
    <w:rsid w:val="329F4D04"/>
    <w:rsid w:val="334868C9"/>
    <w:rsid w:val="336262ED"/>
    <w:rsid w:val="33905E8E"/>
    <w:rsid w:val="33927FA5"/>
    <w:rsid w:val="33BB353F"/>
    <w:rsid w:val="343C4A44"/>
    <w:rsid w:val="349948C2"/>
    <w:rsid w:val="34B432CE"/>
    <w:rsid w:val="34D348B8"/>
    <w:rsid w:val="34FF1B3F"/>
    <w:rsid w:val="351070BA"/>
    <w:rsid w:val="35262C3A"/>
    <w:rsid w:val="35C6441D"/>
    <w:rsid w:val="36246F52"/>
    <w:rsid w:val="36257395"/>
    <w:rsid w:val="36C05A6F"/>
    <w:rsid w:val="37403D5B"/>
    <w:rsid w:val="387617D6"/>
    <w:rsid w:val="395342D6"/>
    <w:rsid w:val="396401D4"/>
    <w:rsid w:val="39B07817"/>
    <w:rsid w:val="39B27192"/>
    <w:rsid w:val="3A086D13"/>
    <w:rsid w:val="3ADB6274"/>
    <w:rsid w:val="3B33651B"/>
    <w:rsid w:val="3BBD657E"/>
    <w:rsid w:val="3C8C04F2"/>
    <w:rsid w:val="3D3879AE"/>
    <w:rsid w:val="3D630BAD"/>
    <w:rsid w:val="42F779C3"/>
    <w:rsid w:val="437B23A2"/>
    <w:rsid w:val="43921EAF"/>
    <w:rsid w:val="443C7F5E"/>
    <w:rsid w:val="443D60F0"/>
    <w:rsid w:val="451E392D"/>
    <w:rsid w:val="46592743"/>
    <w:rsid w:val="469A5235"/>
    <w:rsid w:val="47863A0C"/>
    <w:rsid w:val="47A9175D"/>
    <w:rsid w:val="48117653"/>
    <w:rsid w:val="4AB56533"/>
    <w:rsid w:val="4ADF325A"/>
    <w:rsid w:val="4BE64595"/>
    <w:rsid w:val="4C1205F2"/>
    <w:rsid w:val="4C1E2465"/>
    <w:rsid w:val="4D76482F"/>
    <w:rsid w:val="4E223A1D"/>
    <w:rsid w:val="4F6F6DF3"/>
    <w:rsid w:val="4F9E0730"/>
    <w:rsid w:val="4FF0236A"/>
    <w:rsid w:val="5052092F"/>
    <w:rsid w:val="53874D93"/>
    <w:rsid w:val="54FE4BE1"/>
    <w:rsid w:val="551C775D"/>
    <w:rsid w:val="55F869F5"/>
    <w:rsid w:val="57345D5A"/>
    <w:rsid w:val="58150009"/>
    <w:rsid w:val="58C257CD"/>
    <w:rsid w:val="59F44805"/>
    <w:rsid w:val="5B27347C"/>
    <w:rsid w:val="5BA33419"/>
    <w:rsid w:val="5C207B33"/>
    <w:rsid w:val="5C2A6C04"/>
    <w:rsid w:val="5C5D0D87"/>
    <w:rsid w:val="5CB07109"/>
    <w:rsid w:val="5CB33902"/>
    <w:rsid w:val="5CE16980"/>
    <w:rsid w:val="5DA14CA4"/>
    <w:rsid w:val="5DBC388C"/>
    <w:rsid w:val="60BD3BA3"/>
    <w:rsid w:val="60C912DE"/>
    <w:rsid w:val="61151C31"/>
    <w:rsid w:val="61A15272"/>
    <w:rsid w:val="62265778"/>
    <w:rsid w:val="625C5CEF"/>
    <w:rsid w:val="6286659E"/>
    <w:rsid w:val="62A40480"/>
    <w:rsid w:val="63270DA4"/>
    <w:rsid w:val="665E3732"/>
    <w:rsid w:val="668A3762"/>
    <w:rsid w:val="6736645D"/>
    <w:rsid w:val="67C972D1"/>
    <w:rsid w:val="6AA8007B"/>
    <w:rsid w:val="6B1C5B5B"/>
    <w:rsid w:val="6BB87D88"/>
    <w:rsid w:val="6C5F0204"/>
    <w:rsid w:val="6C6B30EB"/>
    <w:rsid w:val="6D2C63EC"/>
    <w:rsid w:val="6D526B82"/>
    <w:rsid w:val="6E677844"/>
    <w:rsid w:val="6F407D0F"/>
    <w:rsid w:val="6FC11EA3"/>
    <w:rsid w:val="6FCE7B7A"/>
    <w:rsid w:val="6FD34539"/>
    <w:rsid w:val="715B71FA"/>
    <w:rsid w:val="71655A4E"/>
    <w:rsid w:val="727F33AE"/>
    <w:rsid w:val="737F06A0"/>
    <w:rsid w:val="753C5E4D"/>
    <w:rsid w:val="75B07D22"/>
    <w:rsid w:val="75BF18E9"/>
    <w:rsid w:val="75E85BC2"/>
    <w:rsid w:val="763641D6"/>
    <w:rsid w:val="76500BBD"/>
    <w:rsid w:val="778139C7"/>
    <w:rsid w:val="77D55B8F"/>
    <w:rsid w:val="784A7FBA"/>
    <w:rsid w:val="7A6E7EF3"/>
    <w:rsid w:val="7B174F03"/>
    <w:rsid w:val="7B334D35"/>
    <w:rsid w:val="7B8D6BCE"/>
    <w:rsid w:val="7DEB13D7"/>
    <w:rsid w:val="7F1A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pPr>
      <w:tabs>
        <w:tab w:val="left" w:leader="dot" w:pos="9469"/>
      </w:tabs>
      <w:spacing w:line="480" w:lineRule="auto"/>
    </w:pPr>
  </w:style>
  <w:style w:type="paragraph" w:styleId="20">
    <w:name w:val="toc 2"/>
    <w:basedOn w:val="a"/>
    <w:next w:val="a"/>
    <w:autoRedefine/>
    <w:uiPriority w:val="39"/>
    <w:unhideWhenUsed/>
    <w:pPr>
      <w:ind w:leftChars="200" w:left="420"/>
    </w:pPr>
  </w:style>
  <w:style w:type="paragraph" w:styleId="a6">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7">
    <w:name w:val="Strong"/>
    <w:basedOn w:val="a0"/>
    <w:uiPriority w:val="22"/>
    <w:qFormat/>
    <w:rPr>
      <w:b/>
      <w:bCs/>
    </w:rPr>
  </w:style>
  <w:style w:type="paragraph" w:customStyle="1" w:styleId="Header1">
    <w:name w:val="Header 1"/>
    <w:qFormat/>
    <w:pPr>
      <w:jc w:val="right"/>
    </w:pPr>
    <w:rPr>
      <w:rFonts w:ascii="宋体" w:eastAsia="宋体"/>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kern w:val="2"/>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pPr>
      <w:tabs>
        <w:tab w:val="left" w:leader="dot" w:pos="9469"/>
      </w:tabs>
      <w:spacing w:line="480" w:lineRule="auto"/>
    </w:pPr>
  </w:style>
  <w:style w:type="paragraph" w:styleId="20">
    <w:name w:val="toc 2"/>
    <w:basedOn w:val="a"/>
    <w:next w:val="a"/>
    <w:autoRedefine/>
    <w:uiPriority w:val="39"/>
    <w:unhideWhenUsed/>
    <w:pPr>
      <w:ind w:leftChars="200" w:left="420"/>
    </w:pPr>
  </w:style>
  <w:style w:type="paragraph" w:styleId="a6">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7">
    <w:name w:val="Strong"/>
    <w:basedOn w:val="a0"/>
    <w:uiPriority w:val="22"/>
    <w:qFormat/>
    <w:rPr>
      <w:b/>
      <w:bCs/>
    </w:rPr>
  </w:style>
  <w:style w:type="paragraph" w:customStyle="1" w:styleId="Header1">
    <w:name w:val="Header 1"/>
    <w:qFormat/>
    <w:pPr>
      <w:jc w:val="right"/>
    </w:pPr>
    <w:rPr>
      <w:rFonts w:ascii="宋体" w:eastAsia="宋体"/>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kern w:val="2"/>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175</Pages>
  <Words>25016</Words>
  <Characters>142592</Characters>
  <Application>Microsoft Office Word</Application>
  <DocSecurity>0</DocSecurity>
  <Lines>1188</Lines>
  <Paragraphs>334</Paragraphs>
  <ScaleCrop>false</ScaleCrop>
  <Company/>
  <LinksUpToDate>false</LinksUpToDate>
  <CharactersWithSpaces>167274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147</cp:revision>
  <dcterms:created xsi:type="dcterms:W3CDTF">2025-04-25T07:07:00Z</dcterms:created>
  <dcterms:modified xsi:type="dcterms:W3CDTF">2025-04-28T08:30:00Z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eyJoZGlkIjoiM2NmNjlhYjIxNGI4YTUxY2E2YjgzZWFlMmZkYTk3MzUiLCJ1c2VySWQiOiI1ODIyMTQxNjQifQ==</vt:lpwstr>
  </property>
  <property fmtid="{D5CDD505-2E9C-101B-9397-08002B2CF9AE}" pid="3" name="KSOProductBuildVer">
    <vt:lpwstr>2052-12.1.0.20784</vt:lpwstr>
  </property>
  <property fmtid="{D5CDD505-2E9C-101B-9397-08002B2CF9AE}" pid="4" name="ICV">
    <vt:lpwstr>2A6F3793E0B242AC9E0331BF5B98009B_12</vt:lpwstr>
  </property>
</Properties>
</file>