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4B8" w:rsidRPr="00646DAF" w:rsidRDefault="009D0EDF">
      <w:pPr>
        <w:adjustRightInd w:val="0"/>
        <w:snapToGrid w:val="0"/>
        <w:spacing w:line="360" w:lineRule="auto"/>
        <w:jc w:val="center"/>
        <w:rPr>
          <w:rFonts w:ascii="宋体" w:hAnsi="宋体"/>
          <w:bCs/>
          <w:sz w:val="24"/>
        </w:rPr>
      </w:pPr>
      <w:r w:rsidRPr="00317599">
        <w:rPr>
          <w:rFonts w:ascii="宋体" w:hAnsi="宋体" w:hint="eastAsia"/>
          <w:bCs/>
          <w:sz w:val="24"/>
        </w:rPr>
        <w:t xml:space="preserve">证券代码：000936         证券简称：华西股份      </w:t>
      </w:r>
      <w:r w:rsidRPr="00646DAF">
        <w:rPr>
          <w:rFonts w:ascii="宋体" w:hAnsi="宋体" w:hint="eastAsia"/>
          <w:bCs/>
          <w:sz w:val="24"/>
        </w:rPr>
        <w:t xml:space="preserve"> 公告编号：202</w:t>
      </w:r>
      <w:r w:rsidR="00834DA0" w:rsidRPr="00646DAF">
        <w:rPr>
          <w:rFonts w:ascii="宋体" w:hAnsi="宋体" w:hint="eastAsia"/>
          <w:bCs/>
          <w:sz w:val="24"/>
        </w:rPr>
        <w:t>5</w:t>
      </w:r>
      <w:r w:rsidRPr="00646DAF">
        <w:rPr>
          <w:rFonts w:ascii="宋体" w:hAnsi="宋体" w:hint="eastAsia"/>
          <w:bCs/>
          <w:sz w:val="24"/>
        </w:rPr>
        <w:t>-0</w:t>
      </w:r>
      <w:r w:rsidR="00352EC1">
        <w:rPr>
          <w:rFonts w:ascii="宋体" w:hAnsi="宋体" w:hint="eastAsia"/>
          <w:bCs/>
          <w:sz w:val="24"/>
        </w:rPr>
        <w:t>14</w:t>
      </w:r>
    </w:p>
    <w:p w:rsidR="009714B8" w:rsidRDefault="009714B8" w:rsidP="002A1BB3">
      <w:pPr>
        <w:snapToGrid w:val="0"/>
        <w:spacing w:line="276" w:lineRule="auto"/>
        <w:jc w:val="center"/>
        <w:rPr>
          <w:rFonts w:ascii="黑体" w:eastAsia="黑体" w:hAnsi="宋体" w:cs="Arial"/>
          <w:b/>
          <w:sz w:val="32"/>
          <w:szCs w:val="32"/>
        </w:rPr>
      </w:pPr>
    </w:p>
    <w:p w:rsidR="009714B8" w:rsidRDefault="009D0EDF">
      <w:pPr>
        <w:snapToGrid w:val="0"/>
        <w:spacing w:line="360" w:lineRule="auto"/>
        <w:jc w:val="center"/>
        <w:rPr>
          <w:rFonts w:ascii="黑体" w:eastAsia="黑体" w:hAnsi="宋体" w:cs="Arial"/>
          <w:b/>
          <w:sz w:val="30"/>
          <w:szCs w:val="30"/>
        </w:rPr>
      </w:pPr>
      <w:r>
        <w:rPr>
          <w:rFonts w:ascii="黑体" w:eastAsia="黑体" w:hAnsi="宋体" w:cs="Arial" w:hint="eastAsia"/>
          <w:b/>
          <w:sz w:val="30"/>
          <w:szCs w:val="30"/>
        </w:rPr>
        <w:t>江苏华西集团财务有限公司</w:t>
      </w:r>
    </w:p>
    <w:p w:rsidR="009714B8" w:rsidRDefault="009D0EDF">
      <w:pPr>
        <w:snapToGrid w:val="0"/>
        <w:spacing w:line="360" w:lineRule="auto"/>
        <w:jc w:val="center"/>
        <w:rPr>
          <w:rFonts w:ascii="黑体" w:eastAsia="黑体" w:hAnsi="宋体" w:cs="Arial"/>
          <w:b/>
          <w:sz w:val="30"/>
          <w:szCs w:val="30"/>
        </w:rPr>
      </w:pPr>
      <w:r>
        <w:rPr>
          <w:rFonts w:ascii="黑体" w:eastAsia="黑体" w:hAnsi="宋体" w:cs="Arial" w:hint="eastAsia"/>
          <w:b/>
          <w:sz w:val="30"/>
          <w:szCs w:val="30"/>
        </w:rPr>
        <w:t>风险持续评估报告</w:t>
      </w:r>
    </w:p>
    <w:p w:rsidR="009714B8" w:rsidRDefault="009714B8" w:rsidP="002A1BB3">
      <w:pPr>
        <w:snapToGrid w:val="0"/>
        <w:spacing w:line="276" w:lineRule="auto"/>
        <w:jc w:val="center"/>
        <w:rPr>
          <w:rFonts w:ascii="黑体" w:eastAsia="黑体" w:hAnsi="宋体" w:cs="Arial"/>
          <w:b/>
          <w:sz w:val="32"/>
          <w:szCs w:val="32"/>
        </w:rPr>
      </w:pPr>
    </w:p>
    <w:p w:rsidR="009714B8" w:rsidRDefault="009D0EDF" w:rsidP="002A1BB3">
      <w:pPr>
        <w:adjustRightInd w:val="0"/>
        <w:snapToGrid w:val="0"/>
        <w:spacing w:line="360" w:lineRule="auto"/>
        <w:ind w:firstLineChars="200" w:firstLine="480"/>
        <w:rPr>
          <w:rFonts w:ascii="宋体" w:hAnsi="宋体"/>
          <w:sz w:val="24"/>
        </w:rPr>
      </w:pPr>
      <w:r>
        <w:rPr>
          <w:rFonts w:ascii="宋体" w:hAnsi="宋体" w:hint="eastAsia"/>
          <w:sz w:val="24"/>
        </w:rPr>
        <w:t>本公司及董事会全体成员保证信息披露的内容真实、准确、完整，没有虚假记载、误导性陈述或重大遗漏。</w:t>
      </w:r>
    </w:p>
    <w:p w:rsidR="009714B8" w:rsidRDefault="009714B8" w:rsidP="002A1BB3">
      <w:pPr>
        <w:snapToGrid w:val="0"/>
        <w:spacing w:line="276" w:lineRule="auto"/>
        <w:ind w:leftChars="57" w:left="120" w:firstLineChars="150" w:firstLine="482"/>
        <w:rPr>
          <w:rFonts w:ascii="宋体" w:hAnsi="宋体" w:cs="Arial"/>
          <w:b/>
          <w:sz w:val="32"/>
          <w:szCs w:val="32"/>
        </w:rPr>
      </w:pPr>
    </w:p>
    <w:p w:rsidR="009714B8" w:rsidRDefault="009D0EDF">
      <w:pPr>
        <w:adjustRightInd w:val="0"/>
        <w:snapToGrid w:val="0"/>
        <w:spacing w:line="360" w:lineRule="auto"/>
        <w:ind w:firstLineChars="200" w:firstLine="480"/>
        <w:rPr>
          <w:rFonts w:ascii="宋体" w:hAnsi="宋体" w:cs="Arial"/>
          <w:sz w:val="24"/>
        </w:rPr>
      </w:pPr>
      <w:r>
        <w:rPr>
          <w:rFonts w:ascii="宋体" w:hAnsi="宋体" w:cs="Arial" w:hint="eastAsia"/>
          <w:sz w:val="24"/>
        </w:rPr>
        <w:t>根据深圳证</w:t>
      </w:r>
      <w:r>
        <w:rPr>
          <w:rFonts w:ascii="宋体" w:hAnsi="宋体" w:hint="eastAsia"/>
          <w:sz w:val="24"/>
        </w:rPr>
        <w:t>券交易所《上市公司自律监管指引第7号——交易与关联交易》的要求，江苏华西村股份有限公司（以下简</w:t>
      </w:r>
      <w:r>
        <w:rPr>
          <w:rFonts w:ascii="宋体" w:hAnsi="宋体" w:cs="Arial" w:hint="eastAsia"/>
          <w:sz w:val="24"/>
        </w:rPr>
        <w:t>称“公司”）通过查验江苏华西集团财务有限公司(以下简称“华西财务”)</w:t>
      </w:r>
      <w:r w:rsidR="0078123E">
        <w:rPr>
          <w:rFonts w:ascii="宋体" w:hAnsi="宋体" w:cs="Arial" w:hint="eastAsia"/>
          <w:sz w:val="24"/>
        </w:rPr>
        <w:t>《金融许可证》</w:t>
      </w:r>
      <w:r>
        <w:rPr>
          <w:rFonts w:ascii="宋体" w:hAnsi="宋体" w:cs="Arial" w:hint="eastAsia"/>
          <w:sz w:val="24"/>
        </w:rPr>
        <w:t>《企业法人营业执照》等证件资料，</w:t>
      </w:r>
      <w:r w:rsidRPr="00511878">
        <w:rPr>
          <w:rFonts w:ascii="宋体" w:hAnsi="宋体" w:cs="Arial" w:hint="eastAsia"/>
          <w:sz w:val="24"/>
        </w:rPr>
        <w:t>并审阅了</w:t>
      </w:r>
      <w:r w:rsidR="0078123E" w:rsidRPr="00511878">
        <w:rPr>
          <w:rFonts w:ascii="宋体" w:hAnsi="宋体" w:cs="Arial" w:hint="eastAsia"/>
          <w:sz w:val="24"/>
        </w:rPr>
        <w:t>中证天通会计师事务所（特殊普通合伙）</w:t>
      </w:r>
      <w:r w:rsidR="00441E71" w:rsidRPr="00511878">
        <w:rPr>
          <w:rFonts w:ascii="宋体" w:hAnsi="宋体" w:cs="Arial" w:hint="eastAsia"/>
          <w:sz w:val="24"/>
        </w:rPr>
        <w:t>江苏分所</w:t>
      </w:r>
      <w:r w:rsidR="00E67D08" w:rsidRPr="00511878">
        <w:rPr>
          <w:rFonts w:ascii="宋体" w:hAnsi="宋体" w:cs="Arial" w:hint="eastAsia"/>
          <w:sz w:val="24"/>
        </w:rPr>
        <w:t>出具的2024年度</w:t>
      </w:r>
      <w:r w:rsidRPr="00511878">
        <w:rPr>
          <w:rFonts w:ascii="宋体" w:hAnsi="宋体" w:cs="Arial" w:hint="eastAsia"/>
          <w:sz w:val="24"/>
        </w:rPr>
        <w:t>审计</w:t>
      </w:r>
      <w:r w:rsidR="00E67D08" w:rsidRPr="00511878">
        <w:rPr>
          <w:rFonts w:ascii="宋体" w:hAnsi="宋体" w:cs="Arial" w:hint="eastAsia"/>
          <w:sz w:val="24"/>
        </w:rPr>
        <w:t>报告</w:t>
      </w:r>
      <w:r w:rsidRPr="00511878">
        <w:rPr>
          <w:rFonts w:ascii="宋体" w:hAnsi="宋体" w:cs="Arial" w:hint="eastAsia"/>
          <w:sz w:val="24"/>
        </w:rPr>
        <w:t>，</w:t>
      </w:r>
      <w:r>
        <w:rPr>
          <w:rFonts w:ascii="宋体" w:hAnsi="宋体" w:cs="Arial" w:hint="eastAsia"/>
          <w:sz w:val="24"/>
        </w:rPr>
        <w:t>公司对华西财务的经营资质、业务和风险状况进行了评估，具体情况报告如下：</w:t>
      </w:r>
    </w:p>
    <w:p w:rsidR="009714B8" w:rsidRDefault="009D0EDF">
      <w:pPr>
        <w:adjustRightInd w:val="0"/>
        <w:snapToGrid w:val="0"/>
        <w:spacing w:line="360" w:lineRule="auto"/>
        <w:ind w:firstLineChars="200" w:firstLine="482"/>
        <w:rPr>
          <w:rFonts w:ascii="宋体" w:hAnsi="宋体" w:cs="Arial"/>
          <w:b/>
          <w:sz w:val="24"/>
        </w:rPr>
      </w:pPr>
      <w:r>
        <w:rPr>
          <w:rFonts w:ascii="宋体" w:hAnsi="宋体" w:cs="Arial" w:hint="eastAsia"/>
          <w:b/>
          <w:sz w:val="24"/>
        </w:rPr>
        <w:t>一、华西财务基本情况</w:t>
      </w:r>
    </w:p>
    <w:p w:rsidR="009714B8" w:rsidRDefault="009D0EDF">
      <w:pPr>
        <w:adjustRightInd w:val="0"/>
        <w:snapToGrid w:val="0"/>
        <w:spacing w:line="360" w:lineRule="auto"/>
        <w:ind w:firstLineChars="200" w:firstLine="480"/>
        <w:rPr>
          <w:rFonts w:ascii="宋体" w:hAnsi="宋体" w:cs="Arial"/>
          <w:sz w:val="24"/>
        </w:rPr>
      </w:pPr>
      <w:r>
        <w:rPr>
          <w:rFonts w:ascii="宋体" w:hAnsi="宋体" w:cs="Arial" w:hint="eastAsia"/>
          <w:sz w:val="24"/>
        </w:rPr>
        <w:t>华西财务隶属于江苏华西集团有限公司，系2009年9月经中国银行业监督管理委员会</w:t>
      </w:r>
      <w:proofErr w:type="gramStart"/>
      <w:r>
        <w:rPr>
          <w:rFonts w:ascii="宋体" w:hAnsi="宋体" w:cs="Arial" w:hint="eastAsia"/>
          <w:sz w:val="24"/>
        </w:rPr>
        <w:t>银监复〔2009〕</w:t>
      </w:r>
      <w:proofErr w:type="gramEnd"/>
      <w:r>
        <w:rPr>
          <w:rFonts w:ascii="宋体" w:hAnsi="宋体" w:cs="Arial" w:hint="eastAsia"/>
          <w:sz w:val="24"/>
        </w:rPr>
        <w:t>316号文件批准，江苏华西集团公司（现已变更为“江苏华西集团有限公司”）以股权并购重组方式设立的非银行金融机构。2009年9月，华西财务取得江苏银监局颁发的《金融许可证》〔金融许可证号：L0101H232020001〕，同年9月，华西财务取得江阴市工商行政管理局颁发的《企业法人营业执照》，华西财务于2009年10月正式揭牌开业，法定代表人：包丽君，统一社会信用代码：91320281134916911G，注册地：</w:t>
      </w:r>
      <w:r>
        <w:rPr>
          <w:rFonts w:ascii="宋体" w:hAnsi="宋体" w:cs="Arial"/>
          <w:sz w:val="24"/>
        </w:rPr>
        <w:t>江阴市华士镇华西新市村民族路199号（南苑宾馆）2号别墅</w:t>
      </w:r>
      <w:r>
        <w:rPr>
          <w:rFonts w:ascii="宋体" w:hAnsi="宋体" w:cs="Arial" w:hint="eastAsia"/>
          <w:sz w:val="24"/>
        </w:rPr>
        <w:t>。</w:t>
      </w:r>
    </w:p>
    <w:p w:rsidR="009714B8" w:rsidRDefault="009D0EDF">
      <w:pPr>
        <w:adjustRightInd w:val="0"/>
        <w:snapToGrid w:val="0"/>
        <w:spacing w:line="360" w:lineRule="auto"/>
        <w:ind w:firstLineChars="200" w:firstLine="480"/>
        <w:rPr>
          <w:rFonts w:ascii="宋体" w:hAnsi="宋体" w:cs="Arial"/>
          <w:sz w:val="24"/>
        </w:rPr>
      </w:pPr>
      <w:r>
        <w:rPr>
          <w:rFonts w:ascii="宋体" w:hAnsi="宋体" w:cs="Arial" w:hint="eastAsia"/>
          <w:sz w:val="24"/>
        </w:rPr>
        <w:t>华西财务注册资本75,000万元（人民币），其中：江苏华西集团有限公司出资67,500万元，出资比例90%；本公司出资7,500万元，出资比例10%。</w:t>
      </w:r>
    </w:p>
    <w:p w:rsidR="009714B8" w:rsidRPr="009B1CD8" w:rsidRDefault="009D0EDF" w:rsidP="009B1CD8">
      <w:pPr>
        <w:adjustRightInd w:val="0"/>
        <w:snapToGrid w:val="0"/>
        <w:spacing w:line="360" w:lineRule="auto"/>
        <w:ind w:firstLineChars="200" w:firstLine="480"/>
        <w:rPr>
          <w:rFonts w:ascii="宋体" w:hAnsi="宋体" w:cs="Arial"/>
          <w:sz w:val="24"/>
        </w:rPr>
      </w:pPr>
      <w:r w:rsidRPr="009B1CD8">
        <w:rPr>
          <w:rFonts w:ascii="宋体" w:hAnsi="宋体" w:cs="Arial" w:hint="eastAsia"/>
          <w:sz w:val="24"/>
        </w:rPr>
        <w:t>业务范围：经国家金融监督管理总局或其派出机构核准，公司可从事以下业务</w:t>
      </w:r>
      <w:r w:rsidR="009B1CD8" w:rsidRPr="009B1CD8">
        <w:rPr>
          <w:rFonts w:ascii="宋体" w:hAnsi="宋体" w:cs="Arial" w:hint="eastAsia"/>
          <w:sz w:val="24"/>
        </w:rPr>
        <w:t>：</w:t>
      </w:r>
    </w:p>
    <w:p w:rsidR="009714B8" w:rsidRPr="009B1CD8" w:rsidRDefault="009D0EDF" w:rsidP="009B1CD8">
      <w:pPr>
        <w:adjustRightInd w:val="0"/>
        <w:snapToGrid w:val="0"/>
        <w:spacing w:line="360" w:lineRule="auto"/>
        <w:ind w:firstLineChars="200" w:firstLine="480"/>
        <w:rPr>
          <w:rFonts w:ascii="宋体" w:hAnsi="宋体" w:cs="Arial"/>
          <w:sz w:val="24"/>
        </w:rPr>
      </w:pPr>
      <w:r w:rsidRPr="009B1CD8">
        <w:rPr>
          <w:rFonts w:ascii="宋体" w:hAnsi="宋体" w:cs="Arial" w:hint="eastAsia"/>
          <w:sz w:val="24"/>
        </w:rPr>
        <w:t>吸收成员单位存款；办理成员单位贷款；办理成员单位票据贴现；办理成员单位资金结算与收付；提供成员单位委托贷款、债券承销、非融资性保函、财务</w:t>
      </w:r>
      <w:r w:rsidRPr="009B1CD8">
        <w:rPr>
          <w:rFonts w:ascii="宋体" w:hAnsi="宋体" w:cs="Arial" w:hint="eastAsia"/>
          <w:sz w:val="24"/>
        </w:rPr>
        <w:lastRenderedPageBreak/>
        <w:t>顾问、信用鉴证及咨询代理业务。</w:t>
      </w:r>
    </w:p>
    <w:p w:rsidR="009714B8" w:rsidRPr="009B1CD8" w:rsidRDefault="009D0EDF" w:rsidP="009B1CD8">
      <w:pPr>
        <w:adjustRightInd w:val="0"/>
        <w:snapToGrid w:val="0"/>
        <w:spacing w:line="360" w:lineRule="auto"/>
        <w:ind w:firstLineChars="200" w:firstLine="480"/>
        <w:rPr>
          <w:rFonts w:ascii="宋体" w:hAnsi="宋体" w:cs="Arial"/>
          <w:sz w:val="24"/>
        </w:rPr>
      </w:pPr>
      <w:r w:rsidRPr="009B1CD8">
        <w:rPr>
          <w:rFonts w:ascii="宋体" w:hAnsi="宋体" w:cs="Arial" w:hint="eastAsia"/>
          <w:sz w:val="24"/>
        </w:rPr>
        <w:t>可以向国家金融监督管理总局或其派出机构申请经营下列本外币业务：</w:t>
      </w:r>
    </w:p>
    <w:p w:rsidR="009714B8" w:rsidRDefault="009D0EDF" w:rsidP="009B1CD8">
      <w:pPr>
        <w:adjustRightInd w:val="0"/>
        <w:snapToGrid w:val="0"/>
        <w:spacing w:line="360" w:lineRule="auto"/>
        <w:ind w:firstLineChars="200" w:firstLine="480"/>
        <w:rPr>
          <w:rFonts w:ascii="宋体" w:hAnsi="宋体" w:cs="Arial"/>
          <w:sz w:val="24"/>
        </w:rPr>
      </w:pPr>
      <w:r w:rsidRPr="009B1CD8">
        <w:rPr>
          <w:rFonts w:ascii="宋体" w:hAnsi="宋体" w:cs="Arial" w:hint="eastAsia"/>
          <w:sz w:val="24"/>
        </w:rPr>
        <w:t>从事同业拆借；办理成员单位票据承兑；办理成员单位产品买方信贷和消费信贷；从事固定收益类有价证券投资；从事套期保值类衍生产品交易；国家金融监督管理总局批准的其他业务。</w:t>
      </w:r>
    </w:p>
    <w:p w:rsidR="00D20427" w:rsidRPr="00D20427" w:rsidRDefault="00D20427" w:rsidP="009B1CD8">
      <w:pPr>
        <w:adjustRightInd w:val="0"/>
        <w:snapToGrid w:val="0"/>
        <w:spacing w:line="360" w:lineRule="auto"/>
        <w:ind w:firstLineChars="200" w:firstLine="480"/>
        <w:rPr>
          <w:rFonts w:ascii="宋体" w:hAnsi="宋体" w:cs="Arial"/>
          <w:sz w:val="24"/>
        </w:rPr>
      </w:pPr>
    </w:p>
    <w:p w:rsidR="00834DA0" w:rsidRDefault="00834DA0" w:rsidP="00834DA0">
      <w:pPr>
        <w:adjustRightInd w:val="0"/>
        <w:snapToGrid w:val="0"/>
        <w:spacing w:line="343" w:lineRule="auto"/>
        <w:ind w:leftChars="57" w:left="120" w:firstLineChars="200" w:firstLine="482"/>
        <w:rPr>
          <w:rFonts w:ascii="宋体" w:hAnsi="宋体" w:cs="Arial"/>
          <w:b/>
          <w:sz w:val="24"/>
        </w:rPr>
      </w:pPr>
      <w:r>
        <w:rPr>
          <w:rFonts w:ascii="宋体" w:hAnsi="宋体" w:cs="Arial" w:hint="eastAsia"/>
          <w:b/>
          <w:sz w:val="24"/>
        </w:rPr>
        <w:t>二、华西财务内部控制基本情况</w:t>
      </w:r>
    </w:p>
    <w:p w:rsidR="00834DA0" w:rsidRDefault="00834DA0" w:rsidP="00834DA0">
      <w:pPr>
        <w:adjustRightInd w:val="0"/>
        <w:snapToGrid w:val="0"/>
        <w:spacing w:line="343" w:lineRule="auto"/>
        <w:ind w:leftChars="57" w:left="120" w:firstLineChars="200" w:firstLine="480"/>
        <w:rPr>
          <w:rFonts w:ascii="宋体" w:cs="Arial"/>
          <w:sz w:val="24"/>
        </w:rPr>
      </w:pPr>
      <w:r>
        <w:rPr>
          <w:rFonts w:ascii="宋体" w:cs="Arial" w:hint="eastAsia"/>
          <w:sz w:val="24"/>
        </w:rPr>
        <w:t>（一）控制环境</w:t>
      </w:r>
    </w:p>
    <w:p w:rsidR="00834DA0" w:rsidRDefault="00834DA0" w:rsidP="00834DA0">
      <w:pPr>
        <w:adjustRightInd w:val="0"/>
        <w:snapToGrid w:val="0"/>
        <w:spacing w:line="343" w:lineRule="auto"/>
        <w:ind w:leftChars="57" w:left="120" w:firstLineChars="200" w:firstLine="480"/>
        <w:rPr>
          <w:rFonts w:ascii="宋体" w:cs="Arial"/>
          <w:sz w:val="24"/>
        </w:rPr>
      </w:pPr>
      <w:r>
        <w:rPr>
          <w:rFonts w:ascii="宋体" w:cs="Arial" w:hint="eastAsia"/>
          <w:sz w:val="24"/>
        </w:rPr>
        <w:t>华西财务已按照《江苏华西集团财务有限公司章程》中的规定设立了股东会、董事会、监事会，并对董事会和董事、监事、高级管理层在内部控制中的责任进行了规定。华西财务治理结构健全，管理运作规范，建立了分工合理、职责明确、报告关系清晰的组织架构，为风险管理的有效性提供必要的前提条件。华西财务按照决策系统、执行系统、监督反馈系统相互制衡的原则设置了华西财务的组织结构：</w:t>
      </w:r>
    </w:p>
    <w:p w:rsidR="00834DA0" w:rsidRDefault="00834DA0" w:rsidP="002A1BB3">
      <w:pPr>
        <w:spacing w:line="360" w:lineRule="auto"/>
        <w:ind w:leftChars="57" w:left="120" w:firstLineChars="200" w:firstLine="420"/>
        <w:rPr>
          <w:rFonts w:ascii="宋体" w:cs="Arial"/>
          <w:sz w:val="24"/>
        </w:rPr>
      </w:pPr>
      <w:r>
        <w:rPr>
          <w:rFonts w:hint="eastAsia"/>
          <w:noProof/>
        </w:rPr>
        <w:drawing>
          <wp:inline distT="0" distB="0" distL="114300" distR="114300" wp14:anchorId="0E49C277" wp14:editId="3EB600C2">
            <wp:extent cx="5074920" cy="4503420"/>
            <wp:effectExtent l="0" t="0" r="0" b="0"/>
            <wp:docPr id="1" name="图片 1" descr="3~O~PKE[`~{SD6%L{_JA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 descr="3~O~PKE[`~{SD6%L{_JAF$3"/>
                    <pic:cNvPicPr>
                      <a:picLocks noChangeAspect="1"/>
                    </pic:cNvPicPr>
                  </pic:nvPicPr>
                  <pic:blipFill>
                    <a:blip r:embed="rId7"/>
                    <a:stretch>
                      <a:fillRect/>
                    </a:stretch>
                  </pic:blipFill>
                  <pic:spPr>
                    <a:xfrm>
                      <a:off x="0" y="0"/>
                      <a:ext cx="5076235" cy="4504587"/>
                    </a:xfrm>
                    <a:prstGeom prst="rect">
                      <a:avLst/>
                    </a:prstGeom>
                    <a:noFill/>
                    <a:ln>
                      <a:noFill/>
                    </a:ln>
                  </pic:spPr>
                </pic:pic>
              </a:graphicData>
            </a:graphic>
          </wp:inline>
        </w:drawing>
      </w:r>
    </w:p>
    <w:p w:rsidR="00834DA0" w:rsidRDefault="00834DA0" w:rsidP="00834DA0">
      <w:pPr>
        <w:tabs>
          <w:tab w:val="left" w:pos="180"/>
        </w:tabs>
        <w:spacing w:line="360" w:lineRule="auto"/>
        <w:ind w:leftChars="57" w:left="120" w:firstLineChars="200" w:firstLine="480"/>
        <w:rPr>
          <w:rFonts w:ascii="宋体"/>
          <w:sz w:val="24"/>
        </w:rPr>
      </w:pPr>
      <w:r>
        <w:rPr>
          <w:rFonts w:ascii="宋体" w:hint="eastAsia"/>
          <w:sz w:val="24"/>
        </w:rPr>
        <w:t>董事会负责保证华西财务建立并实施充分而有效的内部控制体系；负责审</w:t>
      </w:r>
      <w:r>
        <w:rPr>
          <w:rFonts w:ascii="宋体" w:hint="eastAsia"/>
          <w:sz w:val="24"/>
        </w:rPr>
        <w:lastRenderedPageBreak/>
        <w:t>批整体经营战略和重大政策并定期检查、评价执行情况；负责确保华西财务在法律和政策的框架内审慎经营，明确设定可接受的风险程度，确保高级管理层采取必要措施识别、计量、监测并控制风险；负责审批组织机构；负责保证高级管理层对内部控制体系的充分性与有效性进行监测和评估。</w:t>
      </w:r>
    </w:p>
    <w:p w:rsidR="00834DA0" w:rsidRDefault="00834DA0" w:rsidP="00834DA0">
      <w:pPr>
        <w:tabs>
          <w:tab w:val="left" w:pos="180"/>
        </w:tabs>
        <w:spacing w:line="360" w:lineRule="auto"/>
        <w:ind w:leftChars="57" w:left="120" w:firstLineChars="200" w:firstLine="480"/>
        <w:rPr>
          <w:rFonts w:ascii="宋体"/>
          <w:sz w:val="24"/>
        </w:rPr>
      </w:pPr>
      <w:r>
        <w:rPr>
          <w:rFonts w:ascii="宋体" w:hint="eastAsia"/>
          <w:sz w:val="24"/>
        </w:rPr>
        <w:t>监事会负责监督董事会、高级管理层完善内部控制体系；负责监督董事会及董事、高级管理层及高级管理人员履行内部控制职责；负责要求董事、董事长及高级管理人员纠正其损害华西财务利益的行为并监督执行。</w:t>
      </w:r>
    </w:p>
    <w:p w:rsidR="00834DA0" w:rsidRDefault="00834DA0" w:rsidP="00834DA0">
      <w:pPr>
        <w:tabs>
          <w:tab w:val="left" w:pos="180"/>
        </w:tabs>
        <w:spacing w:line="360" w:lineRule="auto"/>
        <w:ind w:leftChars="57" w:left="120" w:firstLineChars="200" w:firstLine="480"/>
        <w:rPr>
          <w:rFonts w:ascii="宋体"/>
          <w:sz w:val="24"/>
        </w:rPr>
      </w:pPr>
      <w:r>
        <w:rPr>
          <w:rFonts w:ascii="宋体" w:hint="eastAsia"/>
          <w:sz w:val="24"/>
        </w:rPr>
        <w:t>高级管理层负责制定内部控制政策，对内部控制体系的充分性与有效性进行监测和评估；负责执行董事会决策，落实内部控制制度；负责建立识别、计量、监测并控制风险的程序和措施；负责建立和完善内部组织机构，保证内部控制的各项职责得到有效履行。</w:t>
      </w:r>
    </w:p>
    <w:p w:rsidR="00834DA0" w:rsidRDefault="00834DA0" w:rsidP="00834DA0">
      <w:pPr>
        <w:tabs>
          <w:tab w:val="left" w:pos="180"/>
        </w:tabs>
        <w:spacing w:line="360" w:lineRule="auto"/>
        <w:ind w:leftChars="57" w:left="120" w:firstLineChars="200" w:firstLine="480"/>
        <w:rPr>
          <w:rFonts w:ascii="宋体"/>
          <w:sz w:val="24"/>
        </w:rPr>
      </w:pPr>
      <w:r w:rsidRPr="00E56A0F">
        <w:rPr>
          <w:rFonts w:ascii="宋体" w:hint="eastAsia"/>
          <w:sz w:val="24"/>
        </w:rPr>
        <w:t>风险管理委员会：根据董事会确定的风险管理政策和目标，制定风险管理</w:t>
      </w:r>
      <w:r>
        <w:rPr>
          <w:rFonts w:ascii="宋体" w:hint="eastAsia"/>
          <w:sz w:val="24"/>
        </w:rPr>
        <w:t>具体政策和分支目标，负责研究制定华西财务各项经营业务的风险控制规章，审议各类大额资产经营(信贷授信)业务,审核资产质量分类结果。华西财务风险管理委员会成员由董事会部分成员、集团主要管理（职能）部门负责人及集团主要产业相关部门负责人组成。风险管理委员会主任由董事长担任。</w:t>
      </w:r>
    </w:p>
    <w:p w:rsidR="00834DA0" w:rsidRDefault="00834DA0" w:rsidP="00834DA0">
      <w:pPr>
        <w:tabs>
          <w:tab w:val="left" w:pos="180"/>
        </w:tabs>
        <w:spacing w:line="360" w:lineRule="auto"/>
        <w:ind w:leftChars="57" w:left="120" w:firstLineChars="200" w:firstLine="480"/>
        <w:rPr>
          <w:rFonts w:ascii="宋体"/>
          <w:sz w:val="24"/>
        </w:rPr>
      </w:pPr>
      <w:r>
        <w:rPr>
          <w:rFonts w:ascii="宋体" w:hint="eastAsia"/>
          <w:sz w:val="24"/>
        </w:rPr>
        <w:t>战略发展委员会：主要负责对华西财务发展战略和重大投资、融资方案等方面的事项进行研究并提出建议。战略发展委员会成员由三至六名组成，人员由华西财务董事会部分成员、华西集团主要管理（职能）部门负责人及集团主要产业相关部门负责人组成。董事长担任主任，集团发展战略部或对外投资部负责人担任副主任（为体现防火墙要求，该负责人不再参与集团其他金融企业的经营或管理），其成员还可聘请集团外部从事集团经济和产业金融发展研究的机构专家或专业人员参加或组成专项课题组。</w:t>
      </w:r>
    </w:p>
    <w:p w:rsidR="00834DA0" w:rsidRDefault="00834DA0" w:rsidP="00834DA0">
      <w:pPr>
        <w:tabs>
          <w:tab w:val="left" w:pos="180"/>
        </w:tabs>
        <w:spacing w:line="360" w:lineRule="auto"/>
        <w:ind w:leftChars="57" w:left="120" w:firstLineChars="200" w:firstLine="480"/>
        <w:rPr>
          <w:rFonts w:ascii="宋体"/>
          <w:sz w:val="24"/>
        </w:rPr>
      </w:pPr>
      <w:r>
        <w:rPr>
          <w:rFonts w:ascii="宋体" w:hint="eastAsia"/>
          <w:sz w:val="24"/>
        </w:rPr>
        <w:t>审计委员会：</w:t>
      </w:r>
      <w:r>
        <w:rPr>
          <w:rFonts w:ascii="宋体" w:cs="宋体" w:hint="eastAsia"/>
          <w:sz w:val="24"/>
        </w:rPr>
        <w:t>根据华西财务董事会授权，审核华西财务内部审计章程等重要制度和报告，审批中长期审计规划和年度审计计划，指导、考核和评价内部审计工作，审核监督及评估华西财务内部控制，审查华西财务的财务报告；监督及评估外部审计机构，确保内部审计工作的独立和质量。</w:t>
      </w:r>
    </w:p>
    <w:p w:rsidR="00834DA0" w:rsidRPr="00E56A0F" w:rsidRDefault="00834DA0" w:rsidP="00834DA0">
      <w:pPr>
        <w:tabs>
          <w:tab w:val="left" w:pos="180"/>
        </w:tabs>
        <w:spacing w:line="360" w:lineRule="auto"/>
        <w:ind w:leftChars="57" w:left="120" w:firstLineChars="200" w:firstLine="480"/>
        <w:rPr>
          <w:rFonts w:ascii="宋体"/>
          <w:sz w:val="24"/>
        </w:rPr>
      </w:pPr>
      <w:r>
        <w:rPr>
          <w:rFonts w:ascii="宋体" w:hint="eastAsia"/>
          <w:sz w:val="24"/>
        </w:rPr>
        <w:t>贷款审查委员会：华西财务设立了经营层领导下贷款审查委员会, 华西财务贷款审查委员会（以下简称“贷审委”）是对董事会授权范围、额度内的授</w:t>
      </w:r>
      <w:r>
        <w:rPr>
          <w:rFonts w:ascii="宋体" w:hint="eastAsia"/>
          <w:sz w:val="24"/>
        </w:rPr>
        <w:lastRenderedPageBreak/>
        <w:t>信业务（包括贷款、融资租赁、票据贴现和承兑、担保等）进行审批的集体决策机构，是对超过董事会授权范围、额度的授信业务进行风险控制、前期审批的日常决策机构。贷审委实行委员制，委员由副总经理、金融部、计划结算部</w:t>
      </w:r>
      <w:r w:rsidRPr="00E56A0F">
        <w:rPr>
          <w:rFonts w:ascii="宋体" w:hint="eastAsia"/>
          <w:sz w:val="24"/>
        </w:rPr>
        <w:t>、风险合规部等部门负责人组成。总经理有一票否决权。</w:t>
      </w:r>
    </w:p>
    <w:p w:rsidR="00834DA0" w:rsidRDefault="00834DA0" w:rsidP="00834DA0">
      <w:pPr>
        <w:tabs>
          <w:tab w:val="left" w:pos="180"/>
        </w:tabs>
        <w:spacing w:line="360" w:lineRule="auto"/>
        <w:ind w:leftChars="57" w:left="120" w:firstLineChars="200" w:firstLine="480"/>
        <w:rPr>
          <w:rFonts w:ascii="宋体"/>
          <w:sz w:val="24"/>
        </w:rPr>
      </w:pPr>
      <w:r>
        <w:rPr>
          <w:rFonts w:ascii="宋体" w:hint="eastAsia"/>
          <w:sz w:val="24"/>
        </w:rPr>
        <w:t>信息科技管理委员会：审议信息科技发展规划并提交董事会审批，确保信息科技发展规划与业务发展规划保持一致；审查批准主要信息科技工作制度；审议信息科技年度工作计划及预算；审议重大信息科技项目的立项、预算和实施；审查批准重大信息科技运营、安全、业务连续性、应急管理相关事项；检查所拟订和审议事项的落实和执行情况；组织对信息科技风险管理、安全管理</w:t>
      </w:r>
      <w:r w:rsidR="00E67D08">
        <w:rPr>
          <w:rFonts w:ascii="宋体" w:hint="eastAsia"/>
          <w:sz w:val="24"/>
        </w:rPr>
        <w:t>进行评估和报告；定期向董事会和经营管理层汇报信息科技规划的执行、</w:t>
      </w:r>
      <w:r>
        <w:rPr>
          <w:rFonts w:ascii="宋体" w:hint="eastAsia"/>
          <w:sz w:val="24"/>
        </w:rPr>
        <w:t>信息科技预算和实际支出、信息科技的整体状况；审查其他有关信息科技工作中的重大事项。</w:t>
      </w:r>
    </w:p>
    <w:p w:rsidR="00834DA0" w:rsidRDefault="00834DA0" w:rsidP="00834DA0">
      <w:pPr>
        <w:tabs>
          <w:tab w:val="left" w:pos="180"/>
        </w:tabs>
        <w:spacing w:line="360" w:lineRule="auto"/>
        <w:ind w:leftChars="57" w:left="120" w:firstLineChars="200" w:firstLine="480"/>
        <w:rPr>
          <w:rFonts w:ascii="宋体"/>
          <w:sz w:val="24"/>
        </w:rPr>
      </w:pPr>
      <w:r>
        <w:rPr>
          <w:rFonts w:ascii="宋体" w:hint="eastAsia"/>
          <w:sz w:val="24"/>
        </w:rPr>
        <w:t>财务核算部：对资金业务对象和产品实行统一授信，实行严格的前后台职责分离，建立中台风险监控和管理制度，防止资金交易员从事越权交易，防止欺诈行为，防止因违规操作和风险识别不足导致的重大损失。</w:t>
      </w:r>
    </w:p>
    <w:p w:rsidR="00834DA0" w:rsidRDefault="00834DA0" w:rsidP="00834DA0">
      <w:pPr>
        <w:tabs>
          <w:tab w:val="left" w:pos="180"/>
        </w:tabs>
        <w:spacing w:line="360" w:lineRule="auto"/>
        <w:ind w:leftChars="57" w:left="120" w:firstLineChars="200" w:firstLine="480"/>
        <w:rPr>
          <w:rFonts w:ascii="宋体"/>
          <w:sz w:val="24"/>
        </w:rPr>
      </w:pPr>
      <w:r>
        <w:rPr>
          <w:rFonts w:ascii="宋体" w:hint="eastAsia"/>
          <w:sz w:val="24"/>
        </w:rPr>
        <w:t>计划结算部：对要害部位和重点岗位实施有效监控，严格执行账户管理、会计核算制度和各项操作规程，防止内部操作风险和违规经营行为，防止内部挪用、贪污以及洗钱、金融诈骗等非法活动，确保华西财务和客户资金的安全。</w:t>
      </w:r>
    </w:p>
    <w:p w:rsidR="00834DA0" w:rsidRDefault="00834DA0" w:rsidP="00834DA0">
      <w:pPr>
        <w:tabs>
          <w:tab w:val="left" w:pos="180"/>
        </w:tabs>
        <w:spacing w:line="360" w:lineRule="auto"/>
        <w:ind w:leftChars="57" w:left="120" w:firstLineChars="200" w:firstLine="480"/>
        <w:rPr>
          <w:rFonts w:ascii="宋体"/>
          <w:sz w:val="24"/>
        </w:rPr>
      </w:pPr>
      <w:r>
        <w:rPr>
          <w:rFonts w:ascii="宋体" w:hint="eastAsia"/>
          <w:sz w:val="24"/>
        </w:rPr>
        <w:t>金融部：实行统一授信管理，健全客户信用风险识别与监测体系，完善授信决策与审批机制，防止对单一客户、关联企业客户授信风险的高度集中，防止违反信贷原则发放关系人贷款和人情贷款，防止信贷资金违规使用。</w:t>
      </w:r>
    </w:p>
    <w:p w:rsidR="00834DA0" w:rsidRDefault="00834DA0" w:rsidP="00834DA0">
      <w:pPr>
        <w:tabs>
          <w:tab w:val="left" w:pos="180"/>
        </w:tabs>
        <w:spacing w:line="360" w:lineRule="auto"/>
        <w:ind w:leftChars="57" w:left="120" w:firstLineChars="200" w:firstLine="480"/>
        <w:rPr>
          <w:rFonts w:ascii="宋体"/>
          <w:sz w:val="24"/>
        </w:rPr>
      </w:pPr>
      <w:r>
        <w:rPr>
          <w:rFonts w:ascii="宋体" w:hint="eastAsia"/>
          <w:sz w:val="24"/>
        </w:rPr>
        <w:t>风险合规部：牵头管理华西财务各类风险的职能部门，主要承担华西财务风险管理制度的建设和维护；对经营活动的风险、合规性进行管控、监督、检查和评估,并向总经理和风险控制委员会报告；归口督促落实内外部审计、监管部门监管意见整改要求；承担风险控制委员会和信贷审查委员会的日常工作等职能。</w:t>
      </w:r>
    </w:p>
    <w:p w:rsidR="00834DA0" w:rsidRDefault="00834DA0" w:rsidP="00834DA0">
      <w:pPr>
        <w:tabs>
          <w:tab w:val="left" w:pos="180"/>
        </w:tabs>
        <w:spacing w:line="360" w:lineRule="auto"/>
        <w:ind w:leftChars="57" w:left="120" w:firstLineChars="200" w:firstLine="480"/>
        <w:rPr>
          <w:rFonts w:ascii="宋体"/>
          <w:sz w:val="24"/>
        </w:rPr>
      </w:pPr>
      <w:r>
        <w:rPr>
          <w:rFonts w:ascii="宋体" w:hint="eastAsia"/>
          <w:sz w:val="24"/>
        </w:rPr>
        <w:t>稽核审计部：独立于业务层和经营管理层，隶属于董事会，以风险防范为目的，运用内部稽核(审计)的监督职能。以影响企业实现经营目标的经营风险为依据确定审计项目，将企业进行的所有风险活动作为测试重点，评价风险控</w:t>
      </w:r>
      <w:r>
        <w:rPr>
          <w:rFonts w:ascii="宋体" w:hint="eastAsia"/>
          <w:sz w:val="24"/>
        </w:rPr>
        <w:lastRenderedPageBreak/>
        <w:t>制是否有效，包括常规业务稽核、专项稽核、后续稽核,并提出恰当的建议，跟踪后续整改落实情况，定期或不定期向董事会汇报。</w:t>
      </w:r>
    </w:p>
    <w:p w:rsidR="00834DA0" w:rsidRDefault="00834DA0" w:rsidP="00834DA0">
      <w:pPr>
        <w:tabs>
          <w:tab w:val="left" w:pos="180"/>
        </w:tabs>
        <w:spacing w:line="360" w:lineRule="auto"/>
        <w:ind w:leftChars="57" w:left="120" w:firstLineChars="200" w:firstLine="480"/>
        <w:rPr>
          <w:rFonts w:ascii="宋体"/>
          <w:sz w:val="24"/>
        </w:rPr>
      </w:pPr>
    </w:p>
    <w:p w:rsidR="00834DA0" w:rsidRDefault="00834DA0" w:rsidP="00834DA0">
      <w:pPr>
        <w:tabs>
          <w:tab w:val="left" w:pos="180"/>
        </w:tabs>
        <w:spacing w:line="360" w:lineRule="auto"/>
        <w:ind w:leftChars="57" w:left="120" w:firstLineChars="200" w:firstLine="480"/>
        <w:rPr>
          <w:rFonts w:ascii="宋体"/>
          <w:sz w:val="24"/>
        </w:rPr>
      </w:pPr>
      <w:r>
        <w:rPr>
          <w:rFonts w:ascii="宋体" w:hint="eastAsia"/>
          <w:sz w:val="24"/>
        </w:rPr>
        <w:t>（二）风险的识别与评估</w:t>
      </w:r>
    </w:p>
    <w:p w:rsidR="00834DA0" w:rsidRDefault="00834DA0" w:rsidP="00834DA0">
      <w:pPr>
        <w:tabs>
          <w:tab w:val="left" w:pos="180"/>
        </w:tabs>
        <w:spacing w:line="360" w:lineRule="auto"/>
        <w:ind w:leftChars="57" w:left="120" w:firstLineChars="200" w:firstLine="480"/>
        <w:rPr>
          <w:rFonts w:ascii="宋体"/>
          <w:sz w:val="24"/>
        </w:rPr>
      </w:pPr>
      <w:r>
        <w:rPr>
          <w:rFonts w:ascii="宋体" w:hint="eastAsia"/>
          <w:sz w:val="24"/>
        </w:rPr>
        <w:t>华西财务按照审慎经营的原则，制订了一系列内部控制制度、应急预案及各项业务的管理办法和操作流程。华西财务董事会下设独立的风险管理委员会</w:t>
      </w:r>
      <w:r w:rsidRPr="00BD5C07">
        <w:rPr>
          <w:rFonts w:ascii="宋体" w:hint="eastAsia"/>
          <w:sz w:val="24"/>
        </w:rPr>
        <w:t>及风险合规部。风险管理委员会是董事会授权进行风险管理的常设机构，风险合规部负责处理风险管理委员会的日常事务，对风险管理委员会会议的执行情况进行监督；华西财务董事会下设审计委员会及稽核审计部，对华西财务的业</w:t>
      </w:r>
      <w:r>
        <w:rPr>
          <w:rFonts w:ascii="宋体" w:hint="eastAsia"/>
          <w:sz w:val="24"/>
        </w:rPr>
        <w:t>务活动进行监督稽核检查，并针对存在问题提出意见和建议。</w:t>
      </w:r>
    </w:p>
    <w:p w:rsidR="00834DA0" w:rsidRDefault="00834DA0" w:rsidP="00834DA0">
      <w:pPr>
        <w:tabs>
          <w:tab w:val="left" w:pos="180"/>
        </w:tabs>
        <w:spacing w:line="360" w:lineRule="auto"/>
        <w:ind w:leftChars="57" w:left="120" w:firstLineChars="200" w:firstLine="480"/>
        <w:rPr>
          <w:rFonts w:ascii="宋体"/>
          <w:sz w:val="24"/>
        </w:rPr>
      </w:pPr>
      <w:r>
        <w:rPr>
          <w:rFonts w:ascii="宋体" w:hint="eastAsia"/>
          <w:sz w:val="24"/>
        </w:rPr>
        <w:t>华西财务根据各项业务的不同特点制定各种不同的风险控制制度、操作流程和风险防范措施等，各部门责任分离，相互监督，对各种风险进行预测、评估和控制。华西财务目前业务经营中主要面临信用风险、流动风险和操作风险。风险管理的目标是在风险和收益之间取得适当的平衡，确保在合理的风险下安全、稳健经营。</w:t>
      </w:r>
    </w:p>
    <w:p w:rsidR="00834DA0" w:rsidRDefault="00834DA0" w:rsidP="00834DA0">
      <w:pPr>
        <w:spacing w:line="360" w:lineRule="auto"/>
        <w:ind w:firstLineChars="200" w:firstLine="480"/>
        <w:rPr>
          <w:rFonts w:ascii="宋体"/>
          <w:sz w:val="24"/>
        </w:rPr>
      </w:pPr>
      <w:r>
        <w:rPr>
          <w:rFonts w:ascii="宋体" w:hint="eastAsia"/>
          <w:sz w:val="24"/>
        </w:rPr>
        <w:t>1、信用风险的识别和评估</w:t>
      </w:r>
    </w:p>
    <w:p w:rsidR="00834DA0" w:rsidRDefault="00834DA0" w:rsidP="00834DA0">
      <w:pPr>
        <w:spacing w:line="360" w:lineRule="auto"/>
        <w:ind w:firstLine="435"/>
        <w:rPr>
          <w:rFonts w:ascii="宋体"/>
          <w:sz w:val="24"/>
        </w:rPr>
      </w:pPr>
      <w:r>
        <w:rPr>
          <w:rFonts w:ascii="宋体" w:hint="eastAsia"/>
          <w:sz w:val="24"/>
        </w:rPr>
        <w:t>信用风险是指借款人或交易对手无法履行到期合同约定的义务或承担的风险。对华西财务来说，信用风险主要存在于授信和贷款业务之中。</w:t>
      </w:r>
    </w:p>
    <w:p w:rsidR="00834DA0" w:rsidRDefault="00834DA0" w:rsidP="00834DA0">
      <w:pPr>
        <w:spacing w:line="360" w:lineRule="auto"/>
        <w:ind w:firstLine="435"/>
        <w:rPr>
          <w:rFonts w:ascii="宋体"/>
          <w:sz w:val="24"/>
        </w:rPr>
      </w:pPr>
      <w:r>
        <w:rPr>
          <w:rFonts w:ascii="宋体" w:hint="eastAsia"/>
          <w:sz w:val="24"/>
        </w:rPr>
        <w:t>华西财务根据成员单位的借款申请，对申请人进行贷前调查，评估申请人和申请业务的信用风险，形成书面的尽职调查报告。</w:t>
      </w:r>
    </w:p>
    <w:p w:rsidR="00834DA0" w:rsidRDefault="00834DA0" w:rsidP="00834DA0">
      <w:pPr>
        <w:spacing w:line="360" w:lineRule="auto"/>
        <w:ind w:firstLine="435"/>
        <w:rPr>
          <w:rFonts w:ascii="宋体"/>
          <w:sz w:val="24"/>
        </w:rPr>
      </w:pPr>
      <w:r>
        <w:rPr>
          <w:rFonts w:ascii="宋体" w:hint="eastAsia"/>
          <w:sz w:val="24"/>
        </w:rPr>
        <w:t>华西财务贷款实行分级审批制度，在综合考虑申请人信用状况、财务状况和保证情况、信贷组合总体信用风险、宏观调控政策以及法律法规限制等各种因素基础上，确定授信限额，结合国家宏观调控趋势，加强信贷业务的政策动态指引和行业差异化管理。</w:t>
      </w:r>
    </w:p>
    <w:p w:rsidR="00834DA0" w:rsidRDefault="00834DA0" w:rsidP="00834DA0">
      <w:pPr>
        <w:spacing w:line="360" w:lineRule="auto"/>
        <w:ind w:firstLine="435"/>
        <w:rPr>
          <w:rFonts w:ascii="宋体"/>
          <w:sz w:val="24"/>
        </w:rPr>
      </w:pPr>
      <w:r>
        <w:rPr>
          <w:rFonts w:ascii="宋体" w:hint="eastAsia"/>
          <w:sz w:val="24"/>
        </w:rPr>
        <w:t>华西财务在尽职调查的基础上，建立适合于不同成员单位的信用评级体系与计分标准，增加信用评级的准确性和可参考性，有效降低信用风险。</w:t>
      </w:r>
    </w:p>
    <w:p w:rsidR="00834DA0" w:rsidRDefault="00834DA0" w:rsidP="00834DA0">
      <w:pPr>
        <w:spacing w:line="360" w:lineRule="auto"/>
        <w:ind w:firstLine="435"/>
        <w:rPr>
          <w:rFonts w:ascii="宋体"/>
          <w:sz w:val="24"/>
        </w:rPr>
      </w:pPr>
      <w:r>
        <w:rPr>
          <w:rFonts w:ascii="宋体" w:hint="eastAsia"/>
          <w:sz w:val="24"/>
        </w:rPr>
        <w:t>评估：华西财务采用授信调查、授信审批、贷款发放、贷后监控和不良贷款管理等措施作为信用风险评估的手段。每季对贷款户进行财务数据、财务指标、贷款使用情况、贷款和贴现使用效益情况、保证情况和风险预警信息等贷后检查，</w:t>
      </w:r>
      <w:r>
        <w:rPr>
          <w:rFonts w:ascii="宋体" w:hint="eastAsia"/>
          <w:sz w:val="24"/>
        </w:rPr>
        <w:lastRenderedPageBreak/>
        <w:t>并形成书面报告，管理贷款信用风险。</w:t>
      </w:r>
    </w:p>
    <w:p w:rsidR="00834DA0" w:rsidRDefault="00834DA0" w:rsidP="00834DA0">
      <w:pPr>
        <w:spacing w:line="360" w:lineRule="auto"/>
        <w:ind w:firstLine="435"/>
        <w:rPr>
          <w:rFonts w:ascii="宋体"/>
          <w:sz w:val="24"/>
        </w:rPr>
      </w:pPr>
    </w:p>
    <w:p w:rsidR="00834DA0" w:rsidRDefault="00834DA0" w:rsidP="00834DA0">
      <w:pPr>
        <w:spacing w:line="360" w:lineRule="auto"/>
        <w:ind w:firstLineChars="200" w:firstLine="480"/>
        <w:rPr>
          <w:rFonts w:ascii="宋体"/>
          <w:sz w:val="24"/>
        </w:rPr>
      </w:pPr>
      <w:r>
        <w:rPr>
          <w:rFonts w:ascii="宋体" w:hint="eastAsia"/>
          <w:sz w:val="24"/>
        </w:rPr>
        <w:t>2、流动性风险识别和评估</w:t>
      </w:r>
    </w:p>
    <w:p w:rsidR="00834DA0" w:rsidRDefault="00834DA0" w:rsidP="00834DA0">
      <w:pPr>
        <w:spacing w:line="360" w:lineRule="auto"/>
        <w:ind w:firstLineChars="200" w:firstLine="480"/>
        <w:rPr>
          <w:rFonts w:ascii="宋体"/>
          <w:sz w:val="24"/>
        </w:rPr>
      </w:pPr>
      <w:r>
        <w:rPr>
          <w:rFonts w:ascii="宋体" w:hint="eastAsia"/>
          <w:sz w:val="24"/>
        </w:rPr>
        <w:t>流动性风险是指没有足够资金以满足到期债务支付的风险。流动性风险主要来自存款人提前或集中提款、借款人延期偿还贷款、资产负债的金额与到期日错配等。</w:t>
      </w:r>
    </w:p>
    <w:p w:rsidR="00834DA0" w:rsidRDefault="00834DA0" w:rsidP="00834DA0">
      <w:pPr>
        <w:spacing w:line="360" w:lineRule="auto"/>
        <w:ind w:firstLineChars="200" w:firstLine="480"/>
        <w:rPr>
          <w:rFonts w:ascii="宋体"/>
          <w:sz w:val="24"/>
        </w:rPr>
      </w:pPr>
      <w:r>
        <w:rPr>
          <w:rFonts w:ascii="宋体" w:hint="eastAsia"/>
          <w:sz w:val="24"/>
        </w:rPr>
        <w:t>华西财务制订了《人民币资金管理办法》、《流动性风险管理办法》等制度，对流动性风险进行识别和监管。华西财务资金业务按照“集中管理、计划指导、分块经营、比例调控”进行管理。计划资金部编制年度资金经营计划，报总经理室批准后组织各业务部门实施；另外，每季度编制资金经营计划，同时每日编制资金头寸表和同业存放明细表，及时掌握资金变动情况。</w:t>
      </w:r>
    </w:p>
    <w:p w:rsidR="00834DA0" w:rsidRDefault="00834DA0" w:rsidP="00834DA0">
      <w:pPr>
        <w:spacing w:line="360" w:lineRule="auto"/>
        <w:ind w:firstLine="435"/>
        <w:rPr>
          <w:rFonts w:ascii="宋体"/>
          <w:sz w:val="24"/>
        </w:rPr>
      </w:pPr>
      <w:r>
        <w:rPr>
          <w:rFonts w:ascii="宋体" w:hint="eastAsia"/>
          <w:sz w:val="24"/>
        </w:rPr>
        <w:t>华西财务在系统中建立流动性风险指标实时监测功能，包括流动性比例、资本充足率等，及时反映流动性风险状况。</w:t>
      </w:r>
    </w:p>
    <w:p w:rsidR="00834DA0" w:rsidRDefault="00834DA0" w:rsidP="00834DA0">
      <w:pPr>
        <w:spacing w:line="360" w:lineRule="auto"/>
        <w:ind w:firstLine="435"/>
        <w:rPr>
          <w:rFonts w:ascii="宋体"/>
          <w:sz w:val="24"/>
        </w:rPr>
      </w:pPr>
      <w:r>
        <w:rPr>
          <w:rFonts w:ascii="宋体" w:hint="eastAsia"/>
          <w:sz w:val="24"/>
        </w:rPr>
        <w:t>评估：华西财务建立了流动性风险监测指标，定期对流动性风险进行评估，资本充足率、拆入资金比例、对单一债务人的最大融资比例等。</w:t>
      </w:r>
    </w:p>
    <w:p w:rsidR="00834DA0" w:rsidRDefault="00834DA0" w:rsidP="00834DA0">
      <w:pPr>
        <w:spacing w:line="360" w:lineRule="auto"/>
        <w:ind w:firstLine="435"/>
        <w:rPr>
          <w:rFonts w:ascii="宋体"/>
          <w:sz w:val="24"/>
        </w:rPr>
      </w:pPr>
    </w:p>
    <w:p w:rsidR="00834DA0" w:rsidRDefault="00834DA0" w:rsidP="00834DA0">
      <w:pPr>
        <w:spacing w:line="360" w:lineRule="auto"/>
        <w:ind w:firstLineChars="200" w:firstLine="480"/>
        <w:rPr>
          <w:rFonts w:ascii="宋体"/>
          <w:sz w:val="24"/>
        </w:rPr>
      </w:pPr>
      <w:r>
        <w:rPr>
          <w:rFonts w:ascii="宋体" w:hint="eastAsia"/>
          <w:sz w:val="24"/>
        </w:rPr>
        <w:t>3、操作风险识别和评估</w:t>
      </w:r>
    </w:p>
    <w:p w:rsidR="00834DA0" w:rsidRDefault="00834DA0" w:rsidP="00834DA0">
      <w:pPr>
        <w:spacing w:line="360" w:lineRule="auto"/>
        <w:ind w:firstLine="435"/>
        <w:rPr>
          <w:rFonts w:ascii="宋体"/>
          <w:sz w:val="24"/>
        </w:rPr>
      </w:pPr>
      <w:r>
        <w:rPr>
          <w:rFonts w:ascii="宋体" w:hint="eastAsia"/>
          <w:sz w:val="24"/>
        </w:rPr>
        <w:t>操作风险是指由于人为错误、技术缺陷或不利的外部事件而导致的直接或间接损失的风险，可以分为由人员、流程、系统和外部事件所引发的风险，该风险存在于华西财务业务和管理的各个方面。华西财务对操作风险的识别体现在以下几个方面：</w:t>
      </w:r>
    </w:p>
    <w:p w:rsidR="00834DA0" w:rsidRDefault="00834DA0" w:rsidP="00834DA0">
      <w:pPr>
        <w:spacing w:line="360" w:lineRule="auto"/>
        <w:ind w:firstLine="435"/>
        <w:rPr>
          <w:rFonts w:ascii="宋体"/>
          <w:sz w:val="24"/>
        </w:rPr>
      </w:pPr>
      <w:r>
        <w:rPr>
          <w:rFonts w:ascii="宋体" w:hint="eastAsia"/>
          <w:sz w:val="24"/>
        </w:rPr>
        <w:t>（1）对人员因素风险：华西财务建立轮岗制度、培训制度以及操作风险报告制度。</w:t>
      </w:r>
    </w:p>
    <w:p w:rsidR="00834DA0" w:rsidRDefault="00834DA0" w:rsidP="00834DA0">
      <w:pPr>
        <w:spacing w:line="360" w:lineRule="auto"/>
        <w:ind w:firstLine="435"/>
        <w:rPr>
          <w:rFonts w:ascii="宋体"/>
          <w:sz w:val="24"/>
        </w:rPr>
      </w:pPr>
      <w:r>
        <w:rPr>
          <w:rFonts w:ascii="宋体" w:hint="eastAsia"/>
          <w:sz w:val="24"/>
        </w:rPr>
        <w:t>（2）对内部流程风险：华西财务制订了详细的岗位职责，并通过制度安排，严格操作流程。华西财务制订了《内部控制制度》、《风险管理分类管理办法》、《合规风险管理制度》及《内部稽核工作管理办法》等，构筑三级风险防范体系。</w:t>
      </w:r>
    </w:p>
    <w:p w:rsidR="00834DA0" w:rsidRDefault="00834DA0" w:rsidP="00834DA0">
      <w:pPr>
        <w:spacing w:line="360" w:lineRule="auto"/>
        <w:ind w:firstLine="435"/>
        <w:rPr>
          <w:rFonts w:ascii="宋体"/>
          <w:sz w:val="24"/>
        </w:rPr>
      </w:pPr>
      <w:r>
        <w:rPr>
          <w:rFonts w:ascii="宋体" w:hint="eastAsia"/>
          <w:sz w:val="24"/>
        </w:rPr>
        <w:t>（3）信息系统风险：华西财务制订《计算机信息系统风险管理办法》，实行总经理负责制，对华西财务的总体风险、研发风险、运行维护风险方面以及信息系统风险审计作出了规定并严格执行。</w:t>
      </w:r>
    </w:p>
    <w:p w:rsidR="00834DA0" w:rsidRDefault="00834DA0" w:rsidP="00834DA0">
      <w:pPr>
        <w:spacing w:line="360" w:lineRule="auto"/>
        <w:ind w:firstLine="435"/>
        <w:rPr>
          <w:rFonts w:ascii="宋体"/>
          <w:sz w:val="24"/>
        </w:rPr>
      </w:pPr>
      <w:r>
        <w:rPr>
          <w:rFonts w:ascii="宋体" w:hint="eastAsia"/>
          <w:sz w:val="24"/>
        </w:rPr>
        <w:lastRenderedPageBreak/>
        <w:t>评估：华西财务主要通过自我评估法，在内部控制体系的基础上，借助电子信息技术科学手段，全员参与，识别出经营管理中存在的风险。</w:t>
      </w:r>
    </w:p>
    <w:p w:rsidR="00834DA0" w:rsidRDefault="00834DA0" w:rsidP="00834DA0">
      <w:pPr>
        <w:spacing w:line="360" w:lineRule="auto"/>
        <w:ind w:firstLine="435"/>
        <w:rPr>
          <w:rFonts w:ascii="宋体"/>
          <w:sz w:val="24"/>
        </w:rPr>
      </w:pPr>
    </w:p>
    <w:p w:rsidR="00834DA0" w:rsidRDefault="00834DA0" w:rsidP="00834DA0">
      <w:pPr>
        <w:tabs>
          <w:tab w:val="left" w:pos="180"/>
        </w:tabs>
        <w:spacing w:line="360" w:lineRule="auto"/>
        <w:ind w:leftChars="57" w:left="120" w:firstLineChars="200" w:firstLine="480"/>
        <w:rPr>
          <w:rFonts w:ascii="宋体"/>
          <w:sz w:val="24"/>
        </w:rPr>
      </w:pPr>
      <w:r>
        <w:rPr>
          <w:rFonts w:ascii="宋体" w:hint="eastAsia"/>
          <w:sz w:val="24"/>
        </w:rPr>
        <w:t>（三）主要控制活动</w:t>
      </w:r>
    </w:p>
    <w:p w:rsidR="00834DA0" w:rsidRDefault="00834DA0" w:rsidP="00834DA0">
      <w:pPr>
        <w:tabs>
          <w:tab w:val="left" w:pos="180"/>
        </w:tabs>
        <w:spacing w:line="360" w:lineRule="auto"/>
        <w:ind w:leftChars="57" w:left="120" w:firstLineChars="200" w:firstLine="480"/>
        <w:rPr>
          <w:rFonts w:ascii="宋体"/>
          <w:sz w:val="24"/>
        </w:rPr>
      </w:pPr>
      <w:r>
        <w:rPr>
          <w:rFonts w:ascii="宋体" w:hint="eastAsia"/>
          <w:sz w:val="24"/>
        </w:rPr>
        <w:t>1、信贷业务控制</w:t>
      </w:r>
    </w:p>
    <w:p w:rsidR="00834DA0" w:rsidRDefault="00834DA0" w:rsidP="00834DA0">
      <w:pPr>
        <w:tabs>
          <w:tab w:val="left" w:pos="180"/>
        </w:tabs>
        <w:spacing w:line="360" w:lineRule="auto"/>
        <w:ind w:leftChars="57" w:left="120" w:firstLineChars="200" w:firstLine="480"/>
        <w:rPr>
          <w:rFonts w:ascii="宋体"/>
          <w:sz w:val="24"/>
        </w:rPr>
      </w:pPr>
      <w:r>
        <w:rPr>
          <w:rFonts w:ascii="宋体" w:hint="eastAsia"/>
          <w:sz w:val="24"/>
        </w:rPr>
        <w:t>（1）建立了审贷分离、分级审批的管理机制。华西财务制定了《贷款业务管理办法》《商业承兑汇票承兑、贴现业务管理办法》《担保业务管理办法》《综合授信管理办法》等业务管理办法,并对现有业务制定了相应的操作流程。</w:t>
      </w:r>
    </w:p>
    <w:p w:rsidR="00834DA0" w:rsidRDefault="00834DA0" w:rsidP="00834DA0">
      <w:pPr>
        <w:tabs>
          <w:tab w:val="left" w:pos="180"/>
        </w:tabs>
        <w:spacing w:line="360" w:lineRule="auto"/>
        <w:ind w:leftChars="57" w:left="120" w:firstLineChars="200" w:firstLine="480"/>
        <w:rPr>
          <w:rFonts w:ascii="宋体"/>
          <w:sz w:val="24"/>
        </w:rPr>
      </w:pPr>
      <w:r>
        <w:rPr>
          <w:rFonts w:ascii="宋体" w:hint="eastAsia"/>
          <w:sz w:val="24"/>
        </w:rPr>
        <w:t>截至2024年</w:t>
      </w:r>
      <w:r w:rsidR="001007B7">
        <w:rPr>
          <w:rFonts w:ascii="宋体" w:hint="eastAsia"/>
          <w:sz w:val="24"/>
        </w:rPr>
        <w:t>12</w:t>
      </w:r>
      <w:r>
        <w:rPr>
          <w:rFonts w:ascii="宋体" w:hint="eastAsia"/>
          <w:sz w:val="24"/>
        </w:rPr>
        <w:t>月3</w:t>
      </w:r>
      <w:r w:rsidR="001007B7">
        <w:rPr>
          <w:rFonts w:ascii="宋体" w:hint="eastAsia"/>
          <w:sz w:val="24"/>
        </w:rPr>
        <w:t>1</w:t>
      </w:r>
      <w:r>
        <w:rPr>
          <w:rFonts w:ascii="宋体" w:hint="eastAsia"/>
          <w:sz w:val="24"/>
        </w:rPr>
        <w:t>日，华西财务开展的信贷业务的对象仅限于江苏华西集团有限公司的成员单位。华西财务亦未发生不良贷款。</w:t>
      </w:r>
    </w:p>
    <w:p w:rsidR="00834DA0" w:rsidRDefault="00834DA0" w:rsidP="00834DA0">
      <w:pPr>
        <w:tabs>
          <w:tab w:val="left" w:pos="180"/>
        </w:tabs>
        <w:spacing w:line="360" w:lineRule="auto"/>
        <w:ind w:leftChars="57" w:left="120" w:firstLineChars="200" w:firstLine="480"/>
        <w:rPr>
          <w:rFonts w:ascii="宋体"/>
          <w:sz w:val="24"/>
        </w:rPr>
      </w:pPr>
      <w:r>
        <w:rPr>
          <w:rFonts w:ascii="宋体" w:hint="eastAsia"/>
          <w:sz w:val="24"/>
        </w:rPr>
        <w:t>（2）建立了审贷分离、分级审批的贷款管理办法，华西财务根据贷款规模、种类、期限、担保条件确定审查程序和审批权限，严格按照程序和权限审查、审批贷款。建立和健全了金融部门和信贷岗位工作职责，金融部门的岗位设置做到分工合理，职责明确。贷款调查人员负责贷款调查评估，承担调查失误和评估失准的责任，贷款审查人员负责贷款风险的审查，承担审查失误的责任，贷款发放人员负责贷款的检查和清收、承担检查失误、清收不力的责任。华西财务设立了风险管理委员会，作为信贷业务的最高决策机构。华西财务同时设立了贷款审查委员会，贷审会在风险管理委员会规定的审批权限内进行授信额度、信贷资产发放的审批。金融业务部门审核通过的授信及贷款申请，报送贷审会审批，超过权限的报送风险管理委员会审批。审议表决遵循集体审议、明确发表意见，独立表决、少数服从多数的原则,全部意见记录存档。华西财务总经理对贷审会的评审决定有一票否决权，但无一票决定权。总经理对贷审会决议拥有复议权。</w:t>
      </w:r>
    </w:p>
    <w:p w:rsidR="00834DA0" w:rsidRDefault="00834DA0" w:rsidP="00834DA0">
      <w:pPr>
        <w:tabs>
          <w:tab w:val="left" w:pos="180"/>
        </w:tabs>
        <w:spacing w:line="360" w:lineRule="auto"/>
        <w:ind w:leftChars="57" w:left="120" w:firstLineChars="200" w:firstLine="480"/>
        <w:rPr>
          <w:rFonts w:ascii="宋体"/>
          <w:sz w:val="24"/>
        </w:rPr>
      </w:pPr>
    </w:p>
    <w:p w:rsidR="00834DA0" w:rsidRDefault="00834DA0" w:rsidP="00834DA0">
      <w:pPr>
        <w:tabs>
          <w:tab w:val="left" w:pos="180"/>
        </w:tabs>
        <w:spacing w:line="360" w:lineRule="auto"/>
        <w:ind w:leftChars="57" w:left="120" w:firstLineChars="200" w:firstLine="480"/>
        <w:rPr>
          <w:rFonts w:ascii="宋体"/>
          <w:sz w:val="24"/>
        </w:rPr>
      </w:pPr>
      <w:r>
        <w:rPr>
          <w:rFonts w:ascii="宋体" w:cs="Arial" w:hint="eastAsia"/>
          <w:color w:val="333333"/>
          <w:sz w:val="24"/>
        </w:rPr>
        <w:t>2</w:t>
      </w:r>
      <w:r>
        <w:rPr>
          <w:rFonts w:ascii="宋体" w:hint="eastAsia"/>
          <w:sz w:val="24"/>
        </w:rPr>
        <w:t>、结算业务控制</w:t>
      </w:r>
    </w:p>
    <w:p w:rsidR="00834DA0" w:rsidRDefault="00834DA0" w:rsidP="00834DA0">
      <w:pPr>
        <w:tabs>
          <w:tab w:val="left" w:pos="180"/>
        </w:tabs>
        <w:spacing w:line="360" w:lineRule="auto"/>
        <w:ind w:leftChars="57" w:left="120" w:firstLineChars="200" w:firstLine="480"/>
        <w:rPr>
          <w:rFonts w:ascii="宋体"/>
          <w:sz w:val="24"/>
        </w:rPr>
      </w:pPr>
      <w:r>
        <w:rPr>
          <w:rFonts w:ascii="宋体" w:hint="eastAsia"/>
          <w:sz w:val="24"/>
        </w:rPr>
        <w:t>华西财务根据国家有关部门规定的各项规章制度，制定了《集团成员单位人民币账户管理办法》《成员单位交易款项收付业务管理办法及操作规程》等结算业务管理制度、业务操作流程，做到首先在程序和流程中规定操作规范和控制标准，有效控制了业务风险。</w:t>
      </w:r>
    </w:p>
    <w:p w:rsidR="00834DA0" w:rsidRDefault="00834DA0" w:rsidP="00834DA0">
      <w:pPr>
        <w:tabs>
          <w:tab w:val="left" w:pos="180"/>
        </w:tabs>
        <w:spacing w:line="360" w:lineRule="auto"/>
        <w:ind w:leftChars="57" w:left="120" w:firstLineChars="200" w:firstLine="480"/>
        <w:rPr>
          <w:rFonts w:ascii="宋体"/>
          <w:sz w:val="24"/>
        </w:rPr>
      </w:pPr>
      <w:r>
        <w:rPr>
          <w:rFonts w:ascii="宋体" w:hint="eastAsia"/>
          <w:sz w:val="24"/>
        </w:rPr>
        <w:lastRenderedPageBreak/>
        <w:t>（1）在成员单位存款业务方面，华西财务严格遵循平等、自愿、公平和诚信的原则,在国家金融监督管理总局颁布规范的权限内严格操作，保障成员单位资金安全，维护其合法权益。</w:t>
      </w:r>
    </w:p>
    <w:p w:rsidR="00834DA0" w:rsidRDefault="00834DA0" w:rsidP="00834DA0">
      <w:pPr>
        <w:tabs>
          <w:tab w:val="left" w:pos="180"/>
        </w:tabs>
        <w:spacing w:line="360" w:lineRule="auto"/>
        <w:ind w:leftChars="57" w:left="120" w:firstLineChars="200" w:firstLine="480"/>
        <w:rPr>
          <w:rFonts w:ascii="宋体"/>
          <w:sz w:val="24"/>
        </w:rPr>
      </w:pPr>
      <w:r>
        <w:rPr>
          <w:rFonts w:ascii="宋体" w:hint="eastAsia"/>
          <w:sz w:val="24"/>
        </w:rPr>
        <w:t>（2）资金集中管理和资金划转业务方面，华西财务成员单位在华西财务开设结算账户，通过网上银行或银行柜面实现资金的收支，严格保障结算资金安全、快捷、通畅，同时具有较高的数据安全性。会计营业部及时记账、换人复核,保证入账及时、准确，发现问题及时反馈。为加强风险控制，华西财务制定了《公司印章管理规定》、《重要空白凭证及有价单证管理制度》，将支票、公章、法人章、合同章、财务专用章、密钥、密码等由总经理分别授权，交予不同的人员保管、使用。</w:t>
      </w:r>
    </w:p>
    <w:p w:rsidR="00834DA0" w:rsidRDefault="00834DA0" w:rsidP="00834DA0">
      <w:pPr>
        <w:tabs>
          <w:tab w:val="left" w:pos="180"/>
        </w:tabs>
        <w:spacing w:line="360" w:lineRule="auto"/>
        <w:ind w:leftChars="57" w:left="120" w:firstLineChars="200" w:firstLine="480"/>
        <w:rPr>
          <w:rFonts w:ascii="宋体"/>
          <w:sz w:val="24"/>
        </w:rPr>
      </w:pPr>
    </w:p>
    <w:p w:rsidR="00834DA0" w:rsidRDefault="00834DA0" w:rsidP="00834DA0">
      <w:pPr>
        <w:tabs>
          <w:tab w:val="left" w:pos="180"/>
        </w:tabs>
        <w:spacing w:line="360" w:lineRule="auto"/>
        <w:ind w:leftChars="57" w:left="120" w:firstLineChars="200" w:firstLine="480"/>
        <w:rPr>
          <w:rFonts w:ascii="宋体"/>
          <w:sz w:val="24"/>
        </w:rPr>
      </w:pPr>
      <w:r>
        <w:rPr>
          <w:rFonts w:ascii="宋体" w:hint="eastAsia"/>
          <w:sz w:val="24"/>
        </w:rPr>
        <w:t>3、内部稽核控制</w:t>
      </w:r>
    </w:p>
    <w:p w:rsidR="00834DA0" w:rsidRDefault="00834DA0" w:rsidP="00834DA0">
      <w:pPr>
        <w:tabs>
          <w:tab w:val="left" w:pos="180"/>
        </w:tabs>
        <w:spacing w:line="360" w:lineRule="auto"/>
        <w:ind w:leftChars="57" w:left="120" w:firstLineChars="200" w:firstLine="480"/>
        <w:rPr>
          <w:rFonts w:ascii="宋体"/>
          <w:sz w:val="24"/>
        </w:rPr>
      </w:pPr>
      <w:r>
        <w:rPr>
          <w:rFonts w:ascii="宋体" w:hint="eastAsia"/>
          <w:sz w:val="24"/>
        </w:rPr>
        <w:t>华西财务实行内部稽核监督制度，设立了隶属于董事会的稽核审计部，制定了《内部稽核工作管理办法》等较为完整的内部稽核办法和操作规程，对各项经营和管理活动进行内部审计监督；对内部控制执行情况、业务和财务活动的合法性、安全性、准确性、效益性进行监督检查，发现内部控制薄弱环节、管理不善之处发出整改意见，督促涉及部门或个人整改，并对整改事项再复查以确保整改到位。稽核部门定期或不定期将稽核报告向董事会及审计委员会、监事会汇报。</w:t>
      </w:r>
    </w:p>
    <w:p w:rsidR="00834DA0" w:rsidRDefault="00834DA0" w:rsidP="00834DA0">
      <w:pPr>
        <w:tabs>
          <w:tab w:val="left" w:pos="180"/>
        </w:tabs>
        <w:spacing w:line="360" w:lineRule="auto"/>
        <w:ind w:leftChars="57" w:left="120" w:firstLineChars="200" w:firstLine="480"/>
        <w:rPr>
          <w:rFonts w:ascii="宋体"/>
          <w:sz w:val="24"/>
        </w:rPr>
      </w:pPr>
    </w:p>
    <w:p w:rsidR="00834DA0" w:rsidRDefault="00834DA0" w:rsidP="00834DA0">
      <w:pPr>
        <w:tabs>
          <w:tab w:val="left" w:pos="180"/>
        </w:tabs>
        <w:spacing w:line="360" w:lineRule="auto"/>
        <w:ind w:leftChars="57" w:left="120" w:firstLineChars="200" w:firstLine="480"/>
        <w:rPr>
          <w:rFonts w:ascii="宋体"/>
          <w:sz w:val="24"/>
        </w:rPr>
      </w:pPr>
      <w:r>
        <w:rPr>
          <w:rFonts w:ascii="宋体" w:hint="eastAsia"/>
          <w:sz w:val="24"/>
        </w:rPr>
        <w:t>4、信息系统控制</w:t>
      </w:r>
    </w:p>
    <w:p w:rsidR="00834DA0" w:rsidRDefault="00834DA0" w:rsidP="00834DA0">
      <w:pPr>
        <w:tabs>
          <w:tab w:val="left" w:pos="180"/>
        </w:tabs>
        <w:spacing w:line="360" w:lineRule="auto"/>
        <w:ind w:leftChars="57" w:left="120" w:firstLineChars="200" w:firstLine="480"/>
        <w:rPr>
          <w:rFonts w:ascii="宋体"/>
          <w:sz w:val="24"/>
        </w:rPr>
      </w:pPr>
      <w:r>
        <w:rPr>
          <w:rFonts w:ascii="宋体" w:hint="eastAsia"/>
          <w:sz w:val="24"/>
        </w:rPr>
        <w:t>华西财务目前信息系统主要包括结算模块、信贷业务模块、账务模块等。进入系统操作需经授权的人员凭用户密码才能进入。在系统后台数据库，只有经审批同意后的系统员才能登录数据库进行操作，保证了数据库的安全性。系统主机服务器存放于机房中，需经审批同意且有系统管理员陪同方可进入，机房安全得到保障。资金业务系统操作人员需经总经理授权密钥、密码凭各级资金审批划拨单才能进行操作，并由经总经理授权的最终审核人凭密钥、密码见各级资金审批划拨单才能完成本次交易，保证了划拨资金的安全、准确。</w:t>
      </w:r>
    </w:p>
    <w:p w:rsidR="00834DA0" w:rsidRDefault="00834DA0" w:rsidP="00834DA0">
      <w:pPr>
        <w:tabs>
          <w:tab w:val="left" w:pos="180"/>
        </w:tabs>
        <w:spacing w:line="360" w:lineRule="auto"/>
        <w:ind w:leftChars="57" w:left="120" w:firstLineChars="200" w:firstLine="480"/>
        <w:rPr>
          <w:rFonts w:ascii="宋体"/>
          <w:sz w:val="24"/>
        </w:rPr>
      </w:pPr>
    </w:p>
    <w:p w:rsidR="00834DA0" w:rsidRDefault="00834DA0" w:rsidP="00834DA0">
      <w:pPr>
        <w:tabs>
          <w:tab w:val="left" w:pos="180"/>
        </w:tabs>
        <w:spacing w:line="360" w:lineRule="auto"/>
        <w:ind w:leftChars="57" w:left="120" w:firstLineChars="200" w:firstLine="480"/>
        <w:rPr>
          <w:rFonts w:ascii="宋体"/>
          <w:sz w:val="24"/>
        </w:rPr>
      </w:pPr>
      <w:r>
        <w:rPr>
          <w:rFonts w:ascii="宋体" w:hint="eastAsia"/>
          <w:sz w:val="24"/>
        </w:rPr>
        <w:lastRenderedPageBreak/>
        <w:t>（四）内部控制总体评价</w:t>
      </w:r>
    </w:p>
    <w:p w:rsidR="00834DA0" w:rsidRDefault="00834DA0" w:rsidP="00834DA0">
      <w:pPr>
        <w:tabs>
          <w:tab w:val="left" w:pos="180"/>
        </w:tabs>
        <w:spacing w:line="360" w:lineRule="auto"/>
        <w:ind w:leftChars="57" w:left="120" w:firstLineChars="200" w:firstLine="480"/>
        <w:rPr>
          <w:rFonts w:ascii="宋体"/>
          <w:sz w:val="24"/>
        </w:rPr>
      </w:pPr>
      <w:r>
        <w:rPr>
          <w:rFonts w:ascii="宋体" w:hint="eastAsia"/>
          <w:sz w:val="24"/>
        </w:rPr>
        <w:t>华西财务已按照公司治理结构要求，建立健全了比较完善的内控制度，并得到了有效贯彻执行。在信贷业务开展方面建立了相应的风险控制程序，使业务整体风险控制在合理水平。在资金管理方面较好的控制了资金流转的风险,使成员单位资金始终处于安全可控状态。</w:t>
      </w:r>
    </w:p>
    <w:p w:rsidR="00834DA0" w:rsidRDefault="00834DA0" w:rsidP="00834DA0">
      <w:pPr>
        <w:tabs>
          <w:tab w:val="left" w:pos="180"/>
        </w:tabs>
        <w:spacing w:line="360" w:lineRule="auto"/>
        <w:ind w:leftChars="57" w:left="120" w:firstLineChars="200" w:firstLine="482"/>
        <w:rPr>
          <w:rFonts w:ascii="宋体" w:hAnsi="宋体"/>
          <w:b/>
          <w:sz w:val="24"/>
        </w:rPr>
      </w:pPr>
    </w:p>
    <w:p w:rsidR="009714B8" w:rsidRDefault="009D0EDF">
      <w:pPr>
        <w:tabs>
          <w:tab w:val="left" w:pos="180"/>
        </w:tabs>
        <w:spacing w:line="360" w:lineRule="auto"/>
        <w:ind w:leftChars="57" w:left="120" w:firstLineChars="200" w:firstLine="482"/>
        <w:rPr>
          <w:rFonts w:ascii="宋体" w:hAnsi="宋体"/>
          <w:b/>
          <w:sz w:val="24"/>
        </w:rPr>
      </w:pPr>
      <w:r>
        <w:rPr>
          <w:rFonts w:ascii="宋体" w:hAnsi="宋体" w:hint="eastAsia"/>
          <w:b/>
          <w:sz w:val="24"/>
        </w:rPr>
        <w:t>三、经营管理及风险管理情况</w:t>
      </w:r>
    </w:p>
    <w:p w:rsidR="009714B8" w:rsidRDefault="009D0EDF">
      <w:pPr>
        <w:tabs>
          <w:tab w:val="left" w:pos="180"/>
        </w:tabs>
        <w:spacing w:line="360" w:lineRule="auto"/>
        <w:ind w:leftChars="57" w:left="120" w:firstLineChars="200" w:firstLine="480"/>
        <w:rPr>
          <w:rFonts w:ascii="宋体"/>
          <w:sz w:val="24"/>
        </w:rPr>
      </w:pPr>
      <w:r>
        <w:rPr>
          <w:rFonts w:ascii="宋体" w:hint="eastAsia"/>
          <w:sz w:val="24"/>
        </w:rPr>
        <w:t>（一）经营情况</w:t>
      </w:r>
    </w:p>
    <w:p w:rsidR="009B1CD8" w:rsidRPr="00E67D08" w:rsidRDefault="00E67D08" w:rsidP="00E67D08">
      <w:pPr>
        <w:tabs>
          <w:tab w:val="left" w:pos="180"/>
        </w:tabs>
        <w:spacing w:line="360" w:lineRule="auto"/>
        <w:ind w:leftChars="57" w:left="120" w:firstLineChars="200" w:firstLine="480"/>
        <w:rPr>
          <w:rFonts w:ascii="宋体"/>
          <w:sz w:val="24"/>
        </w:rPr>
      </w:pPr>
      <w:r w:rsidRPr="00E67D08">
        <w:rPr>
          <w:rFonts w:ascii="宋体" w:hint="eastAsia"/>
          <w:sz w:val="24"/>
        </w:rPr>
        <w:t>截至2024年12月31日，华西财务经审计的总资产122,702.99万元，净资产90,805.21万元，2024年度实现营业收入1,490.35万元，净利润673.82万元。</w:t>
      </w:r>
    </w:p>
    <w:p w:rsidR="00E67D08" w:rsidRPr="00E67D08" w:rsidRDefault="00E67D08" w:rsidP="00D20427">
      <w:pPr>
        <w:tabs>
          <w:tab w:val="left" w:pos="180"/>
        </w:tabs>
        <w:ind w:leftChars="57" w:left="120" w:firstLineChars="200" w:firstLine="480"/>
        <w:rPr>
          <w:rFonts w:ascii="宋体"/>
          <w:sz w:val="24"/>
        </w:rPr>
      </w:pPr>
    </w:p>
    <w:p w:rsidR="009714B8" w:rsidRDefault="009D0EDF">
      <w:pPr>
        <w:tabs>
          <w:tab w:val="left" w:pos="180"/>
        </w:tabs>
        <w:spacing w:line="360" w:lineRule="auto"/>
        <w:ind w:leftChars="57" w:left="120" w:firstLineChars="200" w:firstLine="480"/>
        <w:rPr>
          <w:rFonts w:ascii="宋体"/>
          <w:sz w:val="24"/>
        </w:rPr>
      </w:pPr>
      <w:r>
        <w:rPr>
          <w:rFonts w:ascii="宋体" w:hint="eastAsia"/>
          <w:sz w:val="24"/>
        </w:rPr>
        <w:t>（二）管理情况</w:t>
      </w:r>
    </w:p>
    <w:p w:rsidR="009714B8" w:rsidRDefault="009D0EDF">
      <w:pPr>
        <w:tabs>
          <w:tab w:val="left" w:pos="180"/>
        </w:tabs>
        <w:spacing w:line="360" w:lineRule="auto"/>
        <w:ind w:leftChars="57" w:left="120" w:firstLineChars="200" w:firstLine="480"/>
        <w:rPr>
          <w:rFonts w:ascii="宋体" w:hAnsi="宋体"/>
          <w:sz w:val="24"/>
        </w:rPr>
      </w:pPr>
      <w:r>
        <w:rPr>
          <w:rFonts w:ascii="宋体" w:hAnsi="宋体" w:hint="eastAsia"/>
          <w:sz w:val="24"/>
        </w:rPr>
        <w:t>华西财务坚持一贯的审慎、稳健经营原则，严格按照《中华人民共和国公司法》《中华人民共和国银行业监督管理法》《企业集团财务公司管理办法》</w:t>
      </w:r>
      <w:r w:rsidR="00834DA0">
        <w:rPr>
          <w:rFonts w:ascii="宋体" w:hAnsi="宋体" w:hint="eastAsia"/>
          <w:sz w:val="24"/>
        </w:rPr>
        <w:t>《</w:t>
      </w:r>
      <w:r>
        <w:rPr>
          <w:rFonts w:ascii="宋体" w:hAnsi="宋体" w:hint="eastAsia"/>
          <w:sz w:val="24"/>
        </w:rPr>
        <w:t>企业会计准则</w:t>
      </w:r>
      <w:r w:rsidR="00834DA0">
        <w:rPr>
          <w:rFonts w:ascii="宋体" w:hAnsi="宋体" w:hint="eastAsia"/>
          <w:sz w:val="24"/>
        </w:rPr>
        <w:t>》</w:t>
      </w:r>
      <w:r>
        <w:rPr>
          <w:rFonts w:ascii="宋体" w:hAnsi="宋体" w:hint="eastAsia"/>
          <w:sz w:val="24"/>
        </w:rPr>
        <w:t>和国家有关金融法规、条例以及华西财务章程，加强内部管理、规范经营行为、防范控制风险。根据对华西财务风险管理的了解和评价，未发现截至</w:t>
      </w:r>
      <w:r w:rsidR="00834DA0">
        <w:rPr>
          <w:rFonts w:ascii="宋体" w:hAnsi="宋体" w:hint="eastAsia"/>
          <w:sz w:val="24"/>
        </w:rPr>
        <w:t>2024</w:t>
      </w:r>
      <w:r>
        <w:rPr>
          <w:rFonts w:ascii="宋体" w:hAnsi="宋体" w:hint="eastAsia"/>
          <w:sz w:val="24"/>
        </w:rPr>
        <w:t>年12月31日止与财务报表相关的信贷、资金、稽核、信息管理等方面的风险控制体系存在重大缺陷。</w:t>
      </w:r>
    </w:p>
    <w:p w:rsidR="009714B8" w:rsidRDefault="009D0EDF">
      <w:pPr>
        <w:tabs>
          <w:tab w:val="left" w:pos="180"/>
        </w:tabs>
        <w:spacing w:line="360" w:lineRule="auto"/>
        <w:ind w:leftChars="57" w:left="120" w:firstLineChars="200" w:firstLine="480"/>
        <w:rPr>
          <w:rFonts w:ascii="宋体" w:hAnsi="宋体"/>
          <w:sz w:val="24"/>
        </w:rPr>
      </w:pPr>
      <w:r>
        <w:rPr>
          <w:rFonts w:ascii="宋体" w:hAnsi="宋体" w:hint="eastAsia"/>
          <w:sz w:val="24"/>
        </w:rPr>
        <w:t xml:space="preserve"> </w:t>
      </w:r>
    </w:p>
    <w:p w:rsidR="009714B8" w:rsidRDefault="009D0EDF">
      <w:pPr>
        <w:tabs>
          <w:tab w:val="left" w:pos="180"/>
        </w:tabs>
        <w:spacing w:line="360" w:lineRule="auto"/>
        <w:ind w:leftChars="57" w:left="120" w:firstLineChars="200" w:firstLine="480"/>
        <w:rPr>
          <w:rFonts w:ascii="宋体" w:hAnsi="宋体"/>
          <w:sz w:val="24"/>
        </w:rPr>
      </w:pPr>
      <w:r>
        <w:rPr>
          <w:rFonts w:ascii="宋体" w:hAnsi="宋体" w:hint="eastAsia"/>
          <w:sz w:val="24"/>
        </w:rPr>
        <w:t>（三）监管指标</w:t>
      </w:r>
    </w:p>
    <w:p w:rsidR="009714B8" w:rsidRDefault="009D0EDF">
      <w:pPr>
        <w:tabs>
          <w:tab w:val="left" w:pos="180"/>
        </w:tabs>
        <w:spacing w:line="360" w:lineRule="auto"/>
        <w:ind w:leftChars="57" w:left="120" w:firstLineChars="200" w:firstLine="480"/>
        <w:rPr>
          <w:rFonts w:ascii="宋体" w:hAnsi="宋体"/>
          <w:sz w:val="24"/>
        </w:rPr>
      </w:pPr>
      <w:r>
        <w:rPr>
          <w:rFonts w:ascii="宋体" w:hAnsi="宋体" w:hint="eastAsia"/>
          <w:sz w:val="24"/>
        </w:rPr>
        <w:t>根据《企业集团财务公司管理办法》规定，截至</w:t>
      </w:r>
      <w:r w:rsidR="00834DA0">
        <w:rPr>
          <w:rFonts w:ascii="宋体" w:hAnsi="宋体" w:hint="eastAsia"/>
          <w:sz w:val="24"/>
        </w:rPr>
        <w:t>2024</w:t>
      </w:r>
      <w:r>
        <w:rPr>
          <w:rFonts w:ascii="宋体" w:hAnsi="宋体" w:hint="eastAsia"/>
          <w:sz w:val="24"/>
        </w:rPr>
        <w:t>年12月31日，华西财务的各项监管指标均符合规定要求。</w:t>
      </w:r>
      <w:bookmarkStart w:id="0" w:name="OLE_LINK1"/>
      <w:bookmarkStart w:id="1" w:name="OLE_LINK2"/>
    </w:p>
    <w:tbl>
      <w:tblPr>
        <w:tblW w:w="835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1"/>
        <w:gridCol w:w="2835"/>
        <w:gridCol w:w="1701"/>
        <w:gridCol w:w="2835"/>
      </w:tblGrid>
      <w:tr w:rsidR="009714B8">
        <w:tc>
          <w:tcPr>
            <w:tcW w:w="981" w:type="dxa"/>
          </w:tcPr>
          <w:p w:rsidR="009714B8" w:rsidRDefault="009D0EDF" w:rsidP="00511878">
            <w:pPr>
              <w:tabs>
                <w:tab w:val="left" w:pos="180"/>
              </w:tabs>
              <w:spacing w:line="276" w:lineRule="auto"/>
              <w:jc w:val="center"/>
              <w:rPr>
                <w:rFonts w:ascii="宋体" w:hAnsi="宋体"/>
                <w:szCs w:val="21"/>
              </w:rPr>
            </w:pPr>
            <w:r>
              <w:rPr>
                <w:rFonts w:ascii="宋体" w:hAnsi="宋体" w:hint="eastAsia"/>
                <w:szCs w:val="21"/>
              </w:rPr>
              <w:t>序号</w:t>
            </w:r>
          </w:p>
        </w:tc>
        <w:tc>
          <w:tcPr>
            <w:tcW w:w="2835" w:type="dxa"/>
          </w:tcPr>
          <w:p w:rsidR="009714B8" w:rsidRDefault="009D0EDF" w:rsidP="00511878">
            <w:pPr>
              <w:tabs>
                <w:tab w:val="left" w:pos="180"/>
              </w:tabs>
              <w:spacing w:line="276" w:lineRule="auto"/>
              <w:jc w:val="center"/>
              <w:rPr>
                <w:rFonts w:ascii="宋体" w:hAnsi="宋体"/>
                <w:szCs w:val="21"/>
              </w:rPr>
            </w:pPr>
            <w:r>
              <w:rPr>
                <w:rFonts w:ascii="宋体" w:hAnsi="宋体" w:hint="eastAsia"/>
                <w:szCs w:val="21"/>
              </w:rPr>
              <w:t>指标名称</w:t>
            </w:r>
          </w:p>
        </w:tc>
        <w:tc>
          <w:tcPr>
            <w:tcW w:w="1701" w:type="dxa"/>
          </w:tcPr>
          <w:p w:rsidR="009714B8" w:rsidRDefault="009D0EDF" w:rsidP="00511878">
            <w:pPr>
              <w:tabs>
                <w:tab w:val="left" w:pos="180"/>
              </w:tabs>
              <w:spacing w:line="276" w:lineRule="auto"/>
              <w:jc w:val="center"/>
              <w:rPr>
                <w:rFonts w:ascii="宋体" w:hAnsi="宋体"/>
                <w:szCs w:val="21"/>
              </w:rPr>
            </w:pPr>
            <w:r>
              <w:rPr>
                <w:rFonts w:ascii="宋体" w:hAnsi="宋体" w:hint="eastAsia"/>
                <w:szCs w:val="21"/>
              </w:rPr>
              <w:t>监管要求</w:t>
            </w:r>
          </w:p>
        </w:tc>
        <w:tc>
          <w:tcPr>
            <w:tcW w:w="2835" w:type="dxa"/>
          </w:tcPr>
          <w:p w:rsidR="009714B8" w:rsidRPr="00511878" w:rsidRDefault="009D0EDF" w:rsidP="00511878">
            <w:pPr>
              <w:tabs>
                <w:tab w:val="left" w:pos="180"/>
              </w:tabs>
              <w:spacing w:line="276" w:lineRule="auto"/>
              <w:jc w:val="center"/>
              <w:rPr>
                <w:rFonts w:ascii="宋体" w:hAnsi="宋体"/>
                <w:szCs w:val="21"/>
              </w:rPr>
            </w:pPr>
            <w:r w:rsidRPr="00511878">
              <w:rPr>
                <w:rFonts w:ascii="宋体" w:hAnsi="宋体" w:hint="eastAsia"/>
                <w:szCs w:val="21"/>
              </w:rPr>
              <w:t>202</w:t>
            </w:r>
            <w:r w:rsidR="00834DA0" w:rsidRPr="00511878">
              <w:rPr>
                <w:rFonts w:ascii="宋体" w:hAnsi="宋体" w:hint="eastAsia"/>
                <w:szCs w:val="21"/>
              </w:rPr>
              <w:t>4</w:t>
            </w:r>
            <w:r w:rsidRPr="00511878">
              <w:rPr>
                <w:rFonts w:ascii="宋体" w:hAnsi="宋体" w:hint="eastAsia"/>
                <w:szCs w:val="21"/>
              </w:rPr>
              <w:t>年末实际值</w:t>
            </w:r>
          </w:p>
        </w:tc>
      </w:tr>
      <w:tr w:rsidR="009714B8">
        <w:tc>
          <w:tcPr>
            <w:tcW w:w="981" w:type="dxa"/>
          </w:tcPr>
          <w:p w:rsidR="009714B8" w:rsidRDefault="009D0EDF" w:rsidP="00511878">
            <w:pPr>
              <w:tabs>
                <w:tab w:val="left" w:pos="180"/>
              </w:tabs>
              <w:spacing w:line="276" w:lineRule="auto"/>
              <w:jc w:val="center"/>
              <w:rPr>
                <w:rFonts w:ascii="宋体" w:hAnsi="宋体"/>
                <w:szCs w:val="21"/>
              </w:rPr>
            </w:pPr>
            <w:r>
              <w:rPr>
                <w:rFonts w:ascii="宋体" w:hAnsi="宋体" w:hint="eastAsia"/>
                <w:szCs w:val="21"/>
              </w:rPr>
              <w:t>1</w:t>
            </w:r>
          </w:p>
        </w:tc>
        <w:tc>
          <w:tcPr>
            <w:tcW w:w="2835" w:type="dxa"/>
          </w:tcPr>
          <w:p w:rsidR="009714B8" w:rsidRDefault="009D0EDF" w:rsidP="00511878">
            <w:pPr>
              <w:tabs>
                <w:tab w:val="left" w:pos="180"/>
              </w:tabs>
              <w:spacing w:line="276" w:lineRule="auto"/>
              <w:rPr>
                <w:rFonts w:ascii="宋体" w:hAnsi="宋体"/>
                <w:szCs w:val="21"/>
              </w:rPr>
            </w:pPr>
            <w:r>
              <w:rPr>
                <w:rFonts w:ascii="宋体" w:hAnsi="宋体" w:hint="eastAsia"/>
                <w:szCs w:val="21"/>
              </w:rPr>
              <w:t>资本充足率</w:t>
            </w:r>
          </w:p>
        </w:tc>
        <w:tc>
          <w:tcPr>
            <w:tcW w:w="1701" w:type="dxa"/>
          </w:tcPr>
          <w:p w:rsidR="009714B8" w:rsidRDefault="009D0EDF" w:rsidP="00511878">
            <w:pPr>
              <w:tabs>
                <w:tab w:val="left" w:pos="180"/>
              </w:tabs>
              <w:spacing w:line="276" w:lineRule="auto"/>
              <w:jc w:val="center"/>
              <w:rPr>
                <w:rFonts w:ascii="宋体" w:hAnsi="宋体"/>
                <w:szCs w:val="21"/>
              </w:rPr>
            </w:pPr>
            <w:r>
              <w:rPr>
                <w:rFonts w:ascii="宋体" w:hAnsi="宋体" w:hint="eastAsia"/>
                <w:szCs w:val="21"/>
              </w:rPr>
              <w:t>≥10%</w:t>
            </w:r>
          </w:p>
        </w:tc>
        <w:tc>
          <w:tcPr>
            <w:tcW w:w="2835" w:type="dxa"/>
          </w:tcPr>
          <w:p w:rsidR="009714B8" w:rsidRPr="00511878" w:rsidRDefault="00E67D08" w:rsidP="00511878">
            <w:pPr>
              <w:tabs>
                <w:tab w:val="left" w:pos="180"/>
              </w:tabs>
              <w:spacing w:line="276" w:lineRule="auto"/>
              <w:jc w:val="center"/>
              <w:rPr>
                <w:rFonts w:ascii="宋体" w:hAnsi="宋体"/>
                <w:szCs w:val="21"/>
              </w:rPr>
            </w:pPr>
            <w:r w:rsidRPr="00511878">
              <w:rPr>
                <w:rFonts w:ascii="宋体" w:hAnsi="宋体" w:hint="eastAsia"/>
                <w:szCs w:val="21"/>
              </w:rPr>
              <w:t>65.23</w:t>
            </w:r>
            <w:r w:rsidR="009D0EDF" w:rsidRPr="00511878">
              <w:rPr>
                <w:rFonts w:ascii="宋体" w:hAnsi="宋体" w:hint="eastAsia"/>
                <w:szCs w:val="21"/>
              </w:rPr>
              <w:t>%</w:t>
            </w:r>
          </w:p>
        </w:tc>
      </w:tr>
      <w:tr w:rsidR="009714B8">
        <w:tc>
          <w:tcPr>
            <w:tcW w:w="981" w:type="dxa"/>
          </w:tcPr>
          <w:p w:rsidR="009714B8" w:rsidRDefault="009D0EDF" w:rsidP="00511878">
            <w:pPr>
              <w:tabs>
                <w:tab w:val="left" w:pos="180"/>
              </w:tabs>
              <w:spacing w:line="276" w:lineRule="auto"/>
              <w:jc w:val="center"/>
              <w:rPr>
                <w:rFonts w:ascii="宋体" w:hAnsi="宋体"/>
                <w:szCs w:val="21"/>
              </w:rPr>
            </w:pPr>
            <w:r>
              <w:rPr>
                <w:rFonts w:ascii="宋体" w:hAnsi="宋体" w:hint="eastAsia"/>
                <w:szCs w:val="21"/>
              </w:rPr>
              <w:t>2</w:t>
            </w:r>
          </w:p>
        </w:tc>
        <w:tc>
          <w:tcPr>
            <w:tcW w:w="2835" w:type="dxa"/>
          </w:tcPr>
          <w:p w:rsidR="009714B8" w:rsidRDefault="009D0EDF" w:rsidP="00511878">
            <w:pPr>
              <w:tabs>
                <w:tab w:val="left" w:pos="180"/>
              </w:tabs>
              <w:spacing w:line="276" w:lineRule="auto"/>
              <w:rPr>
                <w:rFonts w:ascii="宋体" w:hAnsi="宋体"/>
                <w:szCs w:val="21"/>
              </w:rPr>
            </w:pPr>
            <w:r>
              <w:rPr>
                <w:rFonts w:ascii="宋体" w:hAnsi="宋体" w:hint="eastAsia"/>
                <w:szCs w:val="21"/>
              </w:rPr>
              <w:t>不良资产率</w:t>
            </w:r>
          </w:p>
        </w:tc>
        <w:tc>
          <w:tcPr>
            <w:tcW w:w="1701" w:type="dxa"/>
          </w:tcPr>
          <w:p w:rsidR="009714B8" w:rsidRDefault="009D0EDF" w:rsidP="00511878">
            <w:pPr>
              <w:tabs>
                <w:tab w:val="left" w:pos="180"/>
              </w:tabs>
              <w:spacing w:line="276" w:lineRule="auto"/>
              <w:jc w:val="center"/>
              <w:rPr>
                <w:rFonts w:ascii="宋体" w:hAnsi="宋体"/>
                <w:szCs w:val="21"/>
              </w:rPr>
            </w:pPr>
            <w:r>
              <w:rPr>
                <w:rFonts w:ascii="宋体" w:hAnsi="宋体" w:hint="eastAsia"/>
                <w:szCs w:val="21"/>
              </w:rPr>
              <w:t>≤4%</w:t>
            </w:r>
          </w:p>
        </w:tc>
        <w:tc>
          <w:tcPr>
            <w:tcW w:w="2835" w:type="dxa"/>
          </w:tcPr>
          <w:p w:rsidR="009714B8" w:rsidRPr="00511878" w:rsidRDefault="009D0EDF" w:rsidP="00511878">
            <w:pPr>
              <w:tabs>
                <w:tab w:val="left" w:pos="180"/>
              </w:tabs>
              <w:spacing w:line="276" w:lineRule="auto"/>
              <w:jc w:val="center"/>
              <w:rPr>
                <w:rFonts w:ascii="宋体" w:hAnsi="宋体"/>
                <w:szCs w:val="21"/>
              </w:rPr>
            </w:pPr>
            <w:r w:rsidRPr="00511878">
              <w:rPr>
                <w:rFonts w:ascii="宋体" w:hAnsi="宋体" w:hint="eastAsia"/>
                <w:szCs w:val="21"/>
              </w:rPr>
              <w:t>0%</w:t>
            </w:r>
          </w:p>
        </w:tc>
      </w:tr>
      <w:tr w:rsidR="009714B8">
        <w:tc>
          <w:tcPr>
            <w:tcW w:w="981" w:type="dxa"/>
          </w:tcPr>
          <w:p w:rsidR="009714B8" w:rsidRDefault="009D0EDF" w:rsidP="00511878">
            <w:pPr>
              <w:tabs>
                <w:tab w:val="left" w:pos="180"/>
              </w:tabs>
              <w:spacing w:line="276" w:lineRule="auto"/>
              <w:jc w:val="center"/>
              <w:rPr>
                <w:rFonts w:ascii="宋体" w:hAnsi="宋体"/>
                <w:szCs w:val="21"/>
              </w:rPr>
            </w:pPr>
            <w:r>
              <w:rPr>
                <w:rFonts w:ascii="宋体" w:hAnsi="宋体" w:hint="eastAsia"/>
                <w:szCs w:val="21"/>
              </w:rPr>
              <w:t>3</w:t>
            </w:r>
          </w:p>
        </w:tc>
        <w:tc>
          <w:tcPr>
            <w:tcW w:w="2835" w:type="dxa"/>
          </w:tcPr>
          <w:p w:rsidR="009714B8" w:rsidRDefault="009D0EDF" w:rsidP="00511878">
            <w:pPr>
              <w:tabs>
                <w:tab w:val="left" w:pos="180"/>
              </w:tabs>
              <w:spacing w:line="276" w:lineRule="auto"/>
              <w:rPr>
                <w:rFonts w:ascii="宋体" w:hAnsi="宋体"/>
                <w:szCs w:val="21"/>
              </w:rPr>
            </w:pPr>
            <w:r>
              <w:rPr>
                <w:rFonts w:ascii="宋体" w:hAnsi="宋体" w:hint="eastAsia"/>
                <w:szCs w:val="21"/>
              </w:rPr>
              <w:t>不良贷款率</w:t>
            </w:r>
          </w:p>
        </w:tc>
        <w:tc>
          <w:tcPr>
            <w:tcW w:w="1701" w:type="dxa"/>
          </w:tcPr>
          <w:p w:rsidR="009714B8" w:rsidRDefault="009D0EDF" w:rsidP="00511878">
            <w:pPr>
              <w:tabs>
                <w:tab w:val="left" w:pos="180"/>
              </w:tabs>
              <w:spacing w:line="276" w:lineRule="auto"/>
              <w:jc w:val="center"/>
              <w:rPr>
                <w:rFonts w:ascii="宋体" w:hAnsi="宋体"/>
                <w:szCs w:val="21"/>
              </w:rPr>
            </w:pPr>
            <w:r>
              <w:rPr>
                <w:rFonts w:ascii="宋体" w:hAnsi="宋体" w:hint="eastAsia"/>
                <w:szCs w:val="21"/>
              </w:rPr>
              <w:t>≤5%</w:t>
            </w:r>
          </w:p>
        </w:tc>
        <w:tc>
          <w:tcPr>
            <w:tcW w:w="2835" w:type="dxa"/>
          </w:tcPr>
          <w:p w:rsidR="009714B8" w:rsidRPr="00511878" w:rsidRDefault="009D0EDF" w:rsidP="00511878">
            <w:pPr>
              <w:tabs>
                <w:tab w:val="left" w:pos="180"/>
              </w:tabs>
              <w:spacing w:line="276" w:lineRule="auto"/>
              <w:jc w:val="center"/>
              <w:rPr>
                <w:rFonts w:ascii="宋体" w:hAnsi="宋体"/>
                <w:szCs w:val="21"/>
              </w:rPr>
            </w:pPr>
            <w:r w:rsidRPr="00511878">
              <w:rPr>
                <w:rFonts w:ascii="宋体" w:hAnsi="宋体" w:hint="eastAsia"/>
                <w:szCs w:val="21"/>
              </w:rPr>
              <w:t>0%</w:t>
            </w:r>
          </w:p>
        </w:tc>
      </w:tr>
      <w:tr w:rsidR="009714B8">
        <w:tc>
          <w:tcPr>
            <w:tcW w:w="981" w:type="dxa"/>
          </w:tcPr>
          <w:p w:rsidR="009714B8" w:rsidRDefault="009D0EDF" w:rsidP="00511878">
            <w:pPr>
              <w:tabs>
                <w:tab w:val="left" w:pos="180"/>
              </w:tabs>
              <w:spacing w:line="276" w:lineRule="auto"/>
              <w:jc w:val="center"/>
              <w:rPr>
                <w:rFonts w:ascii="宋体" w:hAnsi="宋体"/>
                <w:szCs w:val="21"/>
              </w:rPr>
            </w:pPr>
            <w:r>
              <w:rPr>
                <w:rFonts w:ascii="宋体" w:hAnsi="宋体" w:hint="eastAsia"/>
                <w:szCs w:val="21"/>
              </w:rPr>
              <w:t>4</w:t>
            </w:r>
          </w:p>
        </w:tc>
        <w:tc>
          <w:tcPr>
            <w:tcW w:w="2835" w:type="dxa"/>
          </w:tcPr>
          <w:p w:rsidR="009714B8" w:rsidRDefault="009D0EDF" w:rsidP="00511878">
            <w:pPr>
              <w:tabs>
                <w:tab w:val="left" w:pos="180"/>
              </w:tabs>
              <w:spacing w:line="276" w:lineRule="auto"/>
              <w:rPr>
                <w:rFonts w:ascii="宋体" w:hAnsi="宋体"/>
                <w:szCs w:val="21"/>
              </w:rPr>
            </w:pPr>
            <w:r>
              <w:rPr>
                <w:rFonts w:ascii="宋体" w:hAnsi="宋体" w:hint="eastAsia"/>
                <w:szCs w:val="21"/>
              </w:rPr>
              <w:t>自有固定资产比例</w:t>
            </w:r>
          </w:p>
        </w:tc>
        <w:tc>
          <w:tcPr>
            <w:tcW w:w="1701" w:type="dxa"/>
          </w:tcPr>
          <w:p w:rsidR="009714B8" w:rsidRDefault="009D0EDF" w:rsidP="00511878">
            <w:pPr>
              <w:tabs>
                <w:tab w:val="left" w:pos="180"/>
              </w:tabs>
              <w:spacing w:line="276" w:lineRule="auto"/>
              <w:jc w:val="center"/>
              <w:rPr>
                <w:rFonts w:ascii="宋体" w:hAnsi="宋体"/>
                <w:szCs w:val="21"/>
              </w:rPr>
            </w:pPr>
            <w:r>
              <w:rPr>
                <w:rFonts w:ascii="宋体" w:hAnsi="宋体" w:hint="eastAsia"/>
                <w:szCs w:val="21"/>
              </w:rPr>
              <w:t>≤20%</w:t>
            </w:r>
          </w:p>
        </w:tc>
        <w:tc>
          <w:tcPr>
            <w:tcW w:w="2835" w:type="dxa"/>
          </w:tcPr>
          <w:p w:rsidR="009714B8" w:rsidRPr="00511878" w:rsidRDefault="00E67D08" w:rsidP="00511878">
            <w:pPr>
              <w:tabs>
                <w:tab w:val="left" w:pos="180"/>
              </w:tabs>
              <w:spacing w:line="276" w:lineRule="auto"/>
              <w:jc w:val="center"/>
              <w:rPr>
                <w:rFonts w:ascii="宋体" w:hAnsi="宋体"/>
                <w:szCs w:val="21"/>
              </w:rPr>
            </w:pPr>
            <w:r w:rsidRPr="00511878">
              <w:rPr>
                <w:rFonts w:ascii="宋体" w:hAnsi="宋体" w:hint="eastAsia"/>
                <w:szCs w:val="21"/>
              </w:rPr>
              <w:t>0.04</w:t>
            </w:r>
            <w:r w:rsidR="009D0EDF" w:rsidRPr="00511878">
              <w:rPr>
                <w:rFonts w:ascii="宋体" w:hAnsi="宋体" w:hint="eastAsia"/>
                <w:szCs w:val="21"/>
              </w:rPr>
              <w:t>%</w:t>
            </w:r>
          </w:p>
        </w:tc>
      </w:tr>
      <w:tr w:rsidR="009714B8">
        <w:tc>
          <w:tcPr>
            <w:tcW w:w="981" w:type="dxa"/>
          </w:tcPr>
          <w:p w:rsidR="009714B8" w:rsidRDefault="009D0EDF" w:rsidP="00511878">
            <w:pPr>
              <w:tabs>
                <w:tab w:val="left" w:pos="180"/>
              </w:tabs>
              <w:spacing w:line="276" w:lineRule="auto"/>
              <w:jc w:val="center"/>
              <w:rPr>
                <w:rFonts w:ascii="宋体" w:hAnsi="宋体"/>
                <w:szCs w:val="21"/>
              </w:rPr>
            </w:pPr>
            <w:r>
              <w:rPr>
                <w:rFonts w:ascii="宋体" w:hAnsi="宋体" w:hint="eastAsia"/>
                <w:szCs w:val="21"/>
              </w:rPr>
              <w:t>5</w:t>
            </w:r>
          </w:p>
        </w:tc>
        <w:tc>
          <w:tcPr>
            <w:tcW w:w="2835" w:type="dxa"/>
          </w:tcPr>
          <w:p w:rsidR="009714B8" w:rsidRDefault="009D0EDF" w:rsidP="00511878">
            <w:pPr>
              <w:tabs>
                <w:tab w:val="left" w:pos="180"/>
              </w:tabs>
              <w:spacing w:line="276" w:lineRule="auto"/>
              <w:rPr>
                <w:rFonts w:ascii="宋体" w:hAnsi="宋体"/>
                <w:szCs w:val="21"/>
              </w:rPr>
            </w:pPr>
            <w:r>
              <w:rPr>
                <w:rFonts w:ascii="宋体" w:hAnsi="宋体" w:hint="eastAsia"/>
                <w:szCs w:val="21"/>
              </w:rPr>
              <w:t>投资比例</w:t>
            </w:r>
          </w:p>
        </w:tc>
        <w:tc>
          <w:tcPr>
            <w:tcW w:w="1701" w:type="dxa"/>
          </w:tcPr>
          <w:p w:rsidR="009714B8" w:rsidRDefault="009D0EDF" w:rsidP="00511878">
            <w:pPr>
              <w:tabs>
                <w:tab w:val="left" w:pos="180"/>
              </w:tabs>
              <w:spacing w:line="276" w:lineRule="auto"/>
              <w:jc w:val="center"/>
              <w:rPr>
                <w:rFonts w:ascii="宋体" w:hAnsi="宋体"/>
                <w:szCs w:val="21"/>
              </w:rPr>
            </w:pPr>
            <w:r>
              <w:rPr>
                <w:rFonts w:ascii="宋体" w:hAnsi="宋体" w:hint="eastAsia"/>
                <w:szCs w:val="21"/>
              </w:rPr>
              <w:t>≤70%</w:t>
            </w:r>
          </w:p>
        </w:tc>
        <w:tc>
          <w:tcPr>
            <w:tcW w:w="2835" w:type="dxa"/>
          </w:tcPr>
          <w:p w:rsidR="009714B8" w:rsidRPr="00511878" w:rsidRDefault="009D0EDF" w:rsidP="00511878">
            <w:pPr>
              <w:tabs>
                <w:tab w:val="left" w:pos="180"/>
              </w:tabs>
              <w:spacing w:line="276" w:lineRule="auto"/>
              <w:jc w:val="center"/>
              <w:rPr>
                <w:rFonts w:ascii="宋体" w:hAnsi="宋体"/>
                <w:szCs w:val="21"/>
              </w:rPr>
            </w:pPr>
            <w:r w:rsidRPr="00511878">
              <w:rPr>
                <w:rFonts w:ascii="宋体" w:hAnsi="宋体" w:hint="eastAsia"/>
                <w:szCs w:val="21"/>
              </w:rPr>
              <w:t>0%</w:t>
            </w:r>
          </w:p>
        </w:tc>
      </w:tr>
      <w:tr w:rsidR="009714B8">
        <w:tc>
          <w:tcPr>
            <w:tcW w:w="981" w:type="dxa"/>
          </w:tcPr>
          <w:p w:rsidR="009714B8" w:rsidRDefault="009D0EDF" w:rsidP="00511878">
            <w:pPr>
              <w:tabs>
                <w:tab w:val="left" w:pos="180"/>
              </w:tabs>
              <w:spacing w:line="276" w:lineRule="auto"/>
              <w:jc w:val="center"/>
              <w:rPr>
                <w:rFonts w:ascii="宋体" w:hAnsi="宋体"/>
                <w:szCs w:val="21"/>
              </w:rPr>
            </w:pPr>
            <w:r>
              <w:rPr>
                <w:rFonts w:ascii="宋体" w:hAnsi="宋体" w:hint="eastAsia"/>
                <w:szCs w:val="21"/>
              </w:rPr>
              <w:t>6</w:t>
            </w:r>
          </w:p>
        </w:tc>
        <w:tc>
          <w:tcPr>
            <w:tcW w:w="2835" w:type="dxa"/>
          </w:tcPr>
          <w:p w:rsidR="009714B8" w:rsidRDefault="009D0EDF" w:rsidP="00511878">
            <w:pPr>
              <w:tabs>
                <w:tab w:val="left" w:pos="180"/>
              </w:tabs>
              <w:spacing w:line="276" w:lineRule="auto"/>
              <w:rPr>
                <w:rFonts w:ascii="宋体" w:hAnsi="宋体"/>
                <w:szCs w:val="21"/>
              </w:rPr>
            </w:pPr>
            <w:r>
              <w:rPr>
                <w:rFonts w:ascii="宋体" w:hAnsi="宋体" w:hint="eastAsia"/>
                <w:szCs w:val="21"/>
              </w:rPr>
              <w:t>担保比例</w:t>
            </w:r>
          </w:p>
        </w:tc>
        <w:tc>
          <w:tcPr>
            <w:tcW w:w="1701" w:type="dxa"/>
          </w:tcPr>
          <w:p w:rsidR="009714B8" w:rsidRDefault="009D0EDF" w:rsidP="00511878">
            <w:pPr>
              <w:tabs>
                <w:tab w:val="left" w:pos="180"/>
              </w:tabs>
              <w:spacing w:line="276" w:lineRule="auto"/>
              <w:jc w:val="center"/>
              <w:rPr>
                <w:rFonts w:ascii="宋体" w:hAnsi="宋体"/>
                <w:szCs w:val="21"/>
              </w:rPr>
            </w:pPr>
            <w:r>
              <w:rPr>
                <w:rFonts w:ascii="宋体" w:hAnsi="宋体" w:hint="eastAsia"/>
                <w:szCs w:val="21"/>
              </w:rPr>
              <w:t>≤100%</w:t>
            </w:r>
          </w:p>
        </w:tc>
        <w:tc>
          <w:tcPr>
            <w:tcW w:w="2835" w:type="dxa"/>
          </w:tcPr>
          <w:p w:rsidR="009714B8" w:rsidRPr="00511878" w:rsidRDefault="009D0EDF" w:rsidP="00511878">
            <w:pPr>
              <w:tabs>
                <w:tab w:val="left" w:pos="180"/>
              </w:tabs>
              <w:spacing w:line="276" w:lineRule="auto"/>
              <w:jc w:val="center"/>
              <w:rPr>
                <w:rFonts w:ascii="宋体" w:hAnsi="宋体"/>
                <w:szCs w:val="21"/>
              </w:rPr>
            </w:pPr>
            <w:r w:rsidRPr="00511878">
              <w:rPr>
                <w:rFonts w:ascii="宋体" w:hAnsi="宋体" w:hint="eastAsia"/>
                <w:szCs w:val="21"/>
              </w:rPr>
              <w:t>0%</w:t>
            </w:r>
          </w:p>
        </w:tc>
      </w:tr>
      <w:tr w:rsidR="009714B8">
        <w:tc>
          <w:tcPr>
            <w:tcW w:w="981" w:type="dxa"/>
          </w:tcPr>
          <w:p w:rsidR="009714B8" w:rsidRDefault="009D0EDF" w:rsidP="00511878">
            <w:pPr>
              <w:tabs>
                <w:tab w:val="left" w:pos="180"/>
              </w:tabs>
              <w:spacing w:line="276" w:lineRule="auto"/>
              <w:jc w:val="center"/>
              <w:rPr>
                <w:rFonts w:ascii="宋体" w:hAnsi="宋体"/>
                <w:szCs w:val="21"/>
              </w:rPr>
            </w:pPr>
            <w:r>
              <w:rPr>
                <w:rFonts w:ascii="宋体" w:hAnsi="宋体" w:hint="eastAsia"/>
                <w:szCs w:val="21"/>
              </w:rPr>
              <w:t>7</w:t>
            </w:r>
          </w:p>
        </w:tc>
        <w:tc>
          <w:tcPr>
            <w:tcW w:w="2835" w:type="dxa"/>
          </w:tcPr>
          <w:p w:rsidR="009714B8" w:rsidRDefault="009D0EDF" w:rsidP="00511878">
            <w:pPr>
              <w:tabs>
                <w:tab w:val="left" w:pos="180"/>
              </w:tabs>
              <w:spacing w:line="276" w:lineRule="auto"/>
              <w:rPr>
                <w:rFonts w:ascii="宋体" w:hAnsi="宋体"/>
                <w:szCs w:val="21"/>
              </w:rPr>
            </w:pPr>
            <w:r>
              <w:rPr>
                <w:rFonts w:ascii="宋体" w:hAnsi="宋体" w:hint="eastAsia"/>
                <w:szCs w:val="21"/>
              </w:rPr>
              <w:t>流动性比例</w:t>
            </w:r>
          </w:p>
        </w:tc>
        <w:tc>
          <w:tcPr>
            <w:tcW w:w="1701" w:type="dxa"/>
          </w:tcPr>
          <w:p w:rsidR="009714B8" w:rsidRDefault="009D0EDF" w:rsidP="00511878">
            <w:pPr>
              <w:tabs>
                <w:tab w:val="left" w:pos="180"/>
              </w:tabs>
              <w:spacing w:line="276" w:lineRule="auto"/>
              <w:jc w:val="center"/>
              <w:rPr>
                <w:rFonts w:ascii="宋体" w:hAnsi="宋体"/>
                <w:szCs w:val="21"/>
              </w:rPr>
            </w:pPr>
            <w:r>
              <w:rPr>
                <w:rFonts w:ascii="宋体" w:hAnsi="宋体" w:hint="eastAsia"/>
                <w:szCs w:val="21"/>
              </w:rPr>
              <w:t>≥25%</w:t>
            </w:r>
          </w:p>
        </w:tc>
        <w:tc>
          <w:tcPr>
            <w:tcW w:w="2835" w:type="dxa"/>
          </w:tcPr>
          <w:p w:rsidR="009714B8" w:rsidRPr="00511878" w:rsidRDefault="009D0EDF" w:rsidP="00511878">
            <w:pPr>
              <w:tabs>
                <w:tab w:val="left" w:pos="180"/>
              </w:tabs>
              <w:spacing w:line="276" w:lineRule="auto"/>
              <w:jc w:val="center"/>
              <w:rPr>
                <w:rFonts w:ascii="宋体" w:hAnsi="宋体"/>
                <w:szCs w:val="21"/>
              </w:rPr>
            </w:pPr>
            <w:r w:rsidRPr="00511878">
              <w:rPr>
                <w:rFonts w:ascii="宋体" w:hAnsi="宋体" w:hint="eastAsia"/>
                <w:szCs w:val="21"/>
              </w:rPr>
              <w:t>1</w:t>
            </w:r>
            <w:r w:rsidR="00E67D08" w:rsidRPr="00511878">
              <w:rPr>
                <w:rFonts w:ascii="宋体" w:hAnsi="宋体" w:hint="eastAsia"/>
                <w:szCs w:val="21"/>
              </w:rPr>
              <w:t>52.65</w:t>
            </w:r>
            <w:r w:rsidRPr="00511878">
              <w:rPr>
                <w:rFonts w:ascii="宋体" w:hAnsi="宋体" w:hint="eastAsia"/>
                <w:szCs w:val="21"/>
              </w:rPr>
              <w:t>%</w:t>
            </w:r>
          </w:p>
        </w:tc>
      </w:tr>
      <w:tr w:rsidR="009714B8">
        <w:tc>
          <w:tcPr>
            <w:tcW w:w="981" w:type="dxa"/>
          </w:tcPr>
          <w:p w:rsidR="009714B8" w:rsidRDefault="009D0EDF" w:rsidP="00511878">
            <w:pPr>
              <w:tabs>
                <w:tab w:val="left" w:pos="180"/>
              </w:tabs>
              <w:spacing w:line="276" w:lineRule="auto"/>
              <w:jc w:val="center"/>
              <w:rPr>
                <w:rFonts w:ascii="宋体" w:hAnsi="宋体"/>
                <w:szCs w:val="21"/>
              </w:rPr>
            </w:pPr>
            <w:r>
              <w:rPr>
                <w:rFonts w:ascii="宋体" w:hAnsi="宋体" w:hint="eastAsia"/>
                <w:szCs w:val="21"/>
              </w:rPr>
              <w:t>8</w:t>
            </w:r>
          </w:p>
        </w:tc>
        <w:tc>
          <w:tcPr>
            <w:tcW w:w="2835" w:type="dxa"/>
          </w:tcPr>
          <w:p w:rsidR="009714B8" w:rsidRDefault="009D0EDF" w:rsidP="00511878">
            <w:pPr>
              <w:tabs>
                <w:tab w:val="left" w:pos="180"/>
              </w:tabs>
              <w:spacing w:line="276" w:lineRule="auto"/>
              <w:rPr>
                <w:rFonts w:ascii="宋体" w:hAnsi="宋体"/>
                <w:szCs w:val="21"/>
              </w:rPr>
            </w:pPr>
            <w:r>
              <w:rPr>
                <w:rFonts w:ascii="宋体" w:hAnsi="宋体" w:hint="eastAsia"/>
                <w:szCs w:val="21"/>
              </w:rPr>
              <w:t>拆入资金比例</w:t>
            </w:r>
          </w:p>
        </w:tc>
        <w:tc>
          <w:tcPr>
            <w:tcW w:w="1701" w:type="dxa"/>
          </w:tcPr>
          <w:p w:rsidR="009714B8" w:rsidRDefault="009D0EDF" w:rsidP="00511878">
            <w:pPr>
              <w:tabs>
                <w:tab w:val="left" w:pos="180"/>
              </w:tabs>
              <w:spacing w:line="276" w:lineRule="auto"/>
              <w:jc w:val="center"/>
              <w:rPr>
                <w:rFonts w:ascii="宋体" w:hAnsi="宋体"/>
                <w:szCs w:val="21"/>
              </w:rPr>
            </w:pPr>
            <w:r>
              <w:rPr>
                <w:rFonts w:ascii="宋体" w:hAnsi="宋体" w:hint="eastAsia"/>
                <w:szCs w:val="21"/>
              </w:rPr>
              <w:t>≤100%</w:t>
            </w:r>
          </w:p>
        </w:tc>
        <w:tc>
          <w:tcPr>
            <w:tcW w:w="2835" w:type="dxa"/>
          </w:tcPr>
          <w:p w:rsidR="009714B8" w:rsidRPr="00511878" w:rsidRDefault="009D0EDF" w:rsidP="00511878">
            <w:pPr>
              <w:tabs>
                <w:tab w:val="left" w:pos="180"/>
              </w:tabs>
              <w:spacing w:line="276" w:lineRule="auto"/>
              <w:jc w:val="center"/>
              <w:rPr>
                <w:rFonts w:ascii="宋体" w:hAnsi="宋体"/>
                <w:szCs w:val="21"/>
              </w:rPr>
            </w:pPr>
            <w:r w:rsidRPr="00511878">
              <w:rPr>
                <w:rFonts w:ascii="宋体" w:hAnsi="宋体" w:hint="eastAsia"/>
                <w:szCs w:val="21"/>
              </w:rPr>
              <w:t>0%</w:t>
            </w:r>
          </w:p>
        </w:tc>
      </w:tr>
    </w:tbl>
    <w:p w:rsidR="009714B8" w:rsidRDefault="009714B8">
      <w:pPr>
        <w:tabs>
          <w:tab w:val="left" w:pos="180"/>
        </w:tabs>
        <w:spacing w:line="360" w:lineRule="auto"/>
        <w:ind w:leftChars="57" w:left="120" w:firstLineChars="200" w:firstLine="480"/>
        <w:rPr>
          <w:rFonts w:ascii="宋体" w:hAnsi="宋体"/>
          <w:sz w:val="24"/>
        </w:rPr>
      </w:pPr>
    </w:p>
    <w:bookmarkEnd w:id="0"/>
    <w:bookmarkEnd w:id="1"/>
    <w:p w:rsidR="009714B8" w:rsidRDefault="009D0EDF">
      <w:pPr>
        <w:tabs>
          <w:tab w:val="left" w:pos="180"/>
        </w:tabs>
        <w:spacing w:line="360" w:lineRule="auto"/>
        <w:ind w:leftChars="57" w:left="120" w:firstLineChars="200" w:firstLine="480"/>
        <w:rPr>
          <w:rFonts w:ascii="宋体" w:hAnsi="宋体"/>
          <w:sz w:val="24"/>
        </w:rPr>
      </w:pPr>
      <w:r>
        <w:rPr>
          <w:rFonts w:ascii="宋体" w:hAnsi="宋体" w:hint="eastAsia"/>
          <w:sz w:val="24"/>
        </w:rPr>
        <w:t>（四）本公司在华西财务的存贷款情况</w:t>
      </w:r>
    </w:p>
    <w:p w:rsidR="009714B8" w:rsidRPr="009B1CD8" w:rsidRDefault="009D0EDF">
      <w:pPr>
        <w:tabs>
          <w:tab w:val="left" w:pos="180"/>
        </w:tabs>
        <w:spacing w:line="360" w:lineRule="auto"/>
        <w:ind w:leftChars="57" w:left="120" w:firstLineChars="200" w:firstLine="480"/>
        <w:rPr>
          <w:rFonts w:ascii="宋体" w:hAnsi="宋体"/>
          <w:sz w:val="24"/>
        </w:rPr>
      </w:pPr>
      <w:r w:rsidRPr="009B1CD8">
        <w:rPr>
          <w:rFonts w:ascii="宋体" w:hAnsi="宋体" w:hint="eastAsia"/>
          <w:sz w:val="24"/>
        </w:rPr>
        <w:t>截至202</w:t>
      </w:r>
      <w:r w:rsidR="00834DA0">
        <w:rPr>
          <w:rFonts w:ascii="宋体" w:hAnsi="宋体" w:hint="eastAsia"/>
          <w:sz w:val="24"/>
        </w:rPr>
        <w:t>4</w:t>
      </w:r>
      <w:r w:rsidRPr="009B1CD8">
        <w:rPr>
          <w:rFonts w:ascii="宋体" w:hAnsi="宋体" w:hint="eastAsia"/>
          <w:sz w:val="24"/>
        </w:rPr>
        <w:t>年12月31日，本公司（含控股公司）在华西财务的存款余额为0万元，贷款余额为0万元。</w:t>
      </w:r>
    </w:p>
    <w:p w:rsidR="009714B8" w:rsidRDefault="009D0EDF">
      <w:pPr>
        <w:tabs>
          <w:tab w:val="left" w:pos="180"/>
        </w:tabs>
        <w:spacing w:line="360" w:lineRule="auto"/>
        <w:ind w:leftChars="57" w:left="120" w:firstLineChars="200" w:firstLine="480"/>
        <w:rPr>
          <w:rFonts w:ascii="宋体" w:hAnsi="宋体"/>
          <w:sz w:val="24"/>
        </w:rPr>
      </w:pPr>
      <w:r>
        <w:rPr>
          <w:rFonts w:ascii="宋体" w:hAnsi="宋体" w:hint="eastAsia"/>
          <w:sz w:val="24"/>
        </w:rPr>
        <w:t>本公司</w:t>
      </w:r>
      <w:r>
        <w:rPr>
          <w:rFonts w:ascii="宋体" w:hAnsi="宋体"/>
          <w:sz w:val="24"/>
        </w:rPr>
        <w:t>在报告期内无重大经营性支出计划，</w:t>
      </w:r>
      <w:r>
        <w:rPr>
          <w:rFonts w:ascii="宋体" w:hAnsi="宋体" w:hint="eastAsia"/>
          <w:sz w:val="24"/>
        </w:rPr>
        <w:t>在华西财务的存款安全性和流动性良好，不会对公司正常生产经营产生影响，从未发生华西财务因头寸不足而延期付款的情况。本公司已制定了《关于在江苏华西集团财务有限公司开展存款等金融业务的风险处置预案》，以进一步保证本公司在华西财务存款的安全性</w:t>
      </w:r>
      <w:r w:rsidR="00834DA0">
        <w:rPr>
          <w:rFonts w:ascii="宋体" w:hAnsi="宋体" w:hint="eastAsia"/>
          <w:sz w:val="24"/>
        </w:rPr>
        <w:t>和</w:t>
      </w:r>
      <w:r>
        <w:rPr>
          <w:rFonts w:ascii="宋体" w:hAnsi="宋体" w:hint="eastAsia"/>
          <w:sz w:val="24"/>
        </w:rPr>
        <w:t>流动性。</w:t>
      </w:r>
    </w:p>
    <w:p w:rsidR="009714B8" w:rsidRDefault="009714B8">
      <w:pPr>
        <w:autoSpaceDE w:val="0"/>
        <w:autoSpaceDN w:val="0"/>
        <w:adjustRightInd w:val="0"/>
        <w:snapToGrid w:val="0"/>
        <w:spacing w:line="360" w:lineRule="auto"/>
        <w:rPr>
          <w:rFonts w:ascii="宋体" w:hAnsi="宋体"/>
          <w:sz w:val="24"/>
        </w:rPr>
      </w:pPr>
    </w:p>
    <w:p w:rsidR="009714B8" w:rsidRDefault="009D0EDF">
      <w:pPr>
        <w:tabs>
          <w:tab w:val="left" w:pos="180"/>
        </w:tabs>
        <w:spacing w:line="360" w:lineRule="auto"/>
        <w:ind w:leftChars="57" w:left="120" w:firstLineChars="200" w:firstLine="482"/>
        <w:rPr>
          <w:rFonts w:ascii="宋体" w:hAnsi="宋体"/>
          <w:b/>
          <w:sz w:val="24"/>
        </w:rPr>
      </w:pPr>
      <w:r>
        <w:rPr>
          <w:rFonts w:ascii="宋体" w:hAnsi="宋体" w:hint="eastAsia"/>
          <w:b/>
          <w:sz w:val="24"/>
        </w:rPr>
        <w:t>四、风险评估意见</w:t>
      </w:r>
    </w:p>
    <w:p w:rsidR="009714B8" w:rsidRDefault="009D0EDF">
      <w:pPr>
        <w:tabs>
          <w:tab w:val="left" w:pos="180"/>
        </w:tabs>
        <w:spacing w:line="360" w:lineRule="auto"/>
        <w:ind w:leftChars="57" w:left="120" w:firstLineChars="200" w:firstLine="480"/>
        <w:rPr>
          <w:rFonts w:ascii="宋体" w:hAnsi="宋体"/>
          <w:sz w:val="24"/>
        </w:rPr>
      </w:pPr>
      <w:r>
        <w:rPr>
          <w:rFonts w:ascii="宋体" w:hAnsi="宋体" w:hint="eastAsia"/>
          <w:sz w:val="24"/>
        </w:rPr>
        <w:t>基于以上分析和判断，本公司认为：华西财务具有合法有效的《金融许可证》《企业法人营业执照》，建立了较为完整合理的内部控制制度，能有效控制风险。华西财务严</w:t>
      </w:r>
      <w:r w:rsidRPr="009B1CD8">
        <w:rPr>
          <w:rFonts w:ascii="宋体" w:hAnsi="宋体" w:hint="eastAsia"/>
          <w:sz w:val="24"/>
        </w:rPr>
        <w:t>格按照《企业集团财务公司管理办法》的规定经营，</w:t>
      </w:r>
      <w:r>
        <w:rPr>
          <w:rFonts w:ascii="宋体" w:hAnsi="宋体" w:hint="eastAsia"/>
          <w:sz w:val="24"/>
        </w:rPr>
        <w:t>各项监管指标均符合规定要求。根据本公司对风险管理的了解和评价，未发现华西财务的风险管理存在重大缺陷，本公司与华西财务之间开展存款金融服务业务的风险可控。</w:t>
      </w:r>
    </w:p>
    <w:p w:rsidR="009714B8" w:rsidRDefault="009714B8">
      <w:pPr>
        <w:tabs>
          <w:tab w:val="left" w:pos="180"/>
        </w:tabs>
        <w:spacing w:line="360" w:lineRule="auto"/>
        <w:ind w:leftChars="57" w:left="120" w:firstLineChars="200" w:firstLine="480"/>
        <w:rPr>
          <w:rFonts w:ascii="宋体" w:hAnsi="宋体"/>
          <w:sz w:val="24"/>
        </w:rPr>
      </w:pPr>
    </w:p>
    <w:p w:rsidR="009714B8" w:rsidRPr="002A1BB3" w:rsidRDefault="00F17E3D" w:rsidP="002A1BB3">
      <w:pPr>
        <w:tabs>
          <w:tab w:val="left" w:pos="180"/>
        </w:tabs>
        <w:spacing w:line="360" w:lineRule="auto"/>
        <w:ind w:leftChars="57" w:left="120" w:firstLineChars="200" w:firstLine="482"/>
        <w:rPr>
          <w:rFonts w:ascii="宋体" w:hAnsi="宋体"/>
          <w:b/>
          <w:sz w:val="24"/>
        </w:rPr>
      </w:pPr>
      <w:r w:rsidRPr="002A1BB3">
        <w:rPr>
          <w:rFonts w:ascii="宋体" w:hAnsi="宋体"/>
          <w:b/>
          <w:sz w:val="24"/>
        </w:rPr>
        <w:t>五、其他说明</w:t>
      </w:r>
    </w:p>
    <w:p w:rsidR="005F796D" w:rsidRDefault="005F796D" w:rsidP="005F796D">
      <w:pPr>
        <w:tabs>
          <w:tab w:val="left" w:pos="180"/>
        </w:tabs>
        <w:spacing w:line="360" w:lineRule="auto"/>
        <w:ind w:leftChars="57" w:left="120" w:firstLineChars="200" w:firstLine="480"/>
        <w:rPr>
          <w:rFonts w:ascii="宋体" w:hAnsi="宋体"/>
          <w:sz w:val="24"/>
        </w:rPr>
      </w:pPr>
      <w:r w:rsidRPr="005F796D">
        <w:rPr>
          <w:rFonts w:ascii="宋体" w:hAnsi="宋体" w:hint="eastAsia"/>
          <w:sz w:val="24"/>
        </w:rPr>
        <w:t>2024年12月，依据国家金融监督管理总局的有关文件及《公司法》等相关规定，经股东会审议通过，华西财务拟申请清算解散。截至目前，上述清算解散程序正在进行中。</w:t>
      </w:r>
    </w:p>
    <w:p w:rsidR="00511878" w:rsidRDefault="00511878" w:rsidP="005F796D">
      <w:pPr>
        <w:tabs>
          <w:tab w:val="left" w:pos="180"/>
        </w:tabs>
        <w:spacing w:line="360" w:lineRule="auto"/>
        <w:ind w:leftChars="57" w:left="120" w:firstLineChars="200" w:firstLine="480"/>
        <w:rPr>
          <w:rFonts w:ascii="宋体" w:hAnsi="宋体"/>
          <w:sz w:val="24"/>
        </w:rPr>
      </w:pPr>
    </w:p>
    <w:p w:rsidR="00511878" w:rsidRDefault="00511878" w:rsidP="005F796D">
      <w:pPr>
        <w:tabs>
          <w:tab w:val="left" w:pos="180"/>
        </w:tabs>
        <w:spacing w:line="360" w:lineRule="auto"/>
        <w:ind w:leftChars="57" w:left="120" w:firstLineChars="200" w:firstLine="480"/>
        <w:rPr>
          <w:rFonts w:ascii="宋体" w:hAnsi="宋体"/>
          <w:sz w:val="24"/>
        </w:rPr>
      </w:pPr>
      <w:bookmarkStart w:id="2" w:name="_GoBack"/>
      <w:bookmarkEnd w:id="2"/>
    </w:p>
    <w:p w:rsidR="00D20427" w:rsidRDefault="00D20427" w:rsidP="005F796D">
      <w:pPr>
        <w:tabs>
          <w:tab w:val="left" w:pos="180"/>
        </w:tabs>
        <w:spacing w:line="360" w:lineRule="auto"/>
        <w:ind w:leftChars="57" w:left="120" w:firstLineChars="200" w:firstLine="480"/>
        <w:rPr>
          <w:rFonts w:ascii="宋体" w:hAnsi="宋体"/>
          <w:sz w:val="24"/>
        </w:rPr>
      </w:pPr>
    </w:p>
    <w:p w:rsidR="009714B8" w:rsidRDefault="009D0EDF">
      <w:pPr>
        <w:tabs>
          <w:tab w:val="left" w:pos="180"/>
        </w:tabs>
        <w:spacing w:line="360" w:lineRule="auto"/>
        <w:ind w:firstLineChars="1700" w:firstLine="4080"/>
        <w:rPr>
          <w:rFonts w:ascii="宋体" w:hAnsi="宋体"/>
          <w:sz w:val="24"/>
        </w:rPr>
      </w:pPr>
      <w:r>
        <w:rPr>
          <w:rFonts w:ascii="宋体" w:hAnsi="宋体" w:hint="eastAsia"/>
          <w:sz w:val="24"/>
        </w:rPr>
        <w:t>江苏华西村股份有限公司董事会</w:t>
      </w:r>
    </w:p>
    <w:p w:rsidR="009714B8" w:rsidRDefault="009D0EDF">
      <w:pPr>
        <w:tabs>
          <w:tab w:val="left" w:pos="180"/>
        </w:tabs>
        <w:spacing w:line="360" w:lineRule="auto"/>
        <w:rPr>
          <w:rFonts w:ascii="宋体" w:hAnsi="宋体"/>
          <w:sz w:val="24"/>
        </w:rPr>
      </w:pPr>
      <w:r>
        <w:rPr>
          <w:rFonts w:ascii="宋体" w:hAnsi="宋体" w:hint="eastAsia"/>
          <w:sz w:val="24"/>
        </w:rPr>
        <w:t xml:space="preserve">                                         20</w:t>
      </w:r>
      <w:r w:rsidR="00834DA0">
        <w:rPr>
          <w:rFonts w:ascii="宋体" w:hAnsi="宋体" w:hint="eastAsia"/>
          <w:sz w:val="24"/>
        </w:rPr>
        <w:t>25</w:t>
      </w:r>
      <w:r>
        <w:rPr>
          <w:rFonts w:ascii="宋体" w:hAnsi="宋体" w:hint="eastAsia"/>
          <w:sz w:val="24"/>
        </w:rPr>
        <w:t>年4月</w:t>
      </w:r>
      <w:r w:rsidR="00480AD9">
        <w:rPr>
          <w:rFonts w:ascii="宋体" w:hAnsi="宋体" w:hint="eastAsia"/>
          <w:sz w:val="24"/>
        </w:rPr>
        <w:t>28</w:t>
      </w:r>
      <w:r>
        <w:rPr>
          <w:rFonts w:ascii="宋体" w:hAnsi="宋体" w:hint="eastAsia"/>
          <w:sz w:val="24"/>
        </w:rPr>
        <w:t>日</w:t>
      </w:r>
    </w:p>
    <w:sectPr w:rsidR="009714B8">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F09" w:rsidRDefault="00D65F09">
      <w:r>
        <w:separator/>
      </w:r>
    </w:p>
  </w:endnote>
  <w:endnote w:type="continuationSeparator" w:id="0">
    <w:p w:rsidR="00D65F09" w:rsidRDefault="00D6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4B8" w:rsidRDefault="009D0EDF">
    <w:pPr>
      <w:pStyle w:val="a6"/>
      <w:jc w:val="center"/>
    </w:pPr>
    <w:r>
      <w:fldChar w:fldCharType="begin"/>
    </w:r>
    <w:r>
      <w:instrText xml:space="preserve"> PAGE   \* MERGEFORMAT </w:instrText>
    </w:r>
    <w:r>
      <w:fldChar w:fldCharType="separate"/>
    </w:r>
    <w:r w:rsidR="00480AD9" w:rsidRPr="00480AD9">
      <w:rPr>
        <w:noProof/>
        <w:lang w:val="zh-CN"/>
      </w:rPr>
      <w:t>10</w:t>
    </w:r>
    <w:r>
      <w:fldChar w:fldCharType="end"/>
    </w:r>
  </w:p>
  <w:p w:rsidR="009714B8" w:rsidRDefault="009714B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F09" w:rsidRDefault="00D65F09">
      <w:r>
        <w:separator/>
      </w:r>
    </w:p>
  </w:footnote>
  <w:footnote w:type="continuationSeparator" w:id="0">
    <w:p w:rsidR="00D65F09" w:rsidRDefault="00D65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YTQ4OGNiMTMyMTVmOThmZGU5NTM1NjRjMzgwYTAifQ=="/>
  </w:docVars>
  <w:rsids>
    <w:rsidRoot w:val="00EE2D35"/>
    <w:rsid w:val="00003A82"/>
    <w:rsid w:val="0001100E"/>
    <w:rsid w:val="00023353"/>
    <w:rsid w:val="0002575A"/>
    <w:rsid w:val="000422E0"/>
    <w:rsid w:val="00050098"/>
    <w:rsid w:val="0007380D"/>
    <w:rsid w:val="00075193"/>
    <w:rsid w:val="00084913"/>
    <w:rsid w:val="00085270"/>
    <w:rsid w:val="00086F3E"/>
    <w:rsid w:val="0009324B"/>
    <w:rsid w:val="00094450"/>
    <w:rsid w:val="00095D29"/>
    <w:rsid w:val="00096301"/>
    <w:rsid w:val="000A00F8"/>
    <w:rsid w:val="000B51A0"/>
    <w:rsid w:val="000D1B27"/>
    <w:rsid w:val="000D5DB8"/>
    <w:rsid w:val="000D5DD7"/>
    <w:rsid w:val="000E2DD6"/>
    <w:rsid w:val="000E3809"/>
    <w:rsid w:val="001007B7"/>
    <w:rsid w:val="00101BB4"/>
    <w:rsid w:val="00112268"/>
    <w:rsid w:val="00115BD8"/>
    <w:rsid w:val="00135D6B"/>
    <w:rsid w:val="001402E7"/>
    <w:rsid w:val="001511E4"/>
    <w:rsid w:val="00176AAD"/>
    <w:rsid w:val="001954F5"/>
    <w:rsid w:val="00197BB4"/>
    <w:rsid w:val="001B1FD5"/>
    <w:rsid w:val="001B4204"/>
    <w:rsid w:val="001B6B73"/>
    <w:rsid w:val="001C7CC9"/>
    <w:rsid w:val="001E03E1"/>
    <w:rsid w:val="001E50DE"/>
    <w:rsid w:val="001E5EC7"/>
    <w:rsid w:val="001F763C"/>
    <w:rsid w:val="002033E7"/>
    <w:rsid w:val="0020427D"/>
    <w:rsid w:val="00223592"/>
    <w:rsid w:val="00244767"/>
    <w:rsid w:val="00256269"/>
    <w:rsid w:val="00272A8D"/>
    <w:rsid w:val="002A1BB3"/>
    <w:rsid w:val="002A25C8"/>
    <w:rsid w:val="002C119E"/>
    <w:rsid w:val="002D7BA9"/>
    <w:rsid w:val="002E6282"/>
    <w:rsid w:val="002F45E6"/>
    <w:rsid w:val="002F6C3B"/>
    <w:rsid w:val="00311437"/>
    <w:rsid w:val="0031206B"/>
    <w:rsid w:val="00317599"/>
    <w:rsid w:val="003178E0"/>
    <w:rsid w:val="00323750"/>
    <w:rsid w:val="0032693F"/>
    <w:rsid w:val="00327B0A"/>
    <w:rsid w:val="0033584A"/>
    <w:rsid w:val="00335A6A"/>
    <w:rsid w:val="00345559"/>
    <w:rsid w:val="00346160"/>
    <w:rsid w:val="00347548"/>
    <w:rsid w:val="00347C33"/>
    <w:rsid w:val="0035216F"/>
    <w:rsid w:val="00352EC1"/>
    <w:rsid w:val="00356A09"/>
    <w:rsid w:val="003605FD"/>
    <w:rsid w:val="00361460"/>
    <w:rsid w:val="00361AC6"/>
    <w:rsid w:val="003662FF"/>
    <w:rsid w:val="003663EB"/>
    <w:rsid w:val="003674C7"/>
    <w:rsid w:val="00370ECA"/>
    <w:rsid w:val="0037334B"/>
    <w:rsid w:val="00374162"/>
    <w:rsid w:val="003847EA"/>
    <w:rsid w:val="003944A8"/>
    <w:rsid w:val="003A7020"/>
    <w:rsid w:val="003E4996"/>
    <w:rsid w:val="0040388D"/>
    <w:rsid w:val="0041202E"/>
    <w:rsid w:val="004249A6"/>
    <w:rsid w:val="00427876"/>
    <w:rsid w:val="0043799A"/>
    <w:rsid w:val="00441E71"/>
    <w:rsid w:val="004537B7"/>
    <w:rsid w:val="00455D8C"/>
    <w:rsid w:val="004766F4"/>
    <w:rsid w:val="00480AD9"/>
    <w:rsid w:val="00485E61"/>
    <w:rsid w:val="004A49C5"/>
    <w:rsid w:val="004B6E70"/>
    <w:rsid w:val="004C02D3"/>
    <w:rsid w:val="004E2FC9"/>
    <w:rsid w:val="004E3482"/>
    <w:rsid w:val="004E7883"/>
    <w:rsid w:val="004F19F3"/>
    <w:rsid w:val="00505C17"/>
    <w:rsid w:val="00511878"/>
    <w:rsid w:val="005459CE"/>
    <w:rsid w:val="0055374D"/>
    <w:rsid w:val="00553868"/>
    <w:rsid w:val="0056029C"/>
    <w:rsid w:val="00561FFB"/>
    <w:rsid w:val="00580AD8"/>
    <w:rsid w:val="0058355E"/>
    <w:rsid w:val="00590498"/>
    <w:rsid w:val="005B0222"/>
    <w:rsid w:val="005B2852"/>
    <w:rsid w:val="005C3EE5"/>
    <w:rsid w:val="005D09DF"/>
    <w:rsid w:val="005D2404"/>
    <w:rsid w:val="005D6939"/>
    <w:rsid w:val="005F4F10"/>
    <w:rsid w:val="005F796D"/>
    <w:rsid w:val="00600862"/>
    <w:rsid w:val="00605519"/>
    <w:rsid w:val="0061690A"/>
    <w:rsid w:val="00617EF8"/>
    <w:rsid w:val="00624A65"/>
    <w:rsid w:val="0063053D"/>
    <w:rsid w:val="00631E75"/>
    <w:rsid w:val="0063432E"/>
    <w:rsid w:val="00644DF2"/>
    <w:rsid w:val="00646DAF"/>
    <w:rsid w:val="006726F3"/>
    <w:rsid w:val="00690E9F"/>
    <w:rsid w:val="006972FE"/>
    <w:rsid w:val="006A24A1"/>
    <w:rsid w:val="006C08D3"/>
    <w:rsid w:val="006C7069"/>
    <w:rsid w:val="006D58F8"/>
    <w:rsid w:val="006E1DC8"/>
    <w:rsid w:val="006E57B4"/>
    <w:rsid w:val="006F45E0"/>
    <w:rsid w:val="007062EF"/>
    <w:rsid w:val="00725FDE"/>
    <w:rsid w:val="00731360"/>
    <w:rsid w:val="007340E6"/>
    <w:rsid w:val="00735972"/>
    <w:rsid w:val="007378C5"/>
    <w:rsid w:val="00750EF1"/>
    <w:rsid w:val="0075500F"/>
    <w:rsid w:val="0076135D"/>
    <w:rsid w:val="007673C2"/>
    <w:rsid w:val="00767BDA"/>
    <w:rsid w:val="00772344"/>
    <w:rsid w:val="00772C82"/>
    <w:rsid w:val="0078123E"/>
    <w:rsid w:val="00783902"/>
    <w:rsid w:val="007C2A4F"/>
    <w:rsid w:val="007E1C87"/>
    <w:rsid w:val="007E7242"/>
    <w:rsid w:val="008262D8"/>
    <w:rsid w:val="00830091"/>
    <w:rsid w:val="00834DA0"/>
    <w:rsid w:val="00841A50"/>
    <w:rsid w:val="00844740"/>
    <w:rsid w:val="008508A1"/>
    <w:rsid w:val="00855818"/>
    <w:rsid w:val="00862D2C"/>
    <w:rsid w:val="008654C0"/>
    <w:rsid w:val="00875472"/>
    <w:rsid w:val="00875F07"/>
    <w:rsid w:val="00881BD6"/>
    <w:rsid w:val="0088408C"/>
    <w:rsid w:val="00884739"/>
    <w:rsid w:val="00885A1B"/>
    <w:rsid w:val="00892CE1"/>
    <w:rsid w:val="008A0C9D"/>
    <w:rsid w:val="008C0F05"/>
    <w:rsid w:val="008C10F9"/>
    <w:rsid w:val="008C2D91"/>
    <w:rsid w:val="008D554F"/>
    <w:rsid w:val="008D61C6"/>
    <w:rsid w:val="00907BDB"/>
    <w:rsid w:val="00931587"/>
    <w:rsid w:val="00931DB6"/>
    <w:rsid w:val="009451AE"/>
    <w:rsid w:val="009464F3"/>
    <w:rsid w:val="0094663A"/>
    <w:rsid w:val="009468B1"/>
    <w:rsid w:val="00953A26"/>
    <w:rsid w:val="009556BF"/>
    <w:rsid w:val="00964EC3"/>
    <w:rsid w:val="009677E5"/>
    <w:rsid w:val="009714B8"/>
    <w:rsid w:val="00990768"/>
    <w:rsid w:val="0099146F"/>
    <w:rsid w:val="009A0445"/>
    <w:rsid w:val="009A10FF"/>
    <w:rsid w:val="009A26C8"/>
    <w:rsid w:val="009B129F"/>
    <w:rsid w:val="009B1CD8"/>
    <w:rsid w:val="009C4AF1"/>
    <w:rsid w:val="009D0EDF"/>
    <w:rsid w:val="009E65C9"/>
    <w:rsid w:val="009F14F5"/>
    <w:rsid w:val="00A0219F"/>
    <w:rsid w:val="00A24DC0"/>
    <w:rsid w:val="00A2776E"/>
    <w:rsid w:val="00A45A9F"/>
    <w:rsid w:val="00A47025"/>
    <w:rsid w:val="00A51EAA"/>
    <w:rsid w:val="00A52A31"/>
    <w:rsid w:val="00A53333"/>
    <w:rsid w:val="00A559C3"/>
    <w:rsid w:val="00A634D3"/>
    <w:rsid w:val="00A7267B"/>
    <w:rsid w:val="00A73487"/>
    <w:rsid w:val="00A7457E"/>
    <w:rsid w:val="00A76EB9"/>
    <w:rsid w:val="00A84E4D"/>
    <w:rsid w:val="00A850D3"/>
    <w:rsid w:val="00A93C2D"/>
    <w:rsid w:val="00A94076"/>
    <w:rsid w:val="00A952B0"/>
    <w:rsid w:val="00AB0F81"/>
    <w:rsid w:val="00AB5676"/>
    <w:rsid w:val="00AB7C86"/>
    <w:rsid w:val="00AD5C34"/>
    <w:rsid w:val="00AF4065"/>
    <w:rsid w:val="00B254D5"/>
    <w:rsid w:val="00B31C19"/>
    <w:rsid w:val="00B463FC"/>
    <w:rsid w:val="00B60D68"/>
    <w:rsid w:val="00B70DB0"/>
    <w:rsid w:val="00B71ED9"/>
    <w:rsid w:val="00B75E5C"/>
    <w:rsid w:val="00B76755"/>
    <w:rsid w:val="00BA040A"/>
    <w:rsid w:val="00BB10D2"/>
    <w:rsid w:val="00BB2B02"/>
    <w:rsid w:val="00BC0BE9"/>
    <w:rsid w:val="00BD1840"/>
    <w:rsid w:val="00BD6C24"/>
    <w:rsid w:val="00BE0230"/>
    <w:rsid w:val="00BF2F51"/>
    <w:rsid w:val="00BF7EC7"/>
    <w:rsid w:val="00C048ED"/>
    <w:rsid w:val="00C10CFA"/>
    <w:rsid w:val="00C153F1"/>
    <w:rsid w:val="00C409A4"/>
    <w:rsid w:val="00C45933"/>
    <w:rsid w:val="00C47C1E"/>
    <w:rsid w:val="00C51805"/>
    <w:rsid w:val="00C5203B"/>
    <w:rsid w:val="00C61AC2"/>
    <w:rsid w:val="00C65D31"/>
    <w:rsid w:val="00C70635"/>
    <w:rsid w:val="00C70DD9"/>
    <w:rsid w:val="00C93D40"/>
    <w:rsid w:val="00C9425F"/>
    <w:rsid w:val="00C94FFB"/>
    <w:rsid w:val="00CA01CF"/>
    <w:rsid w:val="00CB3A12"/>
    <w:rsid w:val="00CB7C51"/>
    <w:rsid w:val="00CC065B"/>
    <w:rsid w:val="00CC152E"/>
    <w:rsid w:val="00CC4995"/>
    <w:rsid w:val="00CF0AF5"/>
    <w:rsid w:val="00CF2C7F"/>
    <w:rsid w:val="00CF4C23"/>
    <w:rsid w:val="00D036D4"/>
    <w:rsid w:val="00D12A48"/>
    <w:rsid w:val="00D17D90"/>
    <w:rsid w:val="00D20427"/>
    <w:rsid w:val="00D2478A"/>
    <w:rsid w:val="00D304FE"/>
    <w:rsid w:val="00D32A11"/>
    <w:rsid w:val="00D430C5"/>
    <w:rsid w:val="00D65F09"/>
    <w:rsid w:val="00D67113"/>
    <w:rsid w:val="00D7274D"/>
    <w:rsid w:val="00D7577D"/>
    <w:rsid w:val="00D823B0"/>
    <w:rsid w:val="00DA0B4B"/>
    <w:rsid w:val="00DA6F9A"/>
    <w:rsid w:val="00DD4897"/>
    <w:rsid w:val="00DD75FE"/>
    <w:rsid w:val="00E01729"/>
    <w:rsid w:val="00E01BC8"/>
    <w:rsid w:val="00E2499D"/>
    <w:rsid w:val="00E249E7"/>
    <w:rsid w:val="00E31E52"/>
    <w:rsid w:val="00E351A2"/>
    <w:rsid w:val="00E3615F"/>
    <w:rsid w:val="00E50E4E"/>
    <w:rsid w:val="00E54B04"/>
    <w:rsid w:val="00E6438D"/>
    <w:rsid w:val="00E67D08"/>
    <w:rsid w:val="00E75543"/>
    <w:rsid w:val="00E81DD0"/>
    <w:rsid w:val="00E82DE6"/>
    <w:rsid w:val="00EA4347"/>
    <w:rsid w:val="00EA6A82"/>
    <w:rsid w:val="00EB6965"/>
    <w:rsid w:val="00ED3DF2"/>
    <w:rsid w:val="00EE2D35"/>
    <w:rsid w:val="00F1321C"/>
    <w:rsid w:val="00F17E3D"/>
    <w:rsid w:val="00F21AB6"/>
    <w:rsid w:val="00F27118"/>
    <w:rsid w:val="00F30C7A"/>
    <w:rsid w:val="00F55B28"/>
    <w:rsid w:val="00F6269D"/>
    <w:rsid w:val="00FA0297"/>
    <w:rsid w:val="00FA1E0E"/>
    <w:rsid w:val="00FA4858"/>
    <w:rsid w:val="00FB01A7"/>
    <w:rsid w:val="00FB2DDB"/>
    <w:rsid w:val="00FE324C"/>
    <w:rsid w:val="00FF0620"/>
    <w:rsid w:val="00FF7B26"/>
    <w:rsid w:val="17531ABD"/>
    <w:rsid w:val="1F1F5D19"/>
    <w:rsid w:val="2B3F7BD6"/>
    <w:rsid w:val="2F4A3EB4"/>
    <w:rsid w:val="2F670A82"/>
    <w:rsid w:val="32082770"/>
    <w:rsid w:val="36A34E76"/>
    <w:rsid w:val="36F642A8"/>
    <w:rsid w:val="37D07013"/>
    <w:rsid w:val="3CBB6BF6"/>
    <w:rsid w:val="4E240C2E"/>
    <w:rsid w:val="51752BF6"/>
    <w:rsid w:val="596E7D64"/>
    <w:rsid w:val="634661F8"/>
    <w:rsid w:val="701D5F64"/>
    <w:rsid w:val="70C36194"/>
    <w:rsid w:val="73660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qFormat/>
    <w:pPr>
      <w:spacing w:after="120"/>
      <w:ind w:leftChars="200" w:left="420"/>
    </w:pPr>
  </w:style>
  <w:style w:type="paragraph" w:styleId="a4">
    <w:name w:val="Date"/>
    <w:basedOn w:val="a"/>
    <w:next w:val="a"/>
    <w:link w:val="Char"/>
    <w:autoRedefine/>
    <w:qFormat/>
    <w:pPr>
      <w:ind w:leftChars="2500" w:left="100"/>
    </w:pPr>
  </w:style>
  <w:style w:type="paragraph" w:styleId="a5">
    <w:name w:val="Balloon Text"/>
    <w:basedOn w:val="a"/>
    <w:autoRedefine/>
    <w:semiHidden/>
    <w:qFormat/>
    <w:rPr>
      <w:sz w:val="18"/>
      <w:szCs w:val="18"/>
    </w:rPr>
  </w:style>
  <w:style w:type="paragraph" w:styleId="a6">
    <w:name w:val="footer"/>
    <w:basedOn w:val="a"/>
    <w:link w:val="Char0"/>
    <w:autoRedefine/>
    <w:uiPriority w:val="99"/>
    <w:qFormat/>
    <w:pPr>
      <w:tabs>
        <w:tab w:val="center" w:pos="4153"/>
        <w:tab w:val="right" w:pos="8306"/>
      </w:tabs>
      <w:snapToGrid w:val="0"/>
      <w:jc w:val="left"/>
    </w:pPr>
    <w:rPr>
      <w:sz w:val="18"/>
      <w:szCs w:val="18"/>
    </w:rPr>
  </w:style>
  <w:style w:type="paragraph" w:styleId="a7">
    <w:name w:val="header"/>
    <w:basedOn w:val="a"/>
    <w:link w:val="Char1"/>
    <w:autoRedefine/>
    <w:qFormat/>
    <w:pPr>
      <w:pBdr>
        <w:bottom w:val="single" w:sz="6" w:space="1" w:color="auto"/>
      </w:pBdr>
      <w:tabs>
        <w:tab w:val="center" w:pos="4153"/>
        <w:tab w:val="right" w:pos="8306"/>
      </w:tabs>
      <w:snapToGrid w:val="0"/>
      <w:jc w:val="center"/>
    </w:pPr>
    <w:rPr>
      <w:sz w:val="18"/>
      <w:szCs w:val="18"/>
    </w:rPr>
  </w:style>
  <w:style w:type="table" w:styleId="a8">
    <w:name w:val="Table Grid"/>
    <w:basedOn w:val="a1"/>
    <w:autoRedefine/>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Hyperlink"/>
    <w:autoRedefine/>
    <w:qFormat/>
    <w:rPr>
      <w:color w:val="0000FF"/>
      <w:u w:val="single"/>
    </w:rPr>
  </w:style>
  <w:style w:type="character" w:customStyle="1" w:styleId="Char">
    <w:name w:val="日期 Char"/>
    <w:link w:val="a4"/>
    <w:autoRedefine/>
    <w:qFormat/>
    <w:rPr>
      <w:kern w:val="2"/>
      <w:sz w:val="21"/>
      <w:szCs w:val="24"/>
    </w:rPr>
  </w:style>
  <w:style w:type="character" w:customStyle="1" w:styleId="Char0">
    <w:name w:val="页脚 Char"/>
    <w:link w:val="a6"/>
    <w:autoRedefine/>
    <w:uiPriority w:val="99"/>
    <w:qFormat/>
    <w:rPr>
      <w:kern w:val="2"/>
      <w:sz w:val="18"/>
      <w:szCs w:val="18"/>
    </w:rPr>
  </w:style>
  <w:style w:type="character" w:customStyle="1" w:styleId="Char1">
    <w:name w:val="页眉 Char"/>
    <w:link w:val="a7"/>
    <w:autoRedefine/>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qFormat/>
    <w:pPr>
      <w:spacing w:after="120"/>
      <w:ind w:leftChars="200" w:left="420"/>
    </w:pPr>
  </w:style>
  <w:style w:type="paragraph" w:styleId="a4">
    <w:name w:val="Date"/>
    <w:basedOn w:val="a"/>
    <w:next w:val="a"/>
    <w:link w:val="Char"/>
    <w:autoRedefine/>
    <w:qFormat/>
    <w:pPr>
      <w:ind w:leftChars="2500" w:left="100"/>
    </w:pPr>
  </w:style>
  <w:style w:type="paragraph" w:styleId="a5">
    <w:name w:val="Balloon Text"/>
    <w:basedOn w:val="a"/>
    <w:autoRedefine/>
    <w:semiHidden/>
    <w:qFormat/>
    <w:rPr>
      <w:sz w:val="18"/>
      <w:szCs w:val="18"/>
    </w:rPr>
  </w:style>
  <w:style w:type="paragraph" w:styleId="a6">
    <w:name w:val="footer"/>
    <w:basedOn w:val="a"/>
    <w:link w:val="Char0"/>
    <w:autoRedefine/>
    <w:uiPriority w:val="99"/>
    <w:qFormat/>
    <w:pPr>
      <w:tabs>
        <w:tab w:val="center" w:pos="4153"/>
        <w:tab w:val="right" w:pos="8306"/>
      </w:tabs>
      <w:snapToGrid w:val="0"/>
      <w:jc w:val="left"/>
    </w:pPr>
    <w:rPr>
      <w:sz w:val="18"/>
      <w:szCs w:val="18"/>
    </w:rPr>
  </w:style>
  <w:style w:type="paragraph" w:styleId="a7">
    <w:name w:val="header"/>
    <w:basedOn w:val="a"/>
    <w:link w:val="Char1"/>
    <w:autoRedefine/>
    <w:qFormat/>
    <w:pPr>
      <w:pBdr>
        <w:bottom w:val="single" w:sz="6" w:space="1" w:color="auto"/>
      </w:pBdr>
      <w:tabs>
        <w:tab w:val="center" w:pos="4153"/>
        <w:tab w:val="right" w:pos="8306"/>
      </w:tabs>
      <w:snapToGrid w:val="0"/>
      <w:jc w:val="center"/>
    </w:pPr>
    <w:rPr>
      <w:sz w:val="18"/>
      <w:szCs w:val="18"/>
    </w:rPr>
  </w:style>
  <w:style w:type="table" w:styleId="a8">
    <w:name w:val="Table Grid"/>
    <w:basedOn w:val="a1"/>
    <w:autoRedefine/>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Hyperlink"/>
    <w:autoRedefine/>
    <w:qFormat/>
    <w:rPr>
      <w:color w:val="0000FF"/>
      <w:u w:val="single"/>
    </w:rPr>
  </w:style>
  <w:style w:type="character" w:customStyle="1" w:styleId="Char">
    <w:name w:val="日期 Char"/>
    <w:link w:val="a4"/>
    <w:autoRedefine/>
    <w:qFormat/>
    <w:rPr>
      <w:kern w:val="2"/>
      <w:sz w:val="21"/>
      <w:szCs w:val="24"/>
    </w:rPr>
  </w:style>
  <w:style w:type="character" w:customStyle="1" w:styleId="Char0">
    <w:name w:val="页脚 Char"/>
    <w:link w:val="a6"/>
    <w:autoRedefine/>
    <w:uiPriority w:val="99"/>
    <w:qFormat/>
    <w:rPr>
      <w:kern w:val="2"/>
      <w:sz w:val="18"/>
      <w:szCs w:val="18"/>
    </w:rPr>
  </w:style>
  <w:style w:type="character" w:customStyle="1" w:styleId="Char1">
    <w:name w:val="页眉 Char"/>
    <w:link w:val="a7"/>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1093</Words>
  <Characters>6231</Characters>
  <Application>Microsoft Office Word</Application>
  <DocSecurity>0</DocSecurity>
  <Lines>51</Lines>
  <Paragraphs>14</Paragraphs>
  <ScaleCrop>false</ScaleCrop>
  <Company>Lenovo (Beijing) Limited</Company>
  <LinksUpToDate>false</LinksUpToDate>
  <CharactersWithSpaces>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关于对江苏华西集团财务有限公司的风险评估报告</dc:title>
  <dc:creator>zbc1</dc:creator>
  <cp:lastModifiedBy>Lenovo</cp:lastModifiedBy>
  <cp:revision>33</cp:revision>
  <cp:lastPrinted>2017-08-23T01:14:00Z</cp:lastPrinted>
  <dcterms:created xsi:type="dcterms:W3CDTF">2023-12-25T02:39:00Z</dcterms:created>
  <dcterms:modified xsi:type="dcterms:W3CDTF">2025-04-27T00:42:00Z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E359116C63364A8E9FA202EBD1975E77</vt:lpwstr>
  </property>
</Properties>
</file>