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18C" w:rsidRPr="00EA518C" w:rsidRDefault="00EA518C" w:rsidP="0061556C">
      <w:pPr>
        <w:snapToGrid w:val="0"/>
        <w:spacing w:line="360" w:lineRule="auto"/>
        <w:rPr>
          <w:rFonts w:asciiTheme="minorEastAsia" w:eastAsiaTheme="minorEastAsia" w:hAnsiTheme="minorEastAsia"/>
          <w:sz w:val="24"/>
          <w:szCs w:val="24"/>
        </w:rPr>
      </w:pPr>
      <w:r w:rsidRPr="00EA518C">
        <w:rPr>
          <w:rFonts w:asciiTheme="minorEastAsia" w:eastAsiaTheme="minorEastAsia" w:hAnsiTheme="minorEastAsia" w:hint="eastAsia"/>
          <w:sz w:val="24"/>
          <w:szCs w:val="24"/>
        </w:rPr>
        <w:t>证券代码：000936          证券简称：华西股份        公告编号：2025-006</w:t>
      </w:r>
    </w:p>
    <w:p w:rsidR="00EA518C" w:rsidRPr="00EA518C" w:rsidRDefault="00EA518C" w:rsidP="0061556C">
      <w:pPr>
        <w:snapToGrid w:val="0"/>
        <w:spacing w:line="360" w:lineRule="auto"/>
        <w:jc w:val="center"/>
        <w:rPr>
          <w:rFonts w:ascii="黑体" w:eastAsia="黑体" w:hAnsi="宋体"/>
          <w:b/>
          <w:sz w:val="30"/>
          <w:szCs w:val="30"/>
        </w:rPr>
      </w:pPr>
    </w:p>
    <w:p w:rsidR="008D6F13" w:rsidRDefault="007E6C9D" w:rsidP="004476C6">
      <w:pPr>
        <w:snapToGrid w:val="0"/>
        <w:spacing w:line="360" w:lineRule="auto"/>
        <w:jc w:val="center"/>
        <w:rPr>
          <w:rFonts w:ascii="黑体" w:eastAsia="黑体" w:hAnsi="宋体"/>
          <w:b/>
          <w:sz w:val="30"/>
          <w:szCs w:val="30"/>
        </w:rPr>
      </w:pPr>
      <w:r>
        <w:rPr>
          <w:rFonts w:ascii="黑体" w:eastAsia="黑体" w:hAnsi="宋体" w:hint="eastAsia"/>
          <w:b/>
          <w:sz w:val="30"/>
          <w:szCs w:val="30"/>
        </w:rPr>
        <w:t>江苏华西村股份有限公司</w:t>
      </w:r>
    </w:p>
    <w:p w:rsidR="008D6F13" w:rsidRDefault="007E6C9D" w:rsidP="004476C6">
      <w:pPr>
        <w:snapToGrid w:val="0"/>
        <w:spacing w:line="360" w:lineRule="auto"/>
        <w:jc w:val="center"/>
        <w:rPr>
          <w:rFonts w:ascii="黑体" w:eastAsia="黑体" w:hAnsi="宋体"/>
          <w:b/>
          <w:sz w:val="30"/>
          <w:szCs w:val="30"/>
        </w:rPr>
      </w:pPr>
      <w:r>
        <w:rPr>
          <w:rFonts w:ascii="黑体" w:eastAsia="黑体" w:hAnsi="宋体" w:hint="eastAsia"/>
          <w:b/>
          <w:sz w:val="30"/>
          <w:szCs w:val="30"/>
        </w:rPr>
        <w:t>2024年度财务决算报告</w:t>
      </w:r>
    </w:p>
    <w:p w:rsidR="008D6F13" w:rsidRDefault="008D6F13" w:rsidP="004476C6">
      <w:pPr>
        <w:spacing w:line="360" w:lineRule="auto"/>
        <w:jc w:val="center"/>
        <w:rPr>
          <w:rFonts w:ascii="黑体" w:eastAsia="黑体" w:hAnsi="宋体"/>
          <w:b/>
          <w:sz w:val="32"/>
          <w:szCs w:val="32"/>
        </w:rPr>
      </w:pP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hint="eastAsia"/>
          <w:sz w:val="24"/>
          <w:szCs w:val="24"/>
        </w:rPr>
        <w:t>江苏华西村股份有限公司（以下简称“公司”）2024年度财务报告的编制基础是以持续经营假设为基础，根据实际发生的交易和事项，按照财政部颁布的《企业会计准则-基本准则》和具体会计准则、其后颁布的应用指南、解释以及其他相关规定编制。公司编制的2024年12月31日的合并及母公司资产负债表、2024年度的合并及母公司利润表、合并及母公司现金流量表、合并及母公司股东权益变动表以及财务报表附注，已经中兴华会计师事务所（特殊普通合伙）审计，出具了标准无保留意见审计报告，认为上述财务报表在所有重大方面公允地反映了公司2024年12月31日的财务状况及2024年度的经营成果和现金流量情况。</w:t>
      </w: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hint="eastAsia"/>
          <w:sz w:val="24"/>
          <w:szCs w:val="24"/>
        </w:rPr>
        <w:t>按照《企业内部控制基本规范》《企业内部控制应用指引》以及《企业内部控制评价指引》的要求, 中兴华会计师事务所（特殊普通合伙）对公司 2024年12月31日的财务报告内部控制的有效性进行了审计，认为公司已按照《企业内部控制基本规范》和相关规定在所有重大方面保持了有效的财务报告内部控制。</w:t>
      </w:r>
    </w:p>
    <w:p w:rsidR="008D6F13" w:rsidRPr="00A24C1D" w:rsidRDefault="008D6F13" w:rsidP="004476C6">
      <w:pPr>
        <w:snapToGrid w:val="0"/>
        <w:spacing w:line="360" w:lineRule="auto"/>
        <w:ind w:firstLineChars="200" w:firstLine="480"/>
        <w:rPr>
          <w:rFonts w:ascii="宋体" w:hAnsi="宋体"/>
          <w:sz w:val="24"/>
          <w:szCs w:val="24"/>
        </w:rPr>
      </w:pPr>
    </w:p>
    <w:p w:rsidR="008D6F13" w:rsidRPr="00A24C1D" w:rsidRDefault="007E6C9D" w:rsidP="004476C6">
      <w:pPr>
        <w:snapToGrid w:val="0"/>
        <w:spacing w:line="360" w:lineRule="auto"/>
        <w:ind w:firstLineChars="200" w:firstLine="482"/>
        <w:jc w:val="left"/>
        <w:rPr>
          <w:rFonts w:ascii="宋体" w:hAnsi="宋体"/>
          <w:b/>
          <w:sz w:val="24"/>
          <w:szCs w:val="24"/>
        </w:rPr>
      </w:pPr>
      <w:r w:rsidRPr="00A24C1D">
        <w:rPr>
          <w:rFonts w:ascii="宋体" w:hAnsi="宋体" w:hint="eastAsia"/>
          <w:b/>
          <w:sz w:val="24"/>
          <w:szCs w:val="24"/>
        </w:rPr>
        <w:t xml:space="preserve">一、盈利能力情况 </w:t>
      </w: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sz w:val="24"/>
          <w:szCs w:val="24"/>
        </w:rPr>
        <w:t>2024年度</w:t>
      </w:r>
      <w:r w:rsidRPr="00A24C1D">
        <w:rPr>
          <w:rFonts w:ascii="宋体" w:hAnsi="宋体" w:hint="eastAsia"/>
          <w:sz w:val="24"/>
          <w:szCs w:val="24"/>
        </w:rPr>
        <w:t>公司共实现营业收入326</w:t>
      </w:r>
      <w:r w:rsidRPr="00A24C1D">
        <w:rPr>
          <w:rFonts w:ascii="宋体" w:hAnsi="宋体"/>
          <w:sz w:val="24"/>
          <w:szCs w:val="24"/>
        </w:rPr>
        <w:t>,</w:t>
      </w:r>
      <w:r w:rsidRPr="00A24C1D">
        <w:rPr>
          <w:rFonts w:ascii="宋体" w:hAnsi="宋体" w:hint="eastAsia"/>
          <w:sz w:val="24"/>
          <w:szCs w:val="24"/>
        </w:rPr>
        <w:t>131</w:t>
      </w:r>
      <w:r w:rsidRPr="00A24C1D">
        <w:rPr>
          <w:rFonts w:ascii="宋体" w:hAnsi="宋体"/>
          <w:sz w:val="24"/>
          <w:szCs w:val="24"/>
        </w:rPr>
        <w:t>.</w:t>
      </w:r>
      <w:r w:rsidRPr="00A24C1D">
        <w:rPr>
          <w:rFonts w:ascii="宋体" w:hAnsi="宋体" w:hint="eastAsia"/>
          <w:sz w:val="24"/>
          <w:szCs w:val="24"/>
        </w:rPr>
        <w:t>19万元，较上年度增加了14</w:t>
      </w:r>
      <w:r w:rsidRPr="00A24C1D">
        <w:rPr>
          <w:rFonts w:ascii="宋体" w:hAnsi="宋体"/>
          <w:sz w:val="24"/>
          <w:szCs w:val="24"/>
        </w:rPr>
        <w:t>.</w:t>
      </w:r>
      <w:r w:rsidRPr="00A24C1D">
        <w:rPr>
          <w:rFonts w:ascii="宋体" w:hAnsi="宋体" w:hint="eastAsia"/>
          <w:sz w:val="24"/>
          <w:szCs w:val="24"/>
        </w:rPr>
        <w:t>11</w:t>
      </w:r>
      <w:r w:rsidRPr="00A24C1D">
        <w:rPr>
          <w:rFonts w:ascii="宋体" w:hAnsi="宋体"/>
          <w:sz w:val="24"/>
          <w:szCs w:val="24"/>
        </w:rPr>
        <w:t>%</w:t>
      </w:r>
      <w:r w:rsidRPr="00A24C1D">
        <w:rPr>
          <w:rFonts w:ascii="宋体" w:hAnsi="宋体" w:hint="eastAsia"/>
          <w:sz w:val="24"/>
          <w:szCs w:val="24"/>
        </w:rPr>
        <w:t>；实现营业利润11,921.11万元，较上年度增加了50.16</w:t>
      </w:r>
      <w:r w:rsidRPr="00A24C1D">
        <w:rPr>
          <w:rFonts w:ascii="宋体" w:hAnsi="宋体"/>
          <w:sz w:val="24"/>
          <w:szCs w:val="24"/>
        </w:rPr>
        <w:t>%</w:t>
      </w:r>
      <w:r w:rsidRPr="00A24C1D">
        <w:rPr>
          <w:rFonts w:ascii="宋体" w:hAnsi="宋体" w:hint="eastAsia"/>
          <w:sz w:val="24"/>
          <w:szCs w:val="24"/>
        </w:rPr>
        <w:t>；实现归属于母公司股东的净利润11,733.82万元，较上年度增加了62.08</w:t>
      </w:r>
      <w:r w:rsidRPr="00A24C1D">
        <w:rPr>
          <w:rFonts w:ascii="宋体" w:hAnsi="宋体"/>
          <w:sz w:val="24"/>
          <w:szCs w:val="24"/>
        </w:rPr>
        <w:t>%</w:t>
      </w:r>
      <w:r w:rsidRPr="00A24C1D">
        <w:rPr>
          <w:rFonts w:ascii="宋体" w:hAnsi="宋体" w:hint="eastAsia"/>
          <w:sz w:val="24"/>
          <w:szCs w:val="24"/>
        </w:rPr>
        <w:t>；经营活动产生的现金流量净额为6,703.19万元，较上年度增加了193.91</w:t>
      </w:r>
      <w:r w:rsidRPr="00A24C1D">
        <w:rPr>
          <w:rFonts w:ascii="宋体" w:hAnsi="宋体"/>
          <w:sz w:val="24"/>
          <w:szCs w:val="24"/>
        </w:rPr>
        <w:t>%</w:t>
      </w:r>
      <w:r w:rsidRPr="00A24C1D">
        <w:rPr>
          <w:rFonts w:ascii="宋体" w:hAnsi="宋体" w:hint="eastAsia"/>
          <w:sz w:val="24"/>
          <w:szCs w:val="24"/>
        </w:rPr>
        <w:t>；每股收益0.13元，较上年度增加了62.50%；每股净资产5.85元，较年初增加了1.39</w:t>
      </w:r>
      <w:r w:rsidRPr="00A24C1D">
        <w:rPr>
          <w:rFonts w:ascii="宋体" w:hAnsi="宋体"/>
          <w:sz w:val="24"/>
          <w:szCs w:val="24"/>
        </w:rPr>
        <w:t>%</w:t>
      </w:r>
      <w:r w:rsidRPr="00A24C1D">
        <w:rPr>
          <w:rFonts w:ascii="宋体" w:hAnsi="宋体" w:hint="eastAsia"/>
          <w:sz w:val="24"/>
          <w:szCs w:val="24"/>
        </w:rPr>
        <w:t>；实现加权平均净资产收益率2.28%，较上年度增加了0.86个百分点。2024年度利润较上年同期增加的主要原因是</w:t>
      </w:r>
      <w:r w:rsidRPr="00A24C1D">
        <w:rPr>
          <w:rFonts w:ascii="宋体" w:hAnsi="宋体"/>
          <w:sz w:val="24"/>
          <w:szCs w:val="24"/>
        </w:rPr>
        <w:t>本期</w:t>
      </w:r>
      <w:r w:rsidRPr="00A24C1D">
        <w:rPr>
          <w:rFonts w:ascii="宋体" w:hAnsi="宋体" w:hint="eastAsia"/>
          <w:sz w:val="24"/>
          <w:szCs w:val="24"/>
        </w:rPr>
        <w:t>权益法核算的长期股权</w:t>
      </w:r>
      <w:r w:rsidRPr="00A24C1D">
        <w:rPr>
          <w:rFonts w:ascii="宋体" w:hAnsi="宋体"/>
          <w:sz w:val="24"/>
          <w:szCs w:val="24"/>
        </w:rPr>
        <w:t>投资收益</w:t>
      </w:r>
      <w:r w:rsidRPr="00A24C1D">
        <w:rPr>
          <w:rFonts w:ascii="宋体" w:hAnsi="宋体" w:hint="eastAsia"/>
          <w:sz w:val="24"/>
          <w:szCs w:val="24"/>
        </w:rPr>
        <w:t>、公允价值变动收益</w:t>
      </w:r>
      <w:r w:rsidRPr="00A24C1D">
        <w:rPr>
          <w:rFonts w:ascii="宋体" w:hAnsi="宋体"/>
          <w:sz w:val="24"/>
          <w:szCs w:val="24"/>
        </w:rPr>
        <w:t>同比</w:t>
      </w:r>
      <w:r w:rsidRPr="00A24C1D">
        <w:rPr>
          <w:rFonts w:ascii="宋体" w:hAnsi="宋体" w:hint="eastAsia"/>
          <w:sz w:val="24"/>
          <w:szCs w:val="24"/>
        </w:rPr>
        <w:t>增加</w:t>
      </w:r>
      <w:r w:rsidRPr="00A24C1D">
        <w:rPr>
          <w:rFonts w:ascii="宋体" w:hAnsi="宋体"/>
          <w:sz w:val="24"/>
          <w:szCs w:val="24"/>
        </w:rPr>
        <w:t>。</w:t>
      </w: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hint="eastAsia"/>
          <w:sz w:val="24"/>
          <w:szCs w:val="24"/>
        </w:rPr>
        <w:t>2024年公司主营产品涤纶短纤维销售量为381,172吨，较上年度增加了</w:t>
      </w:r>
      <w:r w:rsidRPr="00A24C1D">
        <w:rPr>
          <w:rFonts w:ascii="宋体" w:hAnsi="宋体" w:hint="eastAsia"/>
          <w:sz w:val="24"/>
          <w:szCs w:val="24"/>
        </w:rPr>
        <w:lastRenderedPageBreak/>
        <w:t>1</w:t>
      </w:r>
      <w:r w:rsidRPr="00A24C1D">
        <w:rPr>
          <w:rFonts w:ascii="宋体" w:hAnsi="宋体"/>
          <w:sz w:val="24"/>
          <w:szCs w:val="24"/>
        </w:rPr>
        <w:t>.</w:t>
      </w:r>
      <w:r w:rsidRPr="00A24C1D">
        <w:rPr>
          <w:rFonts w:ascii="宋体" w:hAnsi="宋体" w:hint="eastAsia"/>
          <w:sz w:val="24"/>
          <w:szCs w:val="24"/>
        </w:rPr>
        <w:t>38</w:t>
      </w:r>
      <w:r w:rsidRPr="00A24C1D">
        <w:rPr>
          <w:rFonts w:ascii="宋体" w:hAnsi="宋体"/>
          <w:sz w:val="24"/>
          <w:szCs w:val="24"/>
        </w:rPr>
        <w:t>%</w:t>
      </w:r>
      <w:r w:rsidRPr="00A24C1D">
        <w:rPr>
          <w:rFonts w:ascii="宋体" w:hAnsi="宋体" w:hint="eastAsia"/>
          <w:sz w:val="24"/>
          <w:szCs w:val="24"/>
        </w:rPr>
        <w:t>；生产量382,346吨，较上年度减少了0</w:t>
      </w:r>
      <w:r w:rsidRPr="00A24C1D">
        <w:rPr>
          <w:rFonts w:ascii="宋体" w:hAnsi="宋体"/>
          <w:sz w:val="24"/>
          <w:szCs w:val="24"/>
        </w:rPr>
        <w:t>.</w:t>
      </w:r>
      <w:r w:rsidRPr="00A24C1D">
        <w:rPr>
          <w:rFonts w:ascii="宋体" w:hAnsi="宋体" w:hint="eastAsia"/>
          <w:sz w:val="24"/>
          <w:szCs w:val="24"/>
        </w:rPr>
        <w:t>77</w:t>
      </w:r>
      <w:r w:rsidRPr="00A24C1D">
        <w:rPr>
          <w:rFonts w:ascii="宋体" w:hAnsi="宋体"/>
          <w:sz w:val="24"/>
          <w:szCs w:val="24"/>
        </w:rPr>
        <w:t>%</w:t>
      </w:r>
      <w:r w:rsidRPr="00A24C1D">
        <w:rPr>
          <w:rFonts w:ascii="宋体" w:hAnsi="宋体" w:hint="eastAsia"/>
          <w:sz w:val="24"/>
          <w:szCs w:val="24"/>
        </w:rPr>
        <w:t>；库存量为22,482吨，较年初增加了5.51%；涤纶短纤维销售收入255,502.61万元，较上年度增加了1.24</w:t>
      </w:r>
      <w:r w:rsidRPr="00A24C1D">
        <w:rPr>
          <w:rFonts w:ascii="宋体" w:hAnsi="宋体"/>
          <w:sz w:val="24"/>
          <w:szCs w:val="24"/>
        </w:rPr>
        <w:t>%；</w:t>
      </w:r>
      <w:r w:rsidRPr="00A24C1D">
        <w:rPr>
          <w:rFonts w:ascii="宋体" w:hAnsi="宋体" w:hint="eastAsia"/>
          <w:sz w:val="24"/>
          <w:szCs w:val="24"/>
        </w:rPr>
        <w:t>涤纶短纤维产品全年实现毛利8,787.96万元，较上年度增加了92.89%；涤纶短纤维产品毛利率为3.44%，较上年度增加了1.</w:t>
      </w:r>
      <w:r w:rsidR="00753C33">
        <w:rPr>
          <w:rFonts w:ascii="宋体" w:hAnsi="宋体" w:hint="eastAsia"/>
          <w:sz w:val="24"/>
          <w:szCs w:val="24"/>
        </w:rPr>
        <w:t>63</w:t>
      </w:r>
      <w:r w:rsidRPr="00A24C1D">
        <w:rPr>
          <w:rFonts w:ascii="宋体" w:hAnsi="宋体" w:hint="eastAsia"/>
          <w:sz w:val="24"/>
          <w:szCs w:val="24"/>
        </w:rPr>
        <w:t>个百分点，主要原因是</w:t>
      </w:r>
      <w:r w:rsidRPr="00A24C1D">
        <w:rPr>
          <w:rFonts w:ascii="宋体" w:hAnsi="宋体"/>
          <w:sz w:val="24"/>
          <w:szCs w:val="24"/>
        </w:rPr>
        <w:t>受行业保价等因素影响</w:t>
      </w:r>
      <w:r w:rsidRPr="00A24C1D">
        <w:rPr>
          <w:rFonts w:ascii="宋体" w:hAnsi="宋体" w:hint="eastAsia"/>
          <w:sz w:val="24"/>
          <w:szCs w:val="24"/>
        </w:rPr>
        <w:t>，化纤</w:t>
      </w:r>
      <w:r w:rsidRPr="00A24C1D">
        <w:rPr>
          <w:rFonts w:ascii="宋体" w:hAnsi="宋体"/>
          <w:sz w:val="24"/>
          <w:szCs w:val="24"/>
        </w:rPr>
        <w:t>毛利</w:t>
      </w:r>
      <w:r w:rsidRPr="00A24C1D">
        <w:rPr>
          <w:rFonts w:ascii="宋体" w:hAnsi="宋体" w:hint="eastAsia"/>
          <w:sz w:val="24"/>
          <w:szCs w:val="24"/>
        </w:rPr>
        <w:t>空</w:t>
      </w:r>
      <w:r w:rsidRPr="00A24C1D">
        <w:rPr>
          <w:rFonts w:ascii="宋体" w:hAnsi="宋体"/>
          <w:sz w:val="24"/>
          <w:szCs w:val="24"/>
        </w:rPr>
        <w:t>间增加</w:t>
      </w:r>
      <w:r w:rsidRPr="00A24C1D">
        <w:rPr>
          <w:rFonts w:ascii="宋体" w:hAnsi="宋体" w:hint="eastAsia"/>
          <w:sz w:val="24"/>
          <w:szCs w:val="24"/>
        </w:rPr>
        <w:t>。</w:t>
      </w: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hint="eastAsia"/>
          <w:sz w:val="24"/>
          <w:szCs w:val="24"/>
        </w:rPr>
        <w:t>2024年实现投资收益及公允价值变动收益8,476.16万元，占利润总额的66.55%。其中：（1）交易性金融资产在持有期间的投资收益为1,312.72万元；（2）一村资本有限公司、联储证券股份有限公司、索尔思光电等按权益法核算的联营企业本期确认投资收益为4,156.92万元；（3）公允价值变动收益和处置交易性金融资产实现的收益为3,006.52万元。</w:t>
      </w: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hint="eastAsia"/>
          <w:sz w:val="24"/>
          <w:szCs w:val="24"/>
        </w:rPr>
        <w:t>2024年三项费用总额为8,381.44万元，较上年度增加了3.00%，其中本年度管理费用5,503.80万元，较上年度增加了6.79%；本年度财务费用2,389.98万元，较上年度增加了9.60%；本年度销售费用487.66万元，较上年同期减少了39.22%。</w:t>
      </w:r>
    </w:p>
    <w:p w:rsidR="008D6F13" w:rsidRPr="00A24C1D" w:rsidRDefault="008D6F13" w:rsidP="004476C6">
      <w:pPr>
        <w:snapToGrid w:val="0"/>
        <w:spacing w:line="360" w:lineRule="auto"/>
        <w:ind w:firstLineChars="200" w:firstLine="480"/>
        <w:rPr>
          <w:rFonts w:ascii="宋体" w:hAnsi="宋体"/>
          <w:sz w:val="24"/>
          <w:szCs w:val="24"/>
        </w:rPr>
      </w:pPr>
    </w:p>
    <w:p w:rsidR="008D6F13" w:rsidRPr="00A24C1D" w:rsidRDefault="007E6C9D" w:rsidP="004476C6">
      <w:pPr>
        <w:snapToGrid w:val="0"/>
        <w:spacing w:line="360" w:lineRule="auto"/>
        <w:ind w:firstLineChars="200" w:firstLine="482"/>
        <w:rPr>
          <w:rFonts w:ascii="宋体" w:hAnsi="宋体"/>
          <w:b/>
          <w:sz w:val="24"/>
          <w:szCs w:val="24"/>
        </w:rPr>
      </w:pPr>
      <w:r w:rsidRPr="00A24C1D">
        <w:rPr>
          <w:rFonts w:ascii="宋体" w:hAnsi="宋体" w:hint="eastAsia"/>
          <w:b/>
          <w:sz w:val="24"/>
          <w:szCs w:val="24"/>
        </w:rPr>
        <w:t>二、资产负债权益情况</w:t>
      </w:r>
    </w:p>
    <w:p w:rsidR="008D6F13" w:rsidRPr="00A24C1D" w:rsidRDefault="007E6C9D" w:rsidP="004476C6">
      <w:pPr>
        <w:snapToGrid w:val="0"/>
        <w:spacing w:line="360" w:lineRule="auto"/>
        <w:ind w:firstLineChars="200" w:firstLine="480"/>
        <w:rPr>
          <w:rFonts w:ascii="宋体" w:hAnsi="宋体"/>
          <w:sz w:val="24"/>
          <w:szCs w:val="24"/>
        </w:rPr>
      </w:pPr>
      <w:r w:rsidRPr="00A24C1D">
        <w:rPr>
          <w:rFonts w:ascii="宋体" w:hAnsi="宋体" w:hint="eastAsia"/>
          <w:sz w:val="24"/>
          <w:szCs w:val="24"/>
        </w:rPr>
        <w:t>2024年期末公司资产总额为65.90亿元，较年初增加了2.06%，负债总额为14.06亿元，较年初增加了4.84%，归属于母公司股东权益总额为51.84亿元，较年初增加了1.33%，资产负债率21.33%，较年初增加了0.56个百分点。报表项目重大变动情况如下：</w:t>
      </w:r>
    </w:p>
    <w:p w:rsidR="008D6F13" w:rsidRPr="00A24C1D" w:rsidRDefault="007E6C9D" w:rsidP="004476C6">
      <w:pPr>
        <w:widowControl/>
        <w:spacing w:line="360" w:lineRule="auto"/>
        <w:jc w:val="right"/>
        <w:rPr>
          <w:rFonts w:ascii="宋体" w:hAnsi="宋体" w:cs="宋体"/>
          <w:color w:val="000000"/>
          <w:kern w:val="0"/>
          <w:sz w:val="24"/>
          <w:szCs w:val="24"/>
        </w:rPr>
      </w:pPr>
      <w:r w:rsidRPr="00A24C1D">
        <w:rPr>
          <w:rFonts w:ascii="宋体" w:hAnsi="宋体" w:cs="宋体"/>
          <w:color w:val="000000"/>
          <w:kern w:val="0"/>
          <w:sz w:val="24"/>
          <w:szCs w:val="24"/>
        </w:rPr>
        <w:t>单位：</w:t>
      </w:r>
      <w:r w:rsidRPr="00A24C1D">
        <w:rPr>
          <w:rFonts w:ascii="宋体" w:hAnsi="宋体" w:cs="宋体" w:hint="eastAsia"/>
          <w:color w:val="000000"/>
          <w:kern w:val="0"/>
          <w:sz w:val="24"/>
          <w:szCs w:val="24"/>
        </w:rPr>
        <w:t>万</w:t>
      </w:r>
      <w:r w:rsidRPr="00A24C1D">
        <w:rPr>
          <w:rFonts w:ascii="宋体" w:hAnsi="宋体" w:cs="宋体"/>
          <w:color w:val="000000"/>
          <w:kern w:val="0"/>
          <w:sz w:val="24"/>
          <w:szCs w:val="24"/>
        </w:rPr>
        <w:t>元</w:t>
      </w:r>
    </w:p>
    <w:tbl>
      <w:tblPr>
        <w:tblW w:w="8376" w:type="dxa"/>
        <w:tblInd w:w="96" w:type="dxa"/>
        <w:tblLayout w:type="fixed"/>
        <w:tblLook w:val="04A0" w:firstRow="1" w:lastRow="0" w:firstColumn="1" w:lastColumn="0" w:noHBand="0" w:noVBand="1"/>
      </w:tblPr>
      <w:tblGrid>
        <w:gridCol w:w="2139"/>
        <w:gridCol w:w="1417"/>
        <w:gridCol w:w="1134"/>
        <w:gridCol w:w="1418"/>
        <w:gridCol w:w="1134"/>
        <w:gridCol w:w="1134"/>
      </w:tblGrid>
      <w:tr w:rsidR="008D6F13" w:rsidRPr="00F233BE" w:rsidTr="0061556C">
        <w:trPr>
          <w:trHeight w:val="315"/>
        </w:trPr>
        <w:tc>
          <w:tcPr>
            <w:tcW w:w="2139"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项目</w:t>
            </w:r>
          </w:p>
        </w:tc>
        <w:tc>
          <w:tcPr>
            <w:tcW w:w="2551" w:type="dxa"/>
            <w:gridSpan w:val="2"/>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期末</w:t>
            </w:r>
          </w:p>
        </w:tc>
        <w:tc>
          <w:tcPr>
            <w:tcW w:w="2552" w:type="dxa"/>
            <w:gridSpan w:val="2"/>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年初</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增减幅度</w:t>
            </w:r>
          </w:p>
        </w:tc>
      </w:tr>
      <w:tr w:rsidR="00104DA6" w:rsidRPr="00F233BE" w:rsidTr="0061556C">
        <w:trPr>
          <w:trHeight w:val="315"/>
        </w:trPr>
        <w:tc>
          <w:tcPr>
            <w:tcW w:w="2139" w:type="dxa"/>
            <w:vMerge/>
            <w:tcBorders>
              <w:top w:val="single" w:sz="4" w:space="0" w:color="auto"/>
              <w:left w:val="single" w:sz="4" w:space="0" w:color="auto"/>
              <w:bottom w:val="single" w:sz="4" w:space="0" w:color="auto"/>
              <w:right w:val="single" w:sz="4" w:space="0" w:color="auto"/>
            </w:tcBorders>
            <w:vAlign w:val="center"/>
          </w:tcPr>
          <w:p w:rsidR="008D6F13" w:rsidRPr="00F233BE" w:rsidRDefault="008D6F13" w:rsidP="004476C6">
            <w:pPr>
              <w:widowControl/>
              <w:spacing w:line="360" w:lineRule="auto"/>
              <w:jc w:val="left"/>
              <w:rPr>
                <w:rFonts w:ascii="宋体" w:hAnsi="宋体" w:cs="宋体"/>
                <w:color w:val="000000"/>
                <w:kern w:val="0"/>
                <w:szCs w:val="21"/>
              </w:rPr>
            </w:pP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 xml:space="preserve"> 金额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占总资产比例</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 xml:space="preserve"> 金额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center"/>
              <w:rPr>
                <w:rFonts w:ascii="宋体" w:hAnsi="宋体" w:cs="宋体"/>
                <w:color w:val="000000"/>
                <w:kern w:val="0"/>
                <w:szCs w:val="21"/>
              </w:rPr>
            </w:pPr>
            <w:r w:rsidRPr="00F233BE">
              <w:rPr>
                <w:rFonts w:ascii="宋体" w:hAnsi="宋体" w:cs="宋体" w:hint="eastAsia"/>
                <w:color w:val="000000"/>
                <w:kern w:val="0"/>
                <w:szCs w:val="21"/>
              </w:rPr>
              <w:t>占总资产比例</w:t>
            </w:r>
          </w:p>
        </w:tc>
        <w:tc>
          <w:tcPr>
            <w:tcW w:w="1134" w:type="dxa"/>
            <w:vMerge/>
            <w:tcBorders>
              <w:top w:val="single" w:sz="4" w:space="0" w:color="auto"/>
              <w:left w:val="single" w:sz="4" w:space="0" w:color="auto"/>
              <w:bottom w:val="single" w:sz="4" w:space="0" w:color="auto"/>
              <w:right w:val="single" w:sz="4" w:space="0" w:color="auto"/>
            </w:tcBorders>
            <w:vAlign w:val="center"/>
          </w:tcPr>
          <w:p w:rsidR="008D6F13" w:rsidRPr="00F233BE" w:rsidRDefault="008D6F13" w:rsidP="004476C6">
            <w:pPr>
              <w:widowControl/>
              <w:spacing w:line="360" w:lineRule="auto"/>
              <w:jc w:val="left"/>
              <w:rPr>
                <w:rFonts w:ascii="宋体" w:hAnsi="宋体" w:cs="宋体"/>
                <w:color w:val="000000"/>
                <w:kern w:val="0"/>
                <w:szCs w:val="21"/>
              </w:rPr>
            </w:pP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货币资金</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44,177.89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6.70%</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66,633.71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10.32%</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-33.70%</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交易性金融资产</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23,725.26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3.60%</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30,989.75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4.80%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-23.44%</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应收票据</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11,956.87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1.81%</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5,121.66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0.79%</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133.46%</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应收账款</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12,817.88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1.95%</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10,974.13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1.70%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16.80%</w:t>
            </w:r>
          </w:p>
        </w:tc>
      </w:tr>
      <w:tr w:rsidR="00104DA6" w:rsidRPr="00F233BE" w:rsidTr="000F1B56">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应收款项融资</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20,088.38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3.05%</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14,189.99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2.20%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41.57%</w:t>
            </w:r>
          </w:p>
        </w:tc>
      </w:tr>
      <w:tr w:rsidR="00104DA6" w:rsidRPr="00F233BE" w:rsidTr="000F1B56">
        <w:trPr>
          <w:trHeight w:val="31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lastRenderedPageBreak/>
              <w:t>预付款项</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2,518.97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3,546.50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0.55%</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-28.97%</w:t>
            </w:r>
          </w:p>
        </w:tc>
      </w:tr>
      <w:tr w:rsidR="00104DA6" w:rsidRPr="00F233BE" w:rsidTr="000F1B56">
        <w:trPr>
          <w:trHeight w:val="31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其他应收款</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130.08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0.02%</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142.33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-8.61%</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存货</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45,408.98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6.89%</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33,463.42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5.18%</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35.70%</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其他流动资产</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2,229.43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0.34%</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3,158.64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0.49%</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-29.42%</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长期股权投资</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348,165.37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52.84%</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357,129.07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55.31%</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-2.51%</w:t>
            </w:r>
          </w:p>
        </w:tc>
      </w:tr>
      <w:tr w:rsidR="00104DA6" w:rsidRPr="00F233BE" w:rsidTr="0061556C">
        <w:trPr>
          <w:trHeight w:val="31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其他非流动金融资产</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84,195.04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12.78%</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65,990.99 </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10.22%</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27.59%</w:t>
            </w:r>
          </w:p>
        </w:tc>
      </w:tr>
      <w:tr w:rsidR="00104DA6" w:rsidRPr="00F233BE" w:rsidTr="0061556C">
        <w:trPr>
          <w:trHeight w:val="315"/>
        </w:trPr>
        <w:tc>
          <w:tcPr>
            <w:tcW w:w="2139"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固定资产</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55,282.91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8.39%</w:t>
            </w:r>
          </w:p>
        </w:tc>
        <w:tc>
          <w:tcPr>
            <w:tcW w:w="1418"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46,629.58 </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7.22%</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18.56%</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在建工程</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2,358.43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0.36%</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2,373.13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0.37%</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-0.62%</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无形资产</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1,931.74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0.29%</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2,009.70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0.31%</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-3.88%</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商誉</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206.49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0.03%</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206.49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0.03%</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0.00%</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递延所得税资产</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3,613.00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0.55%</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2,313.14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0.36%</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56.19%</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其他非流动资产</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154.89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0.02%</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788.05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0.12%</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-80.35%</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Style w:val="font11"/>
                <w:rFonts w:hint="default"/>
                <w:sz w:val="21"/>
                <w:szCs w:val="21"/>
              </w:rPr>
              <w:t>短期借款</w:t>
            </w:r>
            <w:r w:rsidRPr="00F233BE">
              <w:rPr>
                <w:rStyle w:val="font21"/>
                <w:rFonts w:ascii="MS Gothic" w:eastAsia="MS Gothic" w:hAnsi="MS Gothic" w:cs="MS Gothic" w:hint="eastAsia"/>
                <w:sz w:val="21"/>
                <w:szCs w:val="21"/>
              </w:rPr>
              <w:t>  </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97,829.10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14.85%</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109,417.59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16.95%</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-10.59%</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应付账款</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15,754.50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2.39%</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7,739.62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1.20%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103.56%</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预收款项</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329.53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0.05%</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712.70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0.11%</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-53.76%</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合同负债</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8,752.34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1.33%</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5,796.09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0.90%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51.00%</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应付职工薪酬</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3,503.53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0.53%</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3,518.61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0.54%</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-0.43%</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应交税费</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1,384.91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0.21%</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258.93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0.04%</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434.86%</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其他应付款</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54.47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0.01%</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60.72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0.01%</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-10.29%</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其他流动负债</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7,717.35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1.17%</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3,042.64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0.47%</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153.64%</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长期借款</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1,951.97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0.30%</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8D6F13" w:rsidP="004476C6">
            <w:pPr>
              <w:spacing w:line="360" w:lineRule="auto"/>
              <w:jc w:val="right"/>
              <w:rPr>
                <w:rFonts w:ascii="宋体" w:hAnsi="宋体" w:cs="宋体"/>
                <w:color w:val="000000"/>
                <w:szCs w:val="21"/>
              </w:rPr>
            </w:pP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8D6F13" w:rsidP="004476C6">
            <w:pPr>
              <w:widowControl/>
              <w:spacing w:line="360" w:lineRule="auto"/>
              <w:jc w:val="right"/>
              <w:textAlignment w:val="center"/>
              <w:rPr>
                <w:rFonts w:ascii="宋体" w:hAnsi="宋体" w:cs="宋体"/>
                <w:color w:val="000000"/>
                <w:szCs w:val="21"/>
              </w:rPr>
            </w:pP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不适用</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递延收益</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375.20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0.06%</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422.10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0.07%</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-11.11%</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递延所得税负债</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2,926.66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0.44%</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3,121.48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0.48%</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-6.24%</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股本</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88,601.29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13.45%</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88,601.29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13.72%</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0.00%</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资本公积</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38,487.09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5.84%</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39,104.93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6.06%</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-1.58%</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其他综合收益</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533.4</w:t>
            </w:r>
            <w:r w:rsidR="00394F24" w:rsidRPr="00F233BE">
              <w:rPr>
                <w:rFonts w:ascii="宋体" w:hAnsi="宋体" w:cs="宋体" w:hint="eastAsia"/>
                <w:color w:val="000000"/>
                <w:kern w:val="0"/>
                <w:szCs w:val="21"/>
              </w:rPr>
              <w:t>3</w:t>
            </w:r>
            <w:r w:rsidRPr="00F233BE">
              <w:rPr>
                <w:rFonts w:ascii="宋体" w:hAnsi="宋体" w:cs="宋体" w:hint="eastAsia"/>
                <w:color w:val="000000"/>
                <w:kern w:val="0"/>
                <w:szCs w:val="21"/>
              </w:rPr>
              <w:t xml:space="preserve">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0.08%</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1,293.11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0.20%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-58.75%</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盈余公积</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45,064.50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6.84%</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 43,567.19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6.75%</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3.44%</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未分配利润</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345,695.74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52.46%</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339,003.28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52.50%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1.97%</w:t>
            </w:r>
          </w:p>
        </w:tc>
      </w:tr>
      <w:tr w:rsidR="00104DA6" w:rsidRPr="00F233BE" w:rsidTr="0061556C">
        <w:trPr>
          <w:trHeight w:val="315"/>
        </w:trPr>
        <w:tc>
          <w:tcPr>
            <w:tcW w:w="2139" w:type="dxa"/>
            <w:tcBorders>
              <w:top w:val="nil"/>
              <w:left w:val="single" w:sz="4" w:space="0" w:color="auto"/>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left"/>
              <w:textAlignment w:val="center"/>
              <w:rPr>
                <w:rFonts w:ascii="宋体" w:hAnsi="宋体" w:cs="宋体"/>
                <w:color w:val="000000"/>
                <w:kern w:val="0"/>
                <w:szCs w:val="21"/>
              </w:rPr>
            </w:pPr>
            <w:r w:rsidRPr="00F233BE">
              <w:rPr>
                <w:rFonts w:ascii="宋体" w:hAnsi="宋体" w:cs="宋体" w:hint="eastAsia"/>
                <w:color w:val="000000"/>
                <w:kern w:val="0"/>
                <w:szCs w:val="21"/>
              </w:rPr>
              <w:t>资产总计</w:t>
            </w:r>
          </w:p>
        </w:tc>
        <w:tc>
          <w:tcPr>
            <w:tcW w:w="1417"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658,961.61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100.00%</w:t>
            </w:r>
          </w:p>
        </w:tc>
        <w:tc>
          <w:tcPr>
            <w:tcW w:w="1418"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 xml:space="preserve">645,660.28 </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100.00%</w:t>
            </w:r>
          </w:p>
        </w:tc>
        <w:tc>
          <w:tcPr>
            <w:tcW w:w="1134" w:type="dxa"/>
            <w:tcBorders>
              <w:top w:val="nil"/>
              <w:left w:val="nil"/>
              <w:bottom w:val="single" w:sz="4" w:space="0" w:color="auto"/>
              <w:right w:val="single" w:sz="4" w:space="0" w:color="auto"/>
            </w:tcBorders>
            <w:shd w:val="clear" w:color="auto" w:fill="auto"/>
            <w:noWrap/>
            <w:vAlign w:val="center"/>
          </w:tcPr>
          <w:p w:rsidR="008D6F13" w:rsidRPr="00F233BE" w:rsidRDefault="007E6C9D" w:rsidP="004476C6">
            <w:pPr>
              <w:widowControl/>
              <w:spacing w:line="360" w:lineRule="auto"/>
              <w:jc w:val="right"/>
              <w:textAlignment w:val="center"/>
              <w:rPr>
                <w:rFonts w:ascii="宋体" w:hAnsi="宋体" w:cs="宋体"/>
                <w:color w:val="000000"/>
                <w:szCs w:val="21"/>
              </w:rPr>
            </w:pPr>
            <w:r w:rsidRPr="00F233BE">
              <w:rPr>
                <w:rFonts w:ascii="宋体" w:hAnsi="宋体" w:cs="宋体" w:hint="eastAsia"/>
                <w:color w:val="000000"/>
                <w:kern w:val="0"/>
                <w:szCs w:val="21"/>
              </w:rPr>
              <w:t>2.06%</w:t>
            </w:r>
          </w:p>
        </w:tc>
      </w:tr>
    </w:tbl>
    <w:p w:rsidR="008D6F13" w:rsidRPr="00A24C1D" w:rsidRDefault="007E6C9D" w:rsidP="004476C6">
      <w:pPr>
        <w:spacing w:line="360" w:lineRule="auto"/>
        <w:ind w:firstLineChars="200" w:firstLine="480"/>
        <w:rPr>
          <w:rFonts w:ascii="宋体" w:hAnsi="宋体"/>
          <w:kern w:val="0"/>
          <w:sz w:val="24"/>
          <w:szCs w:val="24"/>
          <w:lang w:val="zh-CN"/>
        </w:rPr>
      </w:pPr>
      <w:r w:rsidRPr="00A24C1D">
        <w:rPr>
          <w:rFonts w:ascii="宋体" w:hAnsi="宋体" w:hint="eastAsia"/>
          <w:kern w:val="0"/>
          <w:sz w:val="24"/>
          <w:szCs w:val="24"/>
          <w:lang w:val="zh-CN"/>
        </w:rPr>
        <w:lastRenderedPageBreak/>
        <w:t>重大变动情况说明：</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1、货币资金期末余额较年初数减少了33.70</w:t>
      </w:r>
      <w:r w:rsidRPr="00A24C1D">
        <w:rPr>
          <w:rFonts w:ascii="宋体" w:hAnsi="宋体"/>
          <w:kern w:val="0"/>
          <w:sz w:val="24"/>
          <w:szCs w:val="24"/>
        </w:rPr>
        <w:t>%</w:t>
      </w:r>
      <w:r w:rsidRPr="00A24C1D">
        <w:rPr>
          <w:rFonts w:ascii="宋体" w:hAnsi="宋体" w:hint="eastAsia"/>
          <w:kern w:val="0"/>
          <w:sz w:val="24"/>
          <w:szCs w:val="24"/>
        </w:rPr>
        <w:t>，主要原因是：</w:t>
      </w:r>
      <w:r w:rsidR="008D6F13" w:rsidRPr="00A24C1D">
        <w:rPr>
          <w:rFonts w:ascii="宋体" w:hAnsi="宋体"/>
          <w:kern w:val="0"/>
          <w:sz w:val="24"/>
          <w:szCs w:val="24"/>
        </w:rPr>
        <w:fldChar w:fldCharType="begin"/>
      </w:r>
      <w:r w:rsidRPr="00A24C1D">
        <w:rPr>
          <w:rFonts w:ascii="宋体" w:hAnsi="宋体" w:hint="eastAsia"/>
          <w:kern w:val="0"/>
          <w:sz w:val="24"/>
          <w:szCs w:val="24"/>
        </w:rPr>
        <w:instrText>= 1 \* GB3</w:instrText>
      </w:r>
      <w:r w:rsidR="008D6F13" w:rsidRPr="00A24C1D">
        <w:rPr>
          <w:rFonts w:ascii="宋体" w:hAnsi="宋体"/>
          <w:kern w:val="0"/>
          <w:sz w:val="24"/>
          <w:szCs w:val="24"/>
        </w:rPr>
        <w:fldChar w:fldCharType="separate"/>
      </w:r>
      <w:r w:rsidRPr="00A24C1D">
        <w:rPr>
          <w:rFonts w:ascii="宋体" w:hAnsi="宋体" w:hint="eastAsia"/>
          <w:kern w:val="0"/>
          <w:sz w:val="24"/>
          <w:szCs w:val="24"/>
        </w:rPr>
        <w:t>①</w:t>
      </w:r>
      <w:r w:rsidR="008D6F13" w:rsidRPr="00A24C1D">
        <w:rPr>
          <w:rFonts w:ascii="宋体" w:hAnsi="宋体"/>
          <w:kern w:val="0"/>
          <w:sz w:val="24"/>
          <w:szCs w:val="24"/>
        </w:rPr>
        <w:fldChar w:fldCharType="end"/>
      </w:r>
      <w:r w:rsidRPr="00A24C1D">
        <w:rPr>
          <w:rFonts w:ascii="宋体" w:hAnsi="宋体" w:hint="eastAsia"/>
          <w:kern w:val="0"/>
          <w:sz w:val="24"/>
          <w:szCs w:val="24"/>
        </w:rPr>
        <w:t>报告期内支付了无锡</w:t>
      </w:r>
      <w:proofErr w:type="gramStart"/>
      <w:r w:rsidRPr="00A24C1D">
        <w:rPr>
          <w:rFonts w:ascii="宋体" w:hAnsi="宋体" w:hint="eastAsia"/>
          <w:kern w:val="0"/>
          <w:sz w:val="24"/>
          <w:szCs w:val="24"/>
        </w:rPr>
        <w:t>锡</w:t>
      </w:r>
      <w:proofErr w:type="gramEnd"/>
      <w:r w:rsidRPr="00A24C1D">
        <w:rPr>
          <w:rFonts w:ascii="宋体" w:hAnsi="宋体" w:hint="eastAsia"/>
          <w:kern w:val="0"/>
          <w:sz w:val="24"/>
          <w:szCs w:val="24"/>
        </w:rPr>
        <w:t>创联华股权投资合伙企业（有限合伙）16,750万元的出资份额；</w:t>
      </w:r>
      <w:r w:rsidR="008D6F13" w:rsidRPr="00A24C1D">
        <w:rPr>
          <w:rFonts w:ascii="宋体" w:hAnsi="宋体"/>
          <w:kern w:val="0"/>
          <w:sz w:val="24"/>
          <w:szCs w:val="24"/>
        </w:rPr>
        <w:fldChar w:fldCharType="begin"/>
      </w:r>
      <w:r w:rsidRPr="00A24C1D">
        <w:rPr>
          <w:rFonts w:ascii="宋体" w:hAnsi="宋体" w:hint="eastAsia"/>
          <w:kern w:val="0"/>
          <w:sz w:val="24"/>
          <w:szCs w:val="24"/>
        </w:rPr>
        <w:instrText>= 2 \* GB3</w:instrText>
      </w:r>
      <w:r w:rsidR="008D6F13" w:rsidRPr="00A24C1D">
        <w:rPr>
          <w:rFonts w:ascii="宋体" w:hAnsi="宋体"/>
          <w:kern w:val="0"/>
          <w:sz w:val="24"/>
          <w:szCs w:val="24"/>
        </w:rPr>
        <w:fldChar w:fldCharType="separate"/>
      </w:r>
      <w:r w:rsidRPr="00A24C1D">
        <w:rPr>
          <w:rFonts w:ascii="宋体" w:hAnsi="宋体" w:hint="eastAsia"/>
          <w:kern w:val="0"/>
          <w:sz w:val="24"/>
          <w:szCs w:val="24"/>
        </w:rPr>
        <w:t>②</w:t>
      </w:r>
      <w:r w:rsidR="008D6F13" w:rsidRPr="00A24C1D">
        <w:rPr>
          <w:rFonts w:ascii="宋体" w:hAnsi="宋体"/>
          <w:kern w:val="0"/>
          <w:sz w:val="24"/>
          <w:szCs w:val="24"/>
        </w:rPr>
        <w:fldChar w:fldCharType="end"/>
      </w:r>
      <w:r w:rsidRPr="00A24C1D">
        <w:rPr>
          <w:rFonts w:ascii="宋体" w:hAnsi="宋体" w:hint="eastAsia"/>
          <w:kern w:val="0"/>
          <w:sz w:val="24"/>
          <w:szCs w:val="24"/>
        </w:rPr>
        <w:t>报告期内化纤厂</w:t>
      </w:r>
      <w:r w:rsidRPr="00A24C1D">
        <w:rPr>
          <w:rFonts w:ascii="宋体" w:hAnsi="宋体"/>
          <w:kern w:val="0"/>
          <w:sz w:val="24"/>
          <w:szCs w:val="24"/>
        </w:rPr>
        <w:t>增加了新建项目的投入；</w:t>
      </w:r>
      <w:r w:rsidR="008D6F13" w:rsidRPr="00A24C1D">
        <w:rPr>
          <w:rFonts w:ascii="宋体" w:hAnsi="宋体"/>
          <w:kern w:val="0"/>
          <w:sz w:val="24"/>
          <w:szCs w:val="24"/>
        </w:rPr>
        <w:fldChar w:fldCharType="begin"/>
      </w:r>
      <w:r w:rsidRPr="00A24C1D">
        <w:rPr>
          <w:rFonts w:ascii="宋体" w:hAnsi="宋体" w:hint="eastAsia"/>
          <w:kern w:val="0"/>
          <w:sz w:val="24"/>
          <w:szCs w:val="24"/>
        </w:rPr>
        <w:instrText>= 3 \* GB3</w:instrText>
      </w:r>
      <w:r w:rsidR="008D6F13" w:rsidRPr="00A24C1D">
        <w:rPr>
          <w:rFonts w:ascii="宋体" w:hAnsi="宋体"/>
          <w:kern w:val="0"/>
          <w:sz w:val="24"/>
          <w:szCs w:val="24"/>
        </w:rPr>
        <w:fldChar w:fldCharType="separate"/>
      </w:r>
      <w:r w:rsidRPr="00A24C1D">
        <w:rPr>
          <w:rFonts w:ascii="宋体" w:hAnsi="宋体" w:hint="eastAsia"/>
          <w:kern w:val="0"/>
          <w:sz w:val="24"/>
          <w:szCs w:val="24"/>
        </w:rPr>
        <w:t>③</w:t>
      </w:r>
      <w:r w:rsidR="008D6F13" w:rsidRPr="00A24C1D">
        <w:rPr>
          <w:rFonts w:ascii="宋体" w:hAnsi="宋体"/>
          <w:kern w:val="0"/>
          <w:sz w:val="24"/>
          <w:szCs w:val="24"/>
        </w:rPr>
        <w:fldChar w:fldCharType="end"/>
      </w:r>
      <w:r w:rsidRPr="00A24C1D">
        <w:rPr>
          <w:rFonts w:ascii="宋体" w:hAnsi="宋体" w:hint="eastAsia"/>
          <w:kern w:val="0"/>
          <w:sz w:val="24"/>
          <w:szCs w:val="24"/>
        </w:rPr>
        <w:t>报告期内</w:t>
      </w:r>
      <w:r w:rsidRPr="00A24C1D">
        <w:rPr>
          <w:rFonts w:ascii="宋体" w:hAnsi="宋体"/>
          <w:kern w:val="0"/>
          <w:sz w:val="24"/>
          <w:szCs w:val="24"/>
        </w:rPr>
        <w:t>实施了年度、中期两次现金分红</w:t>
      </w:r>
      <w:r w:rsidRPr="00A24C1D">
        <w:rPr>
          <w:rFonts w:ascii="宋体" w:hAnsi="宋体" w:hint="eastAsia"/>
          <w:kern w:val="0"/>
          <w:sz w:val="24"/>
          <w:szCs w:val="24"/>
        </w:rPr>
        <w:t>。</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2、应收票据</w:t>
      </w:r>
      <w:bookmarkStart w:id="0" w:name="OLE_LINK1"/>
      <w:r w:rsidRPr="00A24C1D">
        <w:rPr>
          <w:rFonts w:ascii="宋体" w:hAnsi="宋体" w:hint="eastAsia"/>
          <w:kern w:val="0"/>
          <w:sz w:val="24"/>
          <w:szCs w:val="24"/>
        </w:rPr>
        <w:t>期末余额较年初数增加了133.46</w:t>
      </w:r>
      <w:r w:rsidRPr="00A24C1D">
        <w:rPr>
          <w:rFonts w:ascii="宋体" w:hAnsi="宋体"/>
          <w:kern w:val="0"/>
          <w:sz w:val="24"/>
          <w:szCs w:val="24"/>
        </w:rPr>
        <w:t>%</w:t>
      </w:r>
      <w:r w:rsidRPr="00A24C1D">
        <w:rPr>
          <w:rFonts w:ascii="宋体" w:hAnsi="宋体" w:hint="eastAsia"/>
          <w:kern w:val="0"/>
          <w:sz w:val="24"/>
          <w:szCs w:val="24"/>
        </w:rPr>
        <w:t>，主要原因是</w:t>
      </w:r>
      <w:bookmarkEnd w:id="0"/>
      <w:r w:rsidRPr="00A24C1D">
        <w:rPr>
          <w:rFonts w:ascii="宋体" w:hAnsi="宋体" w:hint="eastAsia"/>
          <w:kern w:val="0"/>
          <w:sz w:val="24"/>
          <w:szCs w:val="24"/>
        </w:rPr>
        <w:t>期末公司已背书且在资产负债表日尚未到期的应收票据增加。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3、应收款项融资期末余额较年初数增加了41.57</w:t>
      </w:r>
      <w:r w:rsidRPr="00A24C1D">
        <w:rPr>
          <w:rFonts w:ascii="宋体" w:hAnsi="宋体"/>
          <w:kern w:val="0"/>
          <w:sz w:val="24"/>
          <w:szCs w:val="24"/>
        </w:rPr>
        <w:t>%</w:t>
      </w:r>
      <w:r w:rsidRPr="00A24C1D">
        <w:rPr>
          <w:rFonts w:ascii="宋体" w:hAnsi="宋体" w:hint="eastAsia"/>
          <w:kern w:val="0"/>
          <w:sz w:val="24"/>
          <w:szCs w:val="24"/>
        </w:rPr>
        <w:t>，主要原因是本期以银行承兑汇票结算方式收回的货款增加。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4、</w:t>
      </w:r>
      <w:bookmarkStart w:id="1" w:name="OLE_LINK5"/>
      <w:r w:rsidRPr="00A24C1D">
        <w:rPr>
          <w:rFonts w:ascii="宋体" w:hAnsi="宋体" w:hint="eastAsia"/>
          <w:kern w:val="0"/>
          <w:sz w:val="24"/>
          <w:szCs w:val="24"/>
        </w:rPr>
        <w:t>存货期末余额较年初数增加了35.70</w:t>
      </w:r>
      <w:r w:rsidRPr="00A24C1D">
        <w:rPr>
          <w:rFonts w:ascii="宋体" w:hAnsi="宋体"/>
          <w:kern w:val="0"/>
          <w:sz w:val="24"/>
          <w:szCs w:val="24"/>
        </w:rPr>
        <w:t>%</w:t>
      </w:r>
      <w:r w:rsidRPr="00A24C1D">
        <w:rPr>
          <w:rFonts w:ascii="宋体" w:hAnsi="宋体" w:hint="eastAsia"/>
          <w:kern w:val="0"/>
          <w:sz w:val="24"/>
          <w:szCs w:val="24"/>
        </w:rPr>
        <w:t>，主要原因是</w:t>
      </w:r>
      <w:bookmarkEnd w:id="1"/>
      <w:r w:rsidRPr="00A24C1D">
        <w:rPr>
          <w:rFonts w:ascii="宋体" w:hAnsi="宋体" w:hint="eastAsia"/>
          <w:kern w:val="0"/>
          <w:sz w:val="24"/>
          <w:szCs w:val="24"/>
        </w:rPr>
        <w:t>期末化纤厂原材料备货增加。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5、递延所得税资产期末余额较年初数增加了56.19</w:t>
      </w:r>
      <w:r w:rsidRPr="00A24C1D">
        <w:rPr>
          <w:rFonts w:ascii="宋体" w:hAnsi="宋体"/>
          <w:kern w:val="0"/>
          <w:sz w:val="24"/>
          <w:szCs w:val="24"/>
        </w:rPr>
        <w:t>%</w:t>
      </w:r>
      <w:r w:rsidRPr="00A24C1D">
        <w:rPr>
          <w:rFonts w:ascii="宋体" w:hAnsi="宋体" w:hint="eastAsia"/>
          <w:kern w:val="0"/>
          <w:sz w:val="24"/>
          <w:szCs w:val="24"/>
        </w:rPr>
        <w:t>，主要原因是期末计提的长期股权投资减值准备增加影响递延所得税资产增加。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6、其他非流动资产期末余额较年初数减少了80.35</w:t>
      </w:r>
      <w:r w:rsidRPr="00A24C1D">
        <w:rPr>
          <w:rFonts w:ascii="宋体" w:hAnsi="宋体"/>
          <w:kern w:val="0"/>
          <w:sz w:val="24"/>
          <w:szCs w:val="24"/>
        </w:rPr>
        <w:t>%</w:t>
      </w:r>
      <w:r w:rsidRPr="00A24C1D">
        <w:rPr>
          <w:rFonts w:ascii="宋体" w:hAnsi="宋体" w:hint="eastAsia"/>
          <w:kern w:val="0"/>
          <w:sz w:val="24"/>
          <w:szCs w:val="24"/>
        </w:rPr>
        <w:t>，主要原因是期末预付的长期资产构建款项减少。</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7、应付账款期末余额较年初数增加了103.56</w:t>
      </w:r>
      <w:r w:rsidRPr="00A24C1D">
        <w:rPr>
          <w:rFonts w:ascii="宋体" w:hAnsi="宋体"/>
          <w:kern w:val="0"/>
          <w:sz w:val="24"/>
          <w:szCs w:val="24"/>
        </w:rPr>
        <w:t>%</w:t>
      </w:r>
      <w:r w:rsidRPr="00A24C1D">
        <w:rPr>
          <w:rFonts w:ascii="宋体" w:hAnsi="宋体" w:hint="eastAsia"/>
          <w:kern w:val="0"/>
          <w:sz w:val="24"/>
          <w:szCs w:val="24"/>
        </w:rPr>
        <w:t>，主要原因是期末应付的原材料</w:t>
      </w:r>
      <w:proofErr w:type="gramStart"/>
      <w:r w:rsidRPr="00A24C1D">
        <w:rPr>
          <w:rFonts w:ascii="宋体" w:hAnsi="宋体" w:hint="eastAsia"/>
          <w:kern w:val="0"/>
          <w:sz w:val="24"/>
          <w:szCs w:val="24"/>
        </w:rPr>
        <w:t>采购款</w:t>
      </w:r>
      <w:proofErr w:type="gramEnd"/>
      <w:r w:rsidRPr="00A24C1D">
        <w:rPr>
          <w:rFonts w:ascii="宋体" w:hAnsi="宋体" w:hint="eastAsia"/>
          <w:kern w:val="0"/>
          <w:sz w:val="24"/>
          <w:szCs w:val="24"/>
        </w:rPr>
        <w:t>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8、预收款项</w:t>
      </w:r>
      <w:bookmarkStart w:id="2" w:name="OLE_LINK2"/>
      <w:r w:rsidRPr="00A24C1D">
        <w:rPr>
          <w:rFonts w:ascii="宋体" w:hAnsi="宋体" w:hint="eastAsia"/>
          <w:kern w:val="0"/>
          <w:sz w:val="24"/>
          <w:szCs w:val="24"/>
        </w:rPr>
        <w:t>期末余额较年初数减少了53.76</w:t>
      </w:r>
      <w:r w:rsidRPr="00A24C1D">
        <w:rPr>
          <w:rFonts w:ascii="宋体" w:hAnsi="宋体"/>
          <w:kern w:val="0"/>
          <w:sz w:val="24"/>
          <w:szCs w:val="24"/>
        </w:rPr>
        <w:t>%</w:t>
      </w:r>
      <w:r w:rsidRPr="00A24C1D">
        <w:rPr>
          <w:rFonts w:ascii="宋体" w:hAnsi="宋体" w:hint="eastAsia"/>
          <w:kern w:val="0"/>
          <w:sz w:val="24"/>
          <w:szCs w:val="24"/>
        </w:rPr>
        <w:t>，主要原因是</w:t>
      </w:r>
      <w:bookmarkEnd w:id="2"/>
      <w:r w:rsidRPr="00A24C1D">
        <w:rPr>
          <w:rFonts w:ascii="宋体" w:hAnsi="宋体" w:hint="eastAsia"/>
          <w:kern w:val="0"/>
          <w:sz w:val="24"/>
          <w:szCs w:val="24"/>
        </w:rPr>
        <w:t>期末预收的仓储款项减少。</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9、合同负债期末余额较年初数增加了51.00</w:t>
      </w:r>
      <w:r w:rsidRPr="00A24C1D">
        <w:rPr>
          <w:rFonts w:ascii="宋体" w:hAnsi="宋体"/>
          <w:kern w:val="0"/>
          <w:sz w:val="24"/>
          <w:szCs w:val="24"/>
        </w:rPr>
        <w:t>%</w:t>
      </w:r>
      <w:r w:rsidRPr="00A24C1D">
        <w:rPr>
          <w:rFonts w:ascii="宋体" w:hAnsi="宋体" w:hint="eastAsia"/>
          <w:kern w:val="0"/>
          <w:sz w:val="24"/>
          <w:szCs w:val="24"/>
        </w:rPr>
        <w:t>，主要原因是期末化纤厂预收销售合同货款增加。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10、应交税费期末余额较年初数增加了434.86</w:t>
      </w:r>
      <w:r w:rsidRPr="00A24C1D">
        <w:rPr>
          <w:rFonts w:ascii="宋体" w:hAnsi="宋体"/>
          <w:kern w:val="0"/>
          <w:sz w:val="24"/>
          <w:szCs w:val="24"/>
        </w:rPr>
        <w:t>%</w:t>
      </w:r>
      <w:r w:rsidRPr="00A24C1D">
        <w:rPr>
          <w:rFonts w:ascii="宋体" w:hAnsi="宋体" w:hint="eastAsia"/>
          <w:kern w:val="0"/>
          <w:sz w:val="24"/>
          <w:szCs w:val="24"/>
        </w:rPr>
        <w:t>，主要原因是期末应交所得税款项增加。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11、其他流动负债期末余额较年初数增加了153.64</w:t>
      </w:r>
      <w:r w:rsidRPr="00A24C1D">
        <w:rPr>
          <w:rFonts w:ascii="宋体" w:hAnsi="宋体"/>
          <w:kern w:val="0"/>
          <w:sz w:val="24"/>
          <w:szCs w:val="24"/>
        </w:rPr>
        <w:t>%</w:t>
      </w:r>
      <w:r w:rsidRPr="00A24C1D">
        <w:rPr>
          <w:rFonts w:ascii="宋体" w:hAnsi="宋体" w:hint="eastAsia"/>
          <w:kern w:val="0"/>
          <w:sz w:val="24"/>
          <w:szCs w:val="24"/>
        </w:rPr>
        <w:t>，主要原因是期末公司已背书且在资产负债表日尚未到期的应收票据增加。</w:t>
      </w:r>
    </w:p>
    <w:p w:rsidR="008D6F13" w:rsidRPr="00A24C1D" w:rsidRDefault="007E6C9D" w:rsidP="004476C6">
      <w:pPr>
        <w:spacing w:line="360" w:lineRule="auto"/>
        <w:ind w:firstLineChars="200" w:firstLine="480"/>
        <w:rPr>
          <w:rFonts w:ascii="宋体" w:hAnsi="宋体"/>
          <w:kern w:val="0"/>
          <w:sz w:val="24"/>
          <w:szCs w:val="24"/>
        </w:rPr>
      </w:pPr>
      <w:r w:rsidRPr="00A24C1D">
        <w:rPr>
          <w:rFonts w:ascii="宋体" w:hAnsi="宋体" w:hint="eastAsia"/>
          <w:kern w:val="0"/>
          <w:sz w:val="24"/>
          <w:szCs w:val="24"/>
        </w:rPr>
        <w:t>12、长期借款期末余额较年初数增加了1,951.97万元，主要原因是期末银行发放的长期借款增加。</w:t>
      </w:r>
    </w:p>
    <w:p w:rsidR="008D6F13" w:rsidRPr="00620986" w:rsidRDefault="007E6C9D" w:rsidP="00620986">
      <w:pPr>
        <w:spacing w:line="360" w:lineRule="auto"/>
        <w:ind w:firstLineChars="200" w:firstLine="480"/>
        <w:rPr>
          <w:rFonts w:ascii="宋体" w:hAnsi="宋体"/>
          <w:kern w:val="0"/>
          <w:sz w:val="24"/>
          <w:szCs w:val="24"/>
        </w:rPr>
      </w:pPr>
      <w:r w:rsidRPr="00A24C1D">
        <w:rPr>
          <w:rFonts w:ascii="宋体" w:hAnsi="宋体" w:hint="eastAsia"/>
          <w:kern w:val="0"/>
          <w:sz w:val="24"/>
          <w:szCs w:val="24"/>
        </w:rPr>
        <w:t>13、其他综合收益期末余额较年初数减少了58.75%，主要原因是期末权益法下可转损益的其他综合收益减少。</w:t>
      </w:r>
    </w:p>
    <w:p w:rsidR="00620986" w:rsidRDefault="00620986" w:rsidP="004476C6">
      <w:pPr>
        <w:snapToGrid w:val="0"/>
        <w:spacing w:line="360" w:lineRule="auto"/>
        <w:ind w:firstLineChars="200" w:firstLine="482"/>
        <w:rPr>
          <w:rFonts w:ascii="宋体" w:hAnsi="宋体"/>
          <w:b/>
          <w:sz w:val="24"/>
          <w:szCs w:val="24"/>
        </w:rPr>
      </w:pPr>
    </w:p>
    <w:p w:rsidR="008D6F13" w:rsidRPr="00A24C1D" w:rsidRDefault="007E6C9D" w:rsidP="004476C6">
      <w:pPr>
        <w:snapToGrid w:val="0"/>
        <w:spacing w:line="360" w:lineRule="auto"/>
        <w:ind w:firstLineChars="200" w:firstLine="482"/>
        <w:rPr>
          <w:rFonts w:ascii="宋体" w:hAnsi="宋体"/>
          <w:b/>
          <w:sz w:val="24"/>
          <w:szCs w:val="24"/>
        </w:rPr>
      </w:pPr>
      <w:r w:rsidRPr="00A24C1D">
        <w:rPr>
          <w:rFonts w:ascii="宋体" w:hAnsi="宋体" w:hint="eastAsia"/>
          <w:b/>
          <w:sz w:val="24"/>
          <w:szCs w:val="24"/>
        </w:rPr>
        <w:lastRenderedPageBreak/>
        <w:t>三、现金流量情况</w:t>
      </w:r>
    </w:p>
    <w:p w:rsidR="003C41CC" w:rsidRDefault="003C41CC" w:rsidP="003C41CC">
      <w:pPr>
        <w:spacing w:line="360" w:lineRule="auto"/>
        <w:ind w:firstLineChars="200" w:firstLine="480"/>
        <w:rPr>
          <w:rFonts w:ascii="宋体" w:hAnsi="宋体"/>
          <w:sz w:val="24"/>
          <w:szCs w:val="24"/>
        </w:rPr>
      </w:pPr>
      <w:bookmarkStart w:id="3" w:name="OLE_LINK9"/>
      <w:r>
        <w:rPr>
          <w:rFonts w:ascii="宋体" w:hAnsi="宋体" w:hint="eastAsia"/>
          <w:sz w:val="24"/>
          <w:szCs w:val="24"/>
        </w:rPr>
        <w:t>经营活动产生的现金流量净额本期金额比上年同期金额增加了193.91</w:t>
      </w:r>
      <w:r>
        <w:rPr>
          <w:rFonts w:ascii="宋体" w:hAnsi="宋体"/>
          <w:sz w:val="24"/>
          <w:szCs w:val="24"/>
        </w:rPr>
        <w:t>%</w:t>
      </w:r>
      <w:r>
        <w:rPr>
          <w:rFonts w:ascii="宋体" w:hAnsi="宋体" w:hint="eastAsia"/>
          <w:sz w:val="24"/>
          <w:szCs w:val="24"/>
        </w:rPr>
        <w:t>，主要原因是：</w:t>
      </w:r>
      <w:r>
        <w:rPr>
          <w:rFonts w:ascii="宋体" w:hAnsi="宋体"/>
          <w:sz w:val="24"/>
          <w:szCs w:val="24"/>
        </w:rPr>
        <w:fldChar w:fldCharType="begin"/>
      </w:r>
      <w:r>
        <w:rPr>
          <w:rFonts w:ascii="宋体" w:hAnsi="宋体" w:hint="eastAsia"/>
          <w:sz w:val="24"/>
          <w:szCs w:val="24"/>
        </w:rPr>
        <w:instrText>= 1 \* GB3</w:instrText>
      </w:r>
      <w:r>
        <w:rPr>
          <w:rFonts w:ascii="宋体" w:hAnsi="宋体"/>
          <w:sz w:val="24"/>
          <w:szCs w:val="24"/>
        </w:rPr>
        <w:fldChar w:fldCharType="separate"/>
      </w:r>
      <w:r>
        <w:rPr>
          <w:rFonts w:ascii="宋体" w:hAnsi="宋体" w:hint="eastAsia"/>
          <w:sz w:val="24"/>
          <w:szCs w:val="24"/>
        </w:rPr>
        <w:t>①</w:t>
      </w:r>
      <w:r>
        <w:rPr>
          <w:rFonts w:ascii="宋体" w:hAnsi="宋体"/>
          <w:sz w:val="24"/>
          <w:szCs w:val="24"/>
        </w:rPr>
        <w:fldChar w:fldCharType="end"/>
      </w:r>
      <w:r>
        <w:rPr>
          <w:rFonts w:ascii="宋体" w:hAnsi="宋体" w:hint="eastAsia"/>
          <w:sz w:val="24"/>
          <w:szCs w:val="24"/>
        </w:rPr>
        <w:t>本期销售商品收到的现金比上年同期增加30,574.72万元，而本期采购商品、接受劳务支付的现金比上年同期增加18,399.69万元,</w:t>
      </w:r>
      <w:bookmarkStart w:id="4" w:name="OLE_LINK6"/>
      <w:bookmarkStart w:id="5" w:name="OLE_LINK7"/>
      <w:r w:rsidRPr="003C41CC">
        <w:rPr>
          <w:rFonts w:ascii="宋体" w:hAnsi="宋体" w:hint="eastAsia"/>
          <w:sz w:val="24"/>
          <w:szCs w:val="24"/>
        </w:rPr>
        <w:t>两项相比产生了12,175.03万元现金流入差额</w:t>
      </w:r>
      <w:r>
        <w:rPr>
          <w:rFonts w:ascii="宋体" w:hAnsi="宋体" w:hint="eastAsia"/>
          <w:sz w:val="24"/>
          <w:szCs w:val="24"/>
        </w:rPr>
        <w:t>；</w:t>
      </w:r>
      <w:bookmarkEnd w:id="4"/>
      <w:bookmarkEnd w:id="5"/>
      <w:r>
        <w:rPr>
          <w:rFonts w:ascii="宋体" w:hAnsi="宋体"/>
          <w:sz w:val="24"/>
          <w:szCs w:val="24"/>
        </w:rPr>
        <w:fldChar w:fldCharType="begin"/>
      </w:r>
      <w:r>
        <w:rPr>
          <w:rFonts w:ascii="宋体" w:hAnsi="宋体" w:hint="eastAsia"/>
          <w:sz w:val="24"/>
          <w:szCs w:val="24"/>
        </w:rPr>
        <w:instrText>= 2 \* GB3</w:instrText>
      </w:r>
      <w:r>
        <w:rPr>
          <w:rFonts w:ascii="宋体" w:hAnsi="宋体"/>
          <w:sz w:val="24"/>
          <w:szCs w:val="24"/>
        </w:rPr>
        <w:fldChar w:fldCharType="separate"/>
      </w:r>
      <w:r>
        <w:rPr>
          <w:rFonts w:ascii="宋体" w:hAnsi="宋体" w:hint="eastAsia"/>
          <w:sz w:val="24"/>
          <w:szCs w:val="24"/>
        </w:rPr>
        <w:t>②</w:t>
      </w:r>
      <w:r>
        <w:rPr>
          <w:rFonts w:ascii="宋体" w:hAnsi="宋体"/>
          <w:sz w:val="24"/>
          <w:szCs w:val="24"/>
        </w:rPr>
        <w:fldChar w:fldCharType="end"/>
      </w:r>
      <w:r>
        <w:rPr>
          <w:rFonts w:ascii="宋体" w:hAnsi="宋体" w:hint="eastAsia"/>
          <w:sz w:val="24"/>
          <w:szCs w:val="24"/>
        </w:rPr>
        <w:t>本期支付的各项税费比上年同期减少。</w:t>
      </w:r>
    </w:p>
    <w:p w:rsidR="003C41CC" w:rsidRDefault="003C41CC" w:rsidP="003C41CC">
      <w:pPr>
        <w:spacing w:line="360" w:lineRule="auto"/>
        <w:ind w:firstLineChars="200" w:firstLine="480"/>
        <w:rPr>
          <w:rFonts w:ascii="宋体" w:hAnsi="宋体"/>
          <w:sz w:val="24"/>
          <w:szCs w:val="24"/>
        </w:rPr>
      </w:pPr>
      <w:r>
        <w:rPr>
          <w:rFonts w:ascii="宋体" w:hAnsi="宋体" w:hint="eastAsia"/>
          <w:sz w:val="24"/>
          <w:szCs w:val="24"/>
        </w:rPr>
        <w:t>投资活动产生的现金流量净额本期金额比上年同期金额减少了228.98</w:t>
      </w:r>
      <w:r>
        <w:rPr>
          <w:rFonts w:ascii="宋体" w:hAnsi="宋体"/>
          <w:sz w:val="24"/>
          <w:szCs w:val="24"/>
        </w:rPr>
        <w:t>%，</w:t>
      </w:r>
      <w:r>
        <w:rPr>
          <w:rFonts w:ascii="宋体" w:hAnsi="宋体" w:hint="eastAsia"/>
          <w:sz w:val="24"/>
          <w:szCs w:val="24"/>
        </w:rPr>
        <w:t>主要原因是：</w:t>
      </w:r>
      <w:r>
        <w:rPr>
          <w:rFonts w:ascii="宋体" w:hAnsi="宋体"/>
          <w:sz w:val="24"/>
          <w:szCs w:val="24"/>
        </w:rPr>
        <w:fldChar w:fldCharType="begin"/>
      </w:r>
      <w:r>
        <w:rPr>
          <w:rFonts w:ascii="宋体" w:hAnsi="宋体" w:hint="eastAsia"/>
          <w:sz w:val="24"/>
          <w:szCs w:val="24"/>
        </w:rPr>
        <w:instrText>= 1 \* GB3</w:instrText>
      </w:r>
      <w:r>
        <w:rPr>
          <w:rFonts w:ascii="宋体" w:hAnsi="宋体"/>
          <w:sz w:val="24"/>
          <w:szCs w:val="24"/>
        </w:rPr>
        <w:fldChar w:fldCharType="separate"/>
      </w:r>
      <w:r>
        <w:rPr>
          <w:rFonts w:ascii="宋体" w:hAnsi="宋体" w:hint="eastAsia"/>
          <w:sz w:val="24"/>
          <w:szCs w:val="24"/>
        </w:rPr>
        <w:t>①</w:t>
      </w:r>
      <w:r>
        <w:rPr>
          <w:rFonts w:ascii="宋体" w:hAnsi="宋体"/>
          <w:sz w:val="24"/>
          <w:szCs w:val="24"/>
        </w:rPr>
        <w:fldChar w:fldCharType="end"/>
      </w:r>
      <w:r>
        <w:rPr>
          <w:rFonts w:ascii="宋体" w:hAnsi="宋体" w:hint="eastAsia"/>
          <w:sz w:val="24"/>
          <w:szCs w:val="24"/>
        </w:rPr>
        <w:t>本期投资支付的现金比上年同期增加；</w:t>
      </w:r>
      <w:r>
        <w:rPr>
          <w:rFonts w:ascii="宋体" w:hAnsi="宋体"/>
          <w:sz w:val="24"/>
          <w:szCs w:val="24"/>
        </w:rPr>
        <w:fldChar w:fldCharType="begin"/>
      </w:r>
      <w:r>
        <w:rPr>
          <w:rFonts w:ascii="宋体" w:hAnsi="宋体" w:hint="eastAsia"/>
          <w:sz w:val="24"/>
          <w:szCs w:val="24"/>
        </w:rPr>
        <w:instrText>= 2 \* GB3</w:instrText>
      </w:r>
      <w:r>
        <w:rPr>
          <w:rFonts w:ascii="宋体" w:hAnsi="宋体"/>
          <w:sz w:val="24"/>
          <w:szCs w:val="24"/>
        </w:rPr>
        <w:fldChar w:fldCharType="separate"/>
      </w:r>
      <w:r>
        <w:rPr>
          <w:rFonts w:ascii="宋体" w:hAnsi="宋体" w:hint="eastAsia"/>
          <w:sz w:val="24"/>
          <w:szCs w:val="24"/>
        </w:rPr>
        <w:t>②</w:t>
      </w:r>
      <w:r>
        <w:rPr>
          <w:rFonts w:ascii="宋体" w:hAnsi="宋体"/>
          <w:sz w:val="24"/>
          <w:szCs w:val="24"/>
        </w:rPr>
        <w:fldChar w:fldCharType="end"/>
      </w:r>
      <w:r>
        <w:rPr>
          <w:rFonts w:ascii="宋体" w:hAnsi="宋体" w:hint="eastAsia"/>
          <w:sz w:val="24"/>
          <w:szCs w:val="24"/>
        </w:rPr>
        <w:t>本期购建固定资产支付的现金比上年同期增加。</w:t>
      </w:r>
    </w:p>
    <w:p w:rsidR="003C41CC" w:rsidRDefault="003C41CC" w:rsidP="003C41CC">
      <w:pPr>
        <w:spacing w:line="360" w:lineRule="auto"/>
        <w:ind w:firstLineChars="200" w:firstLine="480"/>
        <w:rPr>
          <w:rFonts w:ascii="宋体" w:hAnsi="宋体"/>
          <w:sz w:val="24"/>
          <w:szCs w:val="24"/>
        </w:rPr>
      </w:pPr>
      <w:r>
        <w:rPr>
          <w:rFonts w:ascii="宋体" w:hAnsi="宋体" w:hint="eastAsia"/>
          <w:sz w:val="24"/>
          <w:szCs w:val="24"/>
        </w:rPr>
        <w:t>筹资活动产生的现金流量净额本期金额比上年同期金额减少了</w:t>
      </w:r>
      <w:r w:rsidRPr="007E6C9D">
        <w:rPr>
          <w:rFonts w:ascii="宋体" w:hAnsi="宋体" w:hint="eastAsia"/>
          <w:sz w:val="24"/>
          <w:szCs w:val="24"/>
        </w:rPr>
        <w:t>373.10</w:t>
      </w:r>
      <w:r>
        <w:rPr>
          <w:rFonts w:ascii="宋体" w:hAnsi="宋体"/>
          <w:sz w:val="24"/>
          <w:szCs w:val="24"/>
        </w:rPr>
        <w:t>%，</w:t>
      </w:r>
      <w:r>
        <w:rPr>
          <w:rFonts w:ascii="宋体" w:hAnsi="宋体" w:hint="eastAsia"/>
          <w:sz w:val="24"/>
          <w:szCs w:val="24"/>
        </w:rPr>
        <w:t>主要原因是：</w:t>
      </w:r>
      <w:r>
        <w:rPr>
          <w:rFonts w:ascii="宋体" w:hAnsi="宋体"/>
          <w:sz w:val="24"/>
          <w:szCs w:val="24"/>
        </w:rPr>
        <w:fldChar w:fldCharType="begin"/>
      </w:r>
      <w:r>
        <w:rPr>
          <w:rFonts w:ascii="宋体" w:hAnsi="宋体" w:hint="eastAsia"/>
          <w:sz w:val="24"/>
          <w:szCs w:val="24"/>
        </w:rPr>
        <w:instrText>= 1 \* GB3</w:instrText>
      </w:r>
      <w:r>
        <w:rPr>
          <w:rFonts w:ascii="宋体" w:hAnsi="宋体"/>
          <w:sz w:val="24"/>
          <w:szCs w:val="24"/>
        </w:rPr>
        <w:fldChar w:fldCharType="separate"/>
      </w:r>
      <w:r>
        <w:rPr>
          <w:rFonts w:ascii="宋体" w:hAnsi="宋体" w:hint="eastAsia"/>
          <w:sz w:val="24"/>
          <w:szCs w:val="24"/>
        </w:rPr>
        <w:t>①</w:t>
      </w:r>
      <w:r>
        <w:rPr>
          <w:rFonts w:ascii="宋体" w:hAnsi="宋体"/>
          <w:sz w:val="24"/>
          <w:szCs w:val="24"/>
        </w:rPr>
        <w:fldChar w:fldCharType="end"/>
      </w:r>
      <w:r>
        <w:rPr>
          <w:rFonts w:ascii="宋体" w:hAnsi="宋体" w:hint="eastAsia"/>
          <w:sz w:val="24"/>
          <w:szCs w:val="24"/>
        </w:rPr>
        <w:t>本期归还银行借款净流出</w:t>
      </w:r>
      <w:r w:rsidRPr="007E6C9D">
        <w:rPr>
          <w:rFonts w:ascii="宋体" w:hAnsi="宋体" w:hint="eastAsia"/>
          <w:sz w:val="24"/>
          <w:szCs w:val="24"/>
        </w:rPr>
        <w:t>10,265.97</w:t>
      </w:r>
      <w:r>
        <w:rPr>
          <w:rFonts w:ascii="宋体" w:hAnsi="宋体" w:hint="eastAsia"/>
          <w:sz w:val="24"/>
          <w:szCs w:val="24"/>
        </w:rPr>
        <w:t>万元，</w:t>
      </w:r>
      <w:r w:rsidRPr="003C41CC">
        <w:rPr>
          <w:rFonts w:ascii="宋体" w:hAnsi="宋体" w:hint="eastAsia"/>
          <w:sz w:val="24"/>
          <w:szCs w:val="24"/>
        </w:rPr>
        <w:t>而</w:t>
      </w:r>
      <w:r>
        <w:rPr>
          <w:rFonts w:ascii="宋体" w:hAnsi="宋体" w:hint="eastAsia"/>
          <w:sz w:val="24"/>
          <w:szCs w:val="24"/>
        </w:rPr>
        <w:t>上年同期新增借款净流入2,110.02万元，</w:t>
      </w:r>
      <w:r w:rsidRPr="003C41CC">
        <w:rPr>
          <w:rFonts w:ascii="宋体" w:hAnsi="宋体" w:hint="eastAsia"/>
          <w:sz w:val="24"/>
          <w:szCs w:val="24"/>
        </w:rPr>
        <w:t>两项相比产生了12,375.99万元现金流出差额</w:t>
      </w:r>
      <w:r>
        <w:rPr>
          <w:rFonts w:ascii="宋体" w:hAnsi="宋体" w:hint="eastAsia"/>
          <w:sz w:val="24"/>
          <w:szCs w:val="24"/>
        </w:rPr>
        <w:t>；</w:t>
      </w:r>
      <w:r>
        <w:rPr>
          <w:rFonts w:ascii="宋体" w:hAnsi="宋体"/>
          <w:sz w:val="24"/>
          <w:szCs w:val="24"/>
        </w:rPr>
        <w:fldChar w:fldCharType="begin"/>
      </w:r>
      <w:r>
        <w:rPr>
          <w:rFonts w:ascii="宋体" w:hAnsi="宋体" w:hint="eastAsia"/>
          <w:sz w:val="24"/>
          <w:szCs w:val="24"/>
        </w:rPr>
        <w:instrText>= 2 \* GB3</w:instrText>
      </w:r>
      <w:r>
        <w:rPr>
          <w:rFonts w:ascii="宋体" w:hAnsi="宋体"/>
          <w:sz w:val="24"/>
          <w:szCs w:val="24"/>
        </w:rPr>
        <w:fldChar w:fldCharType="separate"/>
      </w:r>
      <w:r>
        <w:rPr>
          <w:rFonts w:ascii="宋体" w:hAnsi="宋体" w:hint="eastAsia"/>
          <w:sz w:val="24"/>
          <w:szCs w:val="24"/>
        </w:rPr>
        <w:t>②</w:t>
      </w:r>
      <w:r>
        <w:rPr>
          <w:rFonts w:ascii="宋体" w:hAnsi="宋体"/>
          <w:sz w:val="24"/>
          <w:szCs w:val="24"/>
        </w:rPr>
        <w:fldChar w:fldCharType="end"/>
      </w:r>
      <w:r>
        <w:rPr>
          <w:rFonts w:ascii="宋体" w:hAnsi="宋体" w:hint="eastAsia"/>
          <w:sz w:val="24"/>
          <w:szCs w:val="24"/>
        </w:rPr>
        <w:t>本期分配股利支付的现金比上年同期增加。</w:t>
      </w:r>
    </w:p>
    <w:p w:rsidR="003C41CC" w:rsidRDefault="003C41CC" w:rsidP="003C41CC">
      <w:pPr>
        <w:spacing w:line="360" w:lineRule="auto"/>
        <w:ind w:firstLineChars="200" w:firstLine="480"/>
        <w:rPr>
          <w:rFonts w:ascii="宋体" w:hAnsi="宋体"/>
          <w:sz w:val="24"/>
          <w:szCs w:val="24"/>
        </w:rPr>
      </w:pPr>
      <w:r>
        <w:rPr>
          <w:rFonts w:ascii="宋体" w:hAnsi="宋体"/>
          <w:sz w:val="24"/>
          <w:szCs w:val="24"/>
        </w:rPr>
        <w:t>2024年度公司实现的净利润为</w:t>
      </w:r>
      <w:r w:rsidRPr="007E6C9D">
        <w:rPr>
          <w:rFonts w:ascii="宋体" w:hAnsi="宋体" w:hint="eastAsia"/>
          <w:sz w:val="24"/>
          <w:szCs w:val="24"/>
        </w:rPr>
        <w:t>11,733.82</w:t>
      </w:r>
      <w:r>
        <w:rPr>
          <w:rFonts w:ascii="宋体" w:hAnsi="宋体"/>
          <w:sz w:val="24"/>
          <w:szCs w:val="24"/>
        </w:rPr>
        <w:t>万元，经营活动产生的现金流量净额为</w:t>
      </w:r>
      <w:r w:rsidRPr="007E6C9D">
        <w:rPr>
          <w:rFonts w:ascii="宋体" w:hAnsi="宋体" w:hint="eastAsia"/>
          <w:sz w:val="24"/>
          <w:szCs w:val="24"/>
        </w:rPr>
        <w:t>6,703.19</w:t>
      </w:r>
      <w:r>
        <w:rPr>
          <w:rFonts w:ascii="宋体" w:hAnsi="宋体"/>
          <w:sz w:val="24"/>
          <w:szCs w:val="24"/>
        </w:rPr>
        <w:t>万元，产生的差异主要系：(1)公司提取的折旧、资产减值准备等项目计</w:t>
      </w:r>
      <w:r w:rsidRPr="007E6C9D">
        <w:rPr>
          <w:rFonts w:ascii="宋体" w:hAnsi="宋体" w:hint="eastAsia"/>
          <w:sz w:val="24"/>
          <w:szCs w:val="24"/>
        </w:rPr>
        <w:t>10,637.9</w:t>
      </w:r>
      <w:r>
        <w:rPr>
          <w:rFonts w:ascii="宋体" w:hAnsi="宋体" w:hint="eastAsia"/>
          <w:sz w:val="24"/>
          <w:szCs w:val="24"/>
        </w:rPr>
        <w:t>6</w:t>
      </w:r>
      <w:r>
        <w:rPr>
          <w:rFonts w:ascii="宋体" w:hAnsi="宋体"/>
          <w:sz w:val="24"/>
          <w:szCs w:val="24"/>
        </w:rPr>
        <w:t>万元，影响收益但并没有造成现金的实际流出；(2)财务费用中有</w:t>
      </w:r>
      <w:r>
        <w:rPr>
          <w:rFonts w:ascii="宋体" w:hAnsi="宋体" w:hint="eastAsia"/>
          <w:sz w:val="24"/>
          <w:szCs w:val="24"/>
        </w:rPr>
        <w:t>利息支出等项目计2</w:t>
      </w:r>
      <w:r>
        <w:rPr>
          <w:rFonts w:ascii="宋体" w:hAnsi="宋体"/>
          <w:sz w:val="24"/>
          <w:szCs w:val="24"/>
        </w:rPr>
        <w:t>,</w:t>
      </w:r>
      <w:r>
        <w:rPr>
          <w:rFonts w:ascii="宋体" w:hAnsi="宋体" w:hint="eastAsia"/>
          <w:sz w:val="24"/>
          <w:szCs w:val="24"/>
        </w:rPr>
        <w:t>572</w:t>
      </w:r>
      <w:r>
        <w:rPr>
          <w:rFonts w:ascii="宋体" w:hAnsi="宋体"/>
          <w:sz w:val="24"/>
          <w:szCs w:val="24"/>
        </w:rPr>
        <w:t>.</w:t>
      </w:r>
      <w:r>
        <w:rPr>
          <w:rFonts w:ascii="宋体" w:hAnsi="宋体" w:hint="eastAsia"/>
          <w:sz w:val="24"/>
          <w:szCs w:val="24"/>
        </w:rPr>
        <w:t>55</w:t>
      </w:r>
      <w:r>
        <w:rPr>
          <w:rFonts w:ascii="宋体" w:hAnsi="宋体"/>
          <w:sz w:val="24"/>
          <w:szCs w:val="24"/>
        </w:rPr>
        <w:t>万元</w:t>
      </w:r>
      <w:r>
        <w:rPr>
          <w:rFonts w:ascii="宋体" w:hAnsi="宋体" w:hint="eastAsia"/>
          <w:sz w:val="24"/>
          <w:szCs w:val="24"/>
        </w:rPr>
        <w:t>，</w:t>
      </w:r>
      <w:r>
        <w:rPr>
          <w:rFonts w:ascii="宋体" w:hAnsi="宋体"/>
          <w:sz w:val="24"/>
          <w:szCs w:val="24"/>
        </w:rPr>
        <w:t>影响收益但属于筹资活动的</w:t>
      </w:r>
      <w:r>
        <w:rPr>
          <w:rFonts w:ascii="宋体" w:hAnsi="宋体" w:hint="eastAsia"/>
          <w:sz w:val="24"/>
          <w:szCs w:val="24"/>
        </w:rPr>
        <w:t>现金项目</w:t>
      </w:r>
      <w:r>
        <w:rPr>
          <w:rFonts w:ascii="宋体" w:hAnsi="宋体"/>
          <w:sz w:val="24"/>
          <w:szCs w:val="24"/>
        </w:rPr>
        <w:t>。(3)本期投资收益、公允价值变动收益、处置固定资产损失</w:t>
      </w:r>
      <w:r>
        <w:rPr>
          <w:rFonts w:ascii="宋体" w:hAnsi="宋体" w:hint="eastAsia"/>
          <w:sz w:val="24"/>
          <w:szCs w:val="24"/>
        </w:rPr>
        <w:t>等项目</w:t>
      </w:r>
      <w:r>
        <w:rPr>
          <w:rFonts w:ascii="宋体" w:hAnsi="宋体"/>
          <w:sz w:val="24"/>
          <w:szCs w:val="24"/>
        </w:rPr>
        <w:t>计</w:t>
      </w:r>
      <w:r w:rsidRPr="007E6C9D">
        <w:rPr>
          <w:rFonts w:ascii="宋体" w:hAnsi="宋体" w:hint="eastAsia"/>
          <w:sz w:val="24"/>
          <w:szCs w:val="24"/>
        </w:rPr>
        <w:t>8</w:t>
      </w:r>
      <w:r w:rsidRPr="007E6C9D">
        <w:rPr>
          <w:rFonts w:ascii="宋体" w:hAnsi="宋体"/>
          <w:sz w:val="24"/>
          <w:szCs w:val="24"/>
        </w:rPr>
        <w:t>,</w:t>
      </w:r>
      <w:r w:rsidRPr="007E6C9D">
        <w:rPr>
          <w:rFonts w:ascii="宋体" w:hAnsi="宋体" w:hint="eastAsia"/>
          <w:sz w:val="24"/>
          <w:szCs w:val="24"/>
        </w:rPr>
        <w:t>4</w:t>
      </w:r>
      <w:r>
        <w:rPr>
          <w:rFonts w:ascii="宋体" w:hAnsi="宋体" w:hint="eastAsia"/>
          <w:sz w:val="24"/>
          <w:szCs w:val="24"/>
        </w:rPr>
        <w:t>70</w:t>
      </w:r>
      <w:r w:rsidRPr="007E6C9D">
        <w:rPr>
          <w:rFonts w:ascii="宋体" w:hAnsi="宋体" w:hint="eastAsia"/>
          <w:sz w:val="24"/>
          <w:szCs w:val="24"/>
        </w:rPr>
        <w:t>.</w:t>
      </w:r>
      <w:r>
        <w:rPr>
          <w:rFonts w:ascii="宋体" w:hAnsi="宋体" w:hint="eastAsia"/>
          <w:sz w:val="24"/>
          <w:szCs w:val="24"/>
        </w:rPr>
        <w:t>20</w:t>
      </w:r>
      <w:r>
        <w:rPr>
          <w:rFonts w:ascii="宋体" w:hAnsi="宋体"/>
          <w:sz w:val="24"/>
          <w:szCs w:val="24"/>
        </w:rPr>
        <w:t>万元，影响收益但属于投资活动的现金</w:t>
      </w:r>
      <w:r>
        <w:rPr>
          <w:rFonts w:ascii="宋体" w:hAnsi="宋体" w:hint="eastAsia"/>
          <w:sz w:val="24"/>
          <w:szCs w:val="24"/>
        </w:rPr>
        <w:t>项目</w:t>
      </w:r>
      <w:r>
        <w:rPr>
          <w:rFonts w:ascii="宋体" w:hAnsi="宋体"/>
          <w:sz w:val="24"/>
          <w:szCs w:val="24"/>
        </w:rPr>
        <w:t>。(4)存货期末较</w:t>
      </w:r>
      <w:r>
        <w:rPr>
          <w:rFonts w:ascii="宋体" w:hAnsi="宋体" w:hint="eastAsia"/>
          <w:sz w:val="24"/>
          <w:szCs w:val="24"/>
        </w:rPr>
        <w:t>年</w:t>
      </w:r>
      <w:r>
        <w:rPr>
          <w:rFonts w:ascii="宋体" w:hAnsi="宋体"/>
          <w:sz w:val="24"/>
          <w:szCs w:val="24"/>
        </w:rPr>
        <w:t>初</w:t>
      </w:r>
      <w:r>
        <w:rPr>
          <w:rFonts w:ascii="宋体" w:hAnsi="宋体" w:hint="eastAsia"/>
          <w:sz w:val="24"/>
          <w:szCs w:val="24"/>
        </w:rPr>
        <w:t>增加</w:t>
      </w:r>
      <w:r>
        <w:rPr>
          <w:rFonts w:ascii="宋体" w:hAnsi="宋体"/>
          <w:sz w:val="24"/>
          <w:szCs w:val="24"/>
        </w:rPr>
        <w:t>了</w:t>
      </w:r>
      <w:r w:rsidRPr="007E6C9D">
        <w:rPr>
          <w:rFonts w:ascii="宋体" w:hAnsi="宋体" w:hint="eastAsia"/>
          <w:sz w:val="24"/>
          <w:szCs w:val="24"/>
        </w:rPr>
        <w:t>12,418.99</w:t>
      </w:r>
      <w:r>
        <w:rPr>
          <w:rFonts w:ascii="宋体" w:hAnsi="宋体"/>
          <w:sz w:val="24"/>
          <w:szCs w:val="24"/>
        </w:rPr>
        <w:t>万元，</w:t>
      </w:r>
      <w:r>
        <w:rPr>
          <w:rFonts w:ascii="宋体" w:hAnsi="宋体" w:hint="eastAsia"/>
          <w:sz w:val="24"/>
          <w:szCs w:val="24"/>
        </w:rPr>
        <w:t>递延所得税资产</w:t>
      </w:r>
      <w:r>
        <w:rPr>
          <w:rFonts w:ascii="宋体" w:hAnsi="宋体"/>
          <w:sz w:val="24"/>
          <w:szCs w:val="24"/>
        </w:rPr>
        <w:t>期末较</w:t>
      </w:r>
      <w:r>
        <w:rPr>
          <w:rFonts w:ascii="宋体" w:hAnsi="宋体" w:hint="eastAsia"/>
          <w:sz w:val="24"/>
          <w:szCs w:val="24"/>
        </w:rPr>
        <w:t>年</w:t>
      </w:r>
      <w:r>
        <w:rPr>
          <w:rFonts w:ascii="宋体" w:hAnsi="宋体"/>
          <w:sz w:val="24"/>
          <w:szCs w:val="24"/>
        </w:rPr>
        <w:t>初</w:t>
      </w:r>
      <w:r>
        <w:rPr>
          <w:rFonts w:ascii="宋体" w:hAnsi="宋体" w:hint="eastAsia"/>
          <w:sz w:val="24"/>
          <w:szCs w:val="24"/>
        </w:rPr>
        <w:t>增加了</w:t>
      </w:r>
      <w:r w:rsidRPr="007E6C9D">
        <w:rPr>
          <w:rFonts w:ascii="宋体" w:hAnsi="宋体" w:hint="eastAsia"/>
          <w:sz w:val="24"/>
          <w:szCs w:val="24"/>
        </w:rPr>
        <w:t>1,299.87</w:t>
      </w:r>
      <w:r>
        <w:rPr>
          <w:rFonts w:ascii="宋体" w:hAnsi="宋体" w:hint="eastAsia"/>
          <w:sz w:val="24"/>
          <w:szCs w:val="24"/>
        </w:rPr>
        <w:t>万元，递延所得税负债</w:t>
      </w:r>
      <w:r>
        <w:rPr>
          <w:rFonts w:ascii="宋体" w:hAnsi="宋体"/>
          <w:sz w:val="24"/>
          <w:szCs w:val="24"/>
        </w:rPr>
        <w:t>期末较</w:t>
      </w:r>
      <w:r>
        <w:rPr>
          <w:rFonts w:ascii="宋体" w:hAnsi="宋体" w:hint="eastAsia"/>
          <w:sz w:val="24"/>
          <w:szCs w:val="24"/>
        </w:rPr>
        <w:t>年</w:t>
      </w:r>
      <w:r>
        <w:rPr>
          <w:rFonts w:ascii="宋体" w:hAnsi="宋体"/>
          <w:sz w:val="24"/>
          <w:szCs w:val="24"/>
        </w:rPr>
        <w:t>初</w:t>
      </w:r>
      <w:r>
        <w:rPr>
          <w:rFonts w:ascii="宋体" w:hAnsi="宋体" w:hint="eastAsia"/>
          <w:sz w:val="24"/>
          <w:szCs w:val="24"/>
        </w:rPr>
        <w:t>减少了194.82万元，</w:t>
      </w:r>
      <w:r>
        <w:rPr>
          <w:rFonts w:ascii="宋体" w:hAnsi="宋体"/>
          <w:sz w:val="24"/>
          <w:szCs w:val="24"/>
        </w:rPr>
        <w:t>经营性应收项目期末较</w:t>
      </w:r>
      <w:r>
        <w:rPr>
          <w:rFonts w:ascii="宋体" w:hAnsi="宋体" w:hint="eastAsia"/>
          <w:sz w:val="24"/>
          <w:szCs w:val="24"/>
        </w:rPr>
        <w:t>年</w:t>
      </w:r>
      <w:r>
        <w:rPr>
          <w:rFonts w:ascii="宋体" w:hAnsi="宋体"/>
          <w:sz w:val="24"/>
          <w:szCs w:val="24"/>
        </w:rPr>
        <w:t>初</w:t>
      </w:r>
      <w:r>
        <w:rPr>
          <w:rFonts w:ascii="宋体" w:hAnsi="宋体" w:hint="eastAsia"/>
          <w:sz w:val="24"/>
          <w:szCs w:val="24"/>
        </w:rPr>
        <w:t>增加</w:t>
      </w:r>
      <w:r>
        <w:rPr>
          <w:rFonts w:ascii="宋体" w:hAnsi="宋体"/>
          <w:sz w:val="24"/>
          <w:szCs w:val="24"/>
        </w:rPr>
        <w:t>了</w:t>
      </w:r>
      <w:r>
        <w:rPr>
          <w:rFonts w:ascii="宋体" w:hAnsi="宋体" w:hint="eastAsia"/>
          <w:sz w:val="24"/>
          <w:szCs w:val="24"/>
        </w:rPr>
        <w:t>6,972.93</w:t>
      </w:r>
      <w:r>
        <w:rPr>
          <w:rFonts w:ascii="宋体" w:hAnsi="宋体"/>
          <w:sz w:val="24"/>
          <w:szCs w:val="24"/>
        </w:rPr>
        <w:t>万元，经营性应付项目期末较</w:t>
      </w:r>
      <w:r>
        <w:rPr>
          <w:rFonts w:ascii="宋体" w:hAnsi="宋体" w:hint="eastAsia"/>
          <w:sz w:val="24"/>
          <w:szCs w:val="24"/>
        </w:rPr>
        <w:t>年</w:t>
      </w:r>
      <w:r>
        <w:rPr>
          <w:rFonts w:ascii="宋体" w:hAnsi="宋体"/>
          <w:sz w:val="24"/>
          <w:szCs w:val="24"/>
        </w:rPr>
        <w:t>初</w:t>
      </w:r>
      <w:r>
        <w:rPr>
          <w:rFonts w:ascii="宋体" w:hAnsi="宋体" w:hint="eastAsia"/>
          <w:sz w:val="24"/>
          <w:szCs w:val="24"/>
        </w:rPr>
        <w:t>增加</w:t>
      </w:r>
      <w:r>
        <w:rPr>
          <w:rFonts w:ascii="宋体" w:hAnsi="宋体"/>
          <w:sz w:val="24"/>
          <w:szCs w:val="24"/>
        </w:rPr>
        <w:t>了</w:t>
      </w:r>
      <w:r w:rsidRPr="007E6C9D">
        <w:rPr>
          <w:rFonts w:ascii="宋体" w:hAnsi="宋体" w:hint="eastAsia"/>
          <w:sz w:val="24"/>
          <w:szCs w:val="24"/>
        </w:rPr>
        <w:t>11,115.67</w:t>
      </w:r>
      <w:r>
        <w:rPr>
          <w:rFonts w:ascii="宋体" w:hAnsi="宋体"/>
          <w:sz w:val="24"/>
          <w:szCs w:val="24"/>
        </w:rPr>
        <w:t>万元</w:t>
      </w:r>
      <w:r>
        <w:rPr>
          <w:rFonts w:ascii="宋体" w:hAnsi="宋体" w:hint="eastAsia"/>
          <w:sz w:val="24"/>
          <w:szCs w:val="24"/>
        </w:rPr>
        <w:t>，</w:t>
      </w:r>
      <w:r>
        <w:rPr>
          <w:rFonts w:ascii="宋体" w:hAnsi="宋体"/>
          <w:sz w:val="24"/>
          <w:szCs w:val="24"/>
        </w:rPr>
        <w:t>此类资产的</w:t>
      </w:r>
      <w:r>
        <w:rPr>
          <w:rFonts w:ascii="宋体" w:hAnsi="宋体" w:hint="eastAsia"/>
          <w:sz w:val="24"/>
          <w:szCs w:val="24"/>
        </w:rPr>
        <w:t>账</w:t>
      </w:r>
      <w:r>
        <w:rPr>
          <w:rFonts w:ascii="宋体" w:hAnsi="宋体"/>
          <w:sz w:val="24"/>
          <w:szCs w:val="24"/>
        </w:rPr>
        <w:t>面变化不直接影响收益，但影响现金流量，本期共增加了</w:t>
      </w:r>
      <w:r w:rsidRPr="007E6C9D">
        <w:rPr>
          <w:rFonts w:ascii="宋体" w:hAnsi="宋体" w:hint="eastAsia"/>
          <w:sz w:val="24"/>
          <w:szCs w:val="24"/>
        </w:rPr>
        <w:t>9,</w:t>
      </w:r>
      <w:r>
        <w:rPr>
          <w:rFonts w:ascii="宋体" w:hAnsi="宋体" w:hint="eastAsia"/>
          <w:sz w:val="24"/>
          <w:szCs w:val="24"/>
        </w:rPr>
        <w:t>770</w:t>
      </w:r>
      <w:r w:rsidRPr="007E6C9D">
        <w:rPr>
          <w:rFonts w:ascii="宋体" w:hAnsi="宋体"/>
          <w:sz w:val="24"/>
          <w:szCs w:val="24"/>
        </w:rPr>
        <w:t>.</w:t>
      </w:r>
      <w:r>
        <w:rPr>
          <w:rFonts w:ascii="宋体" w:hAnsi="宋体" w:hint="eastAsia"/>
          <w:sz w:val="24"/>
          <w:szCs w:val="24"/>
        </w:rPr>
        <w:t>94</w:t>
      </w:r>
      <w:r>
        <w:rPr>
          <w:rFonts w:ascii="宋体" w:hAnsi="宋体"/>
          <w:sz w:val="24"/>
          <w:szCs w:val="24"/>
        </w:rPr>
        <w:t>万元的现金流出。</w:t>
      </w:r>
    </w:p>
    <w:bookmarkEnd w:id="3"/>
    <w:p w:rsidR="008D6F13" w:rsidRPr="00A24C1D" w:rsidRDefault="008D6F13" w:rsidP="004476C6">
      <w:pPr>
        <w:autoSpaceDE w:val="0"/>
        <w:autoSpaceDN w:val="0"/>
        <w:adjustRightInd w:val="0"/>
        <w:spacing w:line="360" w:lineRule="auto"/>
        <w:ind w:firstLineChars="194" w:firstLine="466"/>
        <w:rPr>
          <w:rFonts w:ascii="宋体" w:hAnsi="宋体"/>
          <w:kern w:val="0"/>
          <w:sz w:val="24"/>
          <w:szCs w:val="24"/>
          <w:lang w:val="zh-CN"/>
        </w:rPr>
      </w:pPr>
    </w:p>
    <w:p w:rsidR="008D6F13" w:rsidRPr="00A24C1D" w:rsidRDefault="007E6C9D" w:rsidP="004476C6">
      <w:pPr>
        <w:autoSpaceDE w:val="0"/>
        <w:autoSpaceDN w:val="0"/>
        <w:adjustRightInd w:val="0"/>
        <w:spacing w:line="360" w:lineRule="auto"/>
        <w:ind w:firstLineChars="200" w:firstLine="482"/>
        <w:rPr>
          <w:rFonts w:ascii="宋体" w:hAnsi="宋体"/>
          <w:b/>
          <w:kern w:val="0"/>
          <w:sz w:val="24"/>
          <w:szCs w:val="24"/>
          <w:lang w:val="zh-CN"/>
        </w:rPr>
      </w:pPr>
      <w:r w:rsidRPr="00A24C1D">
        <w:rPr>
          <w:rFonts w:ascii="宋体" w:hAnsi="宋体" w:hint="eastAsia"/>
          <w:b/>
          <w:kern w:val="0"/>
          <w:sz w:val="24"/>
          <w:szCs w:val="24"/>
          <w:lang w:val="zh-CN"/>
        </w:rPr>
        <w:t>四、合并范围及主要子公司情况</w:t>
      </w:r>
    </w:p>
    <w:p w:rsidR="008D6F13" w:rsidRPr="00A24C1D" w:rsidRDefault="007E6C9D" w:rsidP="004476C6">
      <w:pPr>
        <w:autoSpaceDE w:val="0"/>
        <w:autoSpaceDN w:val="0"/>
        <w:adjustRightInd w:val="0"/>
        <w:spacing w:line="360" w:lineRule="auto"/>
        <w:ind w:firstLineChars="200" w:firstLine="480"/>
        <w:rPr>
          <w:rFonts w:ascii="宋体" w:hAnsi="宋体"/>
          <w:kern w:val="0"/>
          <w:sz w:val="24"/>
          <w:szCs w:val="24"/>
          <w:lang w:val="zh-CN"/>
        </w:rPr>
      </w:pPr>
      <w:r w:rsidRPr="00A24C1D">
        <w:rPr>
          <w:rFonts w:ascii="宋体" w:hAnsi="宋体" w:hint="eastAsia"/>
          <w:kern w:val="0"/>
          <w:sz w:val="24"/>
          <w:szCs w:val="24"/>
          <w:lang w:val="zh-CN"/>
        </w:rPr>
        <w:t>（一）公司2024年度纳入合并范围的子公司为5户，结构化会计主体为1户，明细如下：</w:t>
      </w:r>
    </w:p>
    <w:p w:rsidR="008D6F13" w:rsidRPr="00A24C1D" w:rsidRDefault="007E6C9D" w:rsidP="004476C6">
      <w:pPr>
        <w:autoSpaceDE w:val="0"/>
        <w:autoSpaceDN w:val="0"/>
        <w:adjustRightInd w:val="0"/>
        <w:spacing w:line="360" w:lineRule="auto"/>
        <w:ind w:firstLineChars="200" w:firstLine="480"/>
        <w:rPr>
          <w:rFonts w:ascii="宋体" w:hAnsi="宋体"/>
          <w:kern w:val="0"/>
          <w:sz w:val="24"/>
          <w:szCs w:val="24"/>
          <w:lang w:val="zh-CN"/>
        </w:rPr>
      </w:pPr>
      <w:r w:rsidRPr="00A24C1D">
        <w:rPr>
          <w:rFonts w:ascii="宋体" w:hAnsi="宋体" w:hint="eastAsia"/>
          <w:kern w:val="0"/>
          <w:sz w:val="24"/>
          <w:szCs w:val="24"/>
          <w:lang w:val="zh-CN"/>
        </w:rPr>
        <w:t>1、纳入合并范围的子公司</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7"/>
        <w:gridCol w:w="850"/>
        <w:gridCol w:w="851"/>
        <w:gridCol w:w="1701"/>
        <w:gridCol w:w="850"/>
        <w:gridCol w:w="709"/>
        <w:gridCol w:w="1276"/>
      </w:tblGrid>
      <w:tr w:rsidR="004476C6" w:rsidRPr="004B1F45" w:rsidTr="00883896">
        <w:trPr>
          <w:trHeight w:val="851"/>
        </w:trPr>
        <w:tc>
          <w:tcPr>
            <w:tcW w:w="2127" w:type="dxa"/>
            <w:vMerge w:val="restart"/>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lastRenderedPageBreak/>
              <w:t>子公司名称</w:t>
            </w:r>
          </w:p>
        </w:tc>
        <w:tc>
          <w:tcPr>
            <w:tcW w:w="850" w:type="dxa"/>
            <w:vMerge w:val="restart"/>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主要</w:t>
            </w:r>
            <w:r w:rsidR="0076663E">
              <w:rPr>
                <w:rFonts w:ascii="宋体" w:hAnsi="宋体" w:cs="宋体" w:hint="eastAsia"/>
                <w:kern w:val="0"/>
                <w:szCs w:val="21"/>
              </w:rPr>
              <w:t xml:space="preserve"> </w:t>
            </w:r>
            <w:r w:rsidRPr="004B1F45">
              <w:rPr>
                <w:rFonts w:ascii="宋体" w:hAnsi="宋体" w:cs="宋体" w:hint="eastAsia"/>
                <w:kern w:val="0"/>
                <w:szCs w:val="21"/>
              </w:rPr>
              <w:t>经营地</w:t>
            </w:r>
          </w:p>
        </w:tc>
        <w:tc>
          <w:tcPr>
            <w:tcW w:w="851" w:type="dxa"/>
            <w:vMerge w:val="restart"/>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注册地</w:t>
            </w:r>
          </w:p>
        </w:tc>
        <w:tc>
          <w:tcPr>
            <w:tcW w:w="1701" w:type="dxa"/>
            <w:vMerge w:val="restart"/>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业务性质</w:t>
            </w:r>
          </w:p>
        </w:tc>
        <w:tc>
          <w:tcPr>
            <w:tcW w:w="1559" w:type="dxa"/>
            <w:gridSpan w:val="2"/>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持股比例(%)</w:t>
            </w:r>
          </w:p>
        </w:tc>
        <w:tc>
          <w:tcPr>
            <w:tcW w:w="1276" w:type="dxa"/>
            <w:vMerge w:val="restart"/>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取得方式</w:t>
            </w:r>
          </w:p>
        </w:tc>
      </w:tr>
      <w:tr w:rsidR="00BD565A" w:rsidRPr="004B1F45" w:rsidTr="00BD565A">
        <w:trPr>
          <w:trHeight w:val="290"/>
        </w:trPr>
        <w:tc>
          <w:tcPr>
            <w:tcW w:w="2127" w:type="dxa"/>
            <w:vMerge/>
            <w:vAlign w:val="center"/>
          </w:tcPr>
          <w:p w:rsidR="008D6F13" w:rsidRPr="004B1F45" w:rsidRDefault="008D6F13" w:rsidP="004476C6">
            <w:pPr>
              <w:widowControl/>
              <w:adjustRightInd w:val="0"/>
              <w:snapToGrid w:val="0"/>
              <w:spacing w:line="360" w:lineRule="auto"/>
              <w:jc w:val="left"/>
              <w:rPr>
                <w:rFonts w:ascii="宋体" w:hAnsi="宋体" w:cs="宋体"/>
                <w:kern w:val="0"/>
                <w:szCs w:val="21"/>
              </w:rPr>
            </w:pPr>
          </w:p>
        </w:tc>
        <w:tc>
          <w:tcPr>
            <w:tcW w:w="850" w:type="dxa"/>
            <w:vMerge/>
            <w:vAlign w:val="center"/>
          </w:tcPr>
          <w:p w:rsidR="008D6F13" w:rsidRPr="004B1F45" w:rsidRDefault="008D6F13" w:rsidP="004476C6">
            <w:pPr>
              <w:widowControl/>
              <w:adjustRightInd w:val="0"/>
              <w:snapToGrid w:val="0"/>
              <w:spacing w:line="360" w:lineRule="auto"/>
              <w:jc w:val="left"/>
              <w:rPr>
                <w:rFonts w:ascii="宋体" w:hAnsi="宋体" w:cs="宋体"/>
                <w:kern w:val="0"/>
                <w:szCs w:val="21"/>
              </w:rPr>
            </w:pPr>
          </w:p>
        </w:tc>
        <w:tc>
          <w:tcPr>
            <w:tcW w:w="851" w:type="dxa"/>
            <w:vMerge/>
            <w:vAlign w:val="center"/>
          </w:tcPr>
          <w:p w:rsidR="008D6F13" w:rsidRPr="004B1F45" w:rsidRDefault="008D6F13" w:rsidP="004476C6">
            <w:pPr>
              <w:widowControl/>
              <w:adjustRightInd w:val="0"/>
              <w:snapToGrid w:val="0"/>
              <w:spacing w:line="360" w:lineRule="auto"/>
              <w:jc w:val="left"/>
              <w:rPr>
                <w:rFonts w:ascii="宋体" w:hAnsi="宋体" w:cs="宋体"/>
                <w:kern w:val="0"/>
                <w:szCs w:val="21"/>
              </w:rPr>
            </w:pPr>
          </w:p>
        </w:tc>
        <w:tc>
          <w:tcPr>
            <w:tcW w:w="1701" w:type="dxa"/>
            <w:vMerge/>
            <w:vAlign w:val="center"/>
          </w:tcPr>
          <w:p w:rsidR="008D6F13" w:rsidRPr="004B1F45" w:rsidRDefault="008D6F13" w:rsidP="004476C6">
            <w:pPr>
              <w:widowControl/>
              <w:adjustRightInd w:val="0"/>
              <w:snapToGrid w:val="0"/>
              <w:spacing w:line="360" w:lineRule="auto"/>
              <w:jc w:val="left"/>
              <w:rPr>
                <w:rFonts w:ascii="宋体" w:hAnsi="宋体" w:cs="宋体"/>
                <w:kern w:val="0"/>
                <w:szCs w:val="21"/>
              </w:rPr>
            </w:pPr>
          </w:p>
        </w:tc>
        <w:tc>
          <w:tcPr>
            <w:tcW w:w="850" w:type="dxa"/>
            <w:shd w:val="clear" w:color="auto" w:fill="auto"/>
            <w:vAlign w:val="center"/>
          </w:tcPr>
          <w:p w:rsidR="008D6F13" w:rsidRPr="004B1F45" w:rsidRDefault="007E6C9D" w:rsidP="004476C6">
            <w:pPr>
              <w:widowControl/>
              <w:adjustRightInd w:val="0"/>
              <w:snapToGrid w:val="0"/>
              <w:spacing w:line="360" w:lineRule="auto"/>
              <w:jc w:val="center"/>
              <w:rPr>
                <w:rFonts w:ascii="宋体" w:hAnsi="宋体" w:cs="宋体"/>
                <w:kern w:val="0"/>
                <w:szCs w:val="21"/>
              </w:rPr>
            </w:pPr>
            <w:r w:rsidRPr="004B1F45">
              <w:rPr>
                <w:rFonts w:ascii="宋体" w:hAnsi="宋体" w:cs="宋体" w:hint="eastAsia"/>
                <w:kern w:val="0"/>
                <w:szCs w:val="21"/>
              </w:rPr>
              <w:t>直接</w:t>
            </w:r>
          </w:p>
        </w:tc>
        <w:tc>
          <w:tcPr>
            <w:tcW w:w="709" w:type="dxa"/>
            <w:shd w:val="clear" w:color="auto" w:fill="auto"/>
            <w:vAlign w:val="center"/>
          </w:tcPr>
          <w:p w:rsidR="008D6F13" w:rsidRPr="004B1F45" w:rsidRDefault="007E6C9D" w:rsidP="004476C6">
            <w:pPr>
              <w:widowControl/>
              <w:adjustRightInd w:val="0"/>
              <w:snapToGrid w:val="0"/>
              <w:spacing w:line="360" w:lineRule="auto"/>
              <w:jc w:val="center"/>
              <w:rPr>
                <w:rFonts w:ascii="宋体" w:hAnsi="宋体" w:cs="宋体"/>
                <w:kern w:val="0"/>
                <w:szCs w:val="21"/>
              </w:rPr>
            </w:pPr>
            <w:r w:rsidRPr="004B1F45">
              <w:rPr>
                <w:rFonts w:ascii="宋体" w:hAnsi="宋体" w:cs="宋体" w:hint="eastAsia"/>
                <w:kern w:val="0"/>
                <w:szCs w:val="21"/>
              </w:rPr>
              <w:t>间接</w:t>
            </w:r>
          </w:p>
        </w:tc>
        <w:tc>
          <w:tcPr>
            <w:tcW w:w="1276" w:type="dxa"/>
            <w:vMerge/>
            <w:vAlign w:val="center"/>
          </w:tcPr>
          <w:p w:rsidR="008D6F13" w:rsidRPr="004B1F45" w:rsidRDefault="008D6F13" w:rsidP="004476C6">
            <w:pPr>
              <w:widowControl/>
              <w:adjustRightInd w:val="0"/>
              <w:snapToGrid w:val="0"/>
              <w:spacing w:line="360" w:lineRule="auto"/>
              <w:jc w:val="left"/>
              <w:rPr>
                <w:rFonts w:ascii="宋体" w:hAnsi="宋体" w:cs="宋体"/>
                <w:kern w:val="0"/>
                <w:szCs w:val="21"/>
              </w:rPr>
            </w:pPr>
          </w:p>
        </w:tc>
      </w:tr>
      <w:tr w:rsidR="00BD565A" w:rsidRPr="004B1F45" w:rsidTr="00883896">
        <w:trPr>
          <w:trHeight w:val="851"/>
        </w:trPr>
        <w:tc>
          <w:tcPr>
            <w:tcW w:w="2127" w:type="dxa"/>
            <w:shd w:val="clear" w:color="auto" w:fill="auto"/>
            <w:vAlign w:val="center"/>
          </w:tcPr>
          <w:p w:rsidR="008D6F13" w:rsidRPr="004B1F45" w:rsidRDefault="007E6C9D" w:rsidP="00883896">
            <w:pPr>
              <w:widowControl/>
              <w:adjustRightInd w:val="0"/>
              <w:snapToGrid w:val="0"/>
              <w:spacing w:line="240" w:lineRule="atLeast"/>
              <w:rPr>
                <w:rFonts w:ascii="宋体" w:hAnsi="宋体" w:cs="宋体"/>
                <w:kern w:val="0"/>
                <w:szCs w:val="21"/>
              </w:rPr>
            </w:pPr>
            <w:r w:rsidRPr="004B1F45">
              <w:rPr>
                <w:rFonts w:ascii="宋体" w:hAnsi="宋体" w:cs="宋体" w:hint="eastAsia"/>
                <w:kern w:val="0"/>
                <w:szCs w:val="21"/>
              </w:rPr>
              <w:t>江阴华西化工码头有限公司</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85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170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码头的建设经营、仓储</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100</w:t>
            </w:r>
          </w:p>
        </w:tc>
        <w:tc>
          <w:tcPr>
            <w:tcW w:w="709" w:type="dxa"/>
            <w:shd w:val="clear" w:color="auto" w:fill="auto"/>
            <w:vAlign w:val="center"/>
          </w:tcPr>
          <w:p w:rsidR="008D6F13" w:rsidRPr="004B1F45" w:rsidRDefault="007E6C9D" w:rsidP="00883896">
            <w:pPr>
              <w:widowControl/>
              <w:adjustRightInd w:val="0"/>
              <w:snapToGrid w:val="0"/>
              <w:spacing w:line="240" w:lineRule="atLeast"/>
              <w:jc w:val="right"/>
              <w:rPr>
                <w:rFonts w:ascii="宋体" w:hAnsi="宋体" w:cs="宋体"/>
                <w:kern w:val="0"/>
                <w:szCs w:val="21"/>
              </w:rPr>
            </w:pPr>
            <w:r w:rsidRPr="004B1F45">
              <w:rPr>
                <w:rFonts w:ascii="宋体" w:hAnsi="宋体" w:cs="宋体" w:hint="eastAsia"/>
                <w:kern w:val="0"/>
                <w:szCs w:val="21"/>
              </w:rPr>
              <w:t xml:space="preserve">　</w:t>
            </w:r>
          </w:p>
        </w:tc>
        <w:tc>
          <w:tcPr>
            <w:tcW w:w="1276"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非同</w:t>
            </w:r>
            <w:proofErr w:type="gramStart"/>
            <w:r w:rsidRPr="004B1F45">
              <w:rPr>
                <w:rFonts w:ascii="宋体" w:hAnsi="宋体" w:cs="宋体" w:hint="eastAsia"/>
                <w:kern w:val="0"/>
                <w:szCs w:val="21"/>
              </w:rPr>
              <w:t>一控制</w:t>
            </w:r>
            <w:proofErr w:type="gramEnd"/>
            <w:r w:rsidRPr="004B1F45">
              <w:rPr>
                <w:rFonts w:ascii="宋体" w:hAnsi="宋体" w:cs="宋体" w:hint="eastAsia"/>
                <w:kern w:val="0"/>
                <w:szCs w:val="21"/>
              </w:rPr>
              <w:t>下企业合并</w:t>
            </w:r>
          </w:p>
        </w:tc>
      </w:tr>
      <w:tr w:rsidR="00BD565A" w:rsidRPr="004B1F45" w:rsidTr="00883896">
        <w:trPr>
          <w:trHeight w:val="851"/>
        </w:trPr>
        <w:tc>
          <w:tcPr>
            <w:tcW w:w="2127" w:type="dxa"/>
            <w:shd w:val="clear" w:color="auto" w:fill="auto"/>
            <w:vAlign w:val="center"/>
          </w:tcPr>
          <w:p w:rsidR="008D6F13" w:rsidRPr="004B1F45" w:rsidRDefault="007E6C9D" w:rsidP="00883896">
            <w:pPr>
              <w:widowControl/>
              <w:adjustRightInd w:val="0"/>
              <w:snapToGrid w:val="0"/>
              <w:spacing w:line="240" w:lineRule="atLeast"/>
              <w:rPr>
                <w:rFonts w:ascii="宋体" w:hAnsi="宋体" w:cs="宋体"/>
                <w:kern w:val="0"/>
                <w:szCs w:val="21"/>
              </w:rPr>
            </w:pPr>
            <w:r w:rsidRPr="004B1F45">
              <w:rPr>
                <w:rFonts w:ascii="宋体" w:hAnsi="宋体" w:cs="宋体" w:hint="eastAsia"/>
                <w:kern w:val="0"/>
                <w:szCs w:val="21"/>
              </w:rPr>
              <w:t>江阴华西</w:t>
            </w:r>
            <w:proofErr w:type="gramStart"/>
            <w:r w:rsidRPr="004B1F45">
              <w:rPr>
                <w:rFonts w:ascii="宋体" w:hAnsi="宋体" w:cs="宋体" w:hint="eastAsia"/>
                <w:kern w:val="0"/>
                <w:szCs w:val="21"/>
              </w:rPr>
              <w:t>村资本</w:t>
            </w:r>
            <w:proofErr w:type="gramEnd"/>
            <w:r w:rsidRPr="004B1F45">
              <w:rPr>
                <w:rFonts w:ascii="宋体" w:hAnsi="宋体" w:cs="宋体" w:hint="eastAsia"/>
                <w:kern w:val="0"/>
                <w:szCs w:val="21"/>
              </w:rPr>
              <w:t>有限公司</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85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170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贸易、投资</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100</w:t>
            </w:r>
          </w:p>
        </w:tc>
        <w:tc>
          <w:tcPr>
            <w:tcW w:w="709" w:type="dxa"/>
            <w:shd w:val="clear" w:color="auto" w:fill="auto"/>
            <w:vAlign w:val="center"/>
          </w:tcPr>
          <w:p w:rsidR="008D6F13" w:rsidRPr="004B1F45" w:rsidRDefault="007E6C9D" w:rsidP="00883896">
            <w:pPr>
              <w:widowControl/>
              <w:adjustRightInd w:val="0"/>
              <w:snapToGrid w:val="0"/>
              <w:spacing w:line="240" w:lineRule="atLeast"/>
              <w:jc w:val="right"/>
              <w:rPr>
                <w:rFonts w:ascii="宋体" w:hAnsi="宋体" w:cs="宋体"/>
                <w:kern w:val="0"/>
                <w:szCs w:val="21"/>
              </w:rPr>
            </w:pPr>
            <w:r w:rsidRPr="004B1F45">
              <w:rPr>
                <w:rFonts w:ascii="宋体" w:hAnsi="宋体" w:cs="宋体" w:hint="eastAsia"/>
                <w:kern w:val="0"/>
                <w:szCs w:val="21"/>
              </w:rPr>
              <w:t xml:space="preserve">　</w:t>
            </w:r>
          </w:p>
        </w:tc>
        <w:tc>
          <w:tcPr>
            <w:tcW w:w="1276"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设立</w:t>
            </w:r>
          </w:p>
        </w:tc>
      </w:tr>
      <w:tr w:rsidR="00BD565A" w:rsidRPr="004B1F45" w:rsidTr="00883896">
        <w:trPr>
          <w:trHeight w:val="851"/>
        </w:trPr>
        <w:tc>
          <w:tcPr>
            <w:tcW w:w="2127" w:type="dxa"/>
            <w:shd w:val="clear" w:color="auto" w:fill="auto"/>
            <w:vAlign w:val="center"/>
          </w:tcPr>
          <w:p w:rsidR="008D6F13" w:rsidRPr="004B1F45" w:rsidRDefault="007E6C9D" w:rsidP="00883896">
            <w:pPr>
              <w:widowControl/>
              <w:adjustRightInd w:val="0"/>
              <w:snapToGrid w:val="0"/>
              <w:spacing w:line="240" w:lineRule="atLeast"/>
              <w:rPr>
                <w:rFonts w:ascii="宋体" w:hAnsi="宋体" w:cs="宋体"/>
                <w:kern w:val="0"/>
                <w:szCs w:val="21"/>
              </w:rPr>
            </w:pPr>
            <w:r w:rsidRPr="004B1F45">
              <w:rPr>
                <w:rFonts w:ascii="宋体" w:hAnsi="宋体" w:cs="宋体" w:hint="eastAsia"/>
                <w:kern w:val="0"/>
                <w:szCs w:val="21"/>
              </w:rPr>
              <w:t>江阴市华西新材料科技有限公司</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85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170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新材料的</w:t>
            </w:r>
            <w:r w:rsidR="00375F99">
              <w:rPr>
                <w:rFonts w:ascii="宋体" w:hAnsi="宋体" w:cs="宋体" w:hint="eastAsia"/>
                <w:kern w:val="0"/>
                <w:szCs w:val="21"/>
              </w:rPr>
              <w:t xml:space="preserve">     </w:t>
            </w:r>
            <w:r w:rsidRPr="004B1F45">
              <w:rPr>
                <w:rFonts w:ascii="宋体" w:hAnsi="宋体" w:cs="宋体" w:hint="eastAsia"/>
                <w:kern w:val="0"/>
                <w:szCs w:val="21"/>
              </w:rPr>
              <w:t>技术开发</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100</w:t>
            </w:r>
          </w:p>
        </w:tc>
        <w:tc>
          <w:tcPr>
            <w:tcW w:w="709" w:type="dxa"/>
            <w:shd w:val="clear" w:color="auto" w:fill="auto"/>
            <w:vAlign w:val="center"/>
          </w:tcPr>
          <w:p w:rsidR="008D6F13" w:rsidRPr="004B1F45" w:rsidRDefault="008D6F13" w:rsidP="00883896">
            <w:pPr>
              <w:widowControl/>
              <w:adjustRightInd w:val="0"/>
              <w:snapToGrid w:val="0"/>
              <w:spacing w:line="240" w:lineRule="atLeast"/>
              <w:jc w:val="center"/>
              <w:rPr>
                <w:rFonts w:ascii="宋体" w:hAnsi="宋体" w:cs="宋体"/>
                <w:kern w:val="0"/>
                <w:szCs w:val="21"/>
              </w:rPr>
            </w:pPr>
          </w:p>
        </w:tc>
        <w:tc>
          <w:tcPr>
            <w:tcW w:w="1276"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 xml:space="preserve">设立　</w:t>
            </w:r>
          </w:p>
        </w:tc>
      </w:tr>
      <w:tr w:rsidR="00BD565A" w:rsidRPr="004B1F45" w:rsidTr="00883896">
        <w:trPr>
          <w:trHeight w:val="851"/>
        </w:trPr>
        <w:tc>
          <w:tcPr>
            <w:tcW w:w="2127" w:type="dxa"/>
            <w:shd w:val="clear" w:color="auto" w:fill="auto"/>
            <w:vAlign w:val="center"/>
          </w:tcPr>
          <w:p w:rsidR="008D6F13" w:rsidRPr="004B1F45" w:rsidRDefault="007E6C9D" w:rsidP="00883896">
            <w:pPr>
              <w:widowControl/>
              <w:adjustRightInd w:val="0"/>
              <w:snapToGrid w:val="0"/>
              <w:spacing w:line="240" w:lineRule="atLeast"/>
              <w:rPr>
                <w:rFonts w:ascii="宋体" w:hAnsi="宋体" w:cs="宋体"/>
                <w:kern w:val="0"/>
                <w:szCs w:val="21"/>
              </w:rPr>
            </w:pPr>
            <w:r w:rsidRPr="004B1F45">
              <w:rPr>
                <w:rFonts w:ascii="宋体" w:hAnsi="宋体" w:cs="宋体" w:hint="eastAsia"/>
                <w:kern w:val="0"/>
                <w:szCs w:val="21"/>
              </w:rPr>
              <w:t>上海鑫华汐实业有限公司</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上海市</w:t>
            </w:r>
          </w:p>
        </w:tc>
        <w:tc>
          <w:tcPr>
            <w:tcW w:w="85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上海市</w:t>
            </w:r>
          </w:p>
        </w:tc>
        <w:tc>
          <w:tcPr>
            <w:tcW w:w="170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贸易</w:t>
            </w:r>
          </w:p>
        </w:tc>
        <w:tc>
          <w:tcPr>
            <w:tcW w:w="850" w:type="dxa"/>
            <w:shd w:val="clear" w:color="auto" w:fill="auto"/>
            <w:vAlign w:val="center"/>
          </w:tcPr>
          <w:p w:rsidR="008D6F13" w:rsidRPr="004B1F45" w:rsidRDefault="008D6F13" w:rsidP="00883896">
            <w:pPr>
              <w:widowControl/>
              <w:adjustRightInd w:val="0"/>
              <w:snapToGrid w:val="0"/>
              <w:spacing w:line="240" w:lineRule="atLeast"/>
              <w:rPr>
                <w:rFonts w:ascii="宋体" w:hAnsi="宋体" w:cs="宋体"/>
                <w:kern w:val="0"/>
                <w:szCs w:val="21"/>
              </w:rPr>
            </w:pPr>
          </w:p>
        </w:tc>
        <w:tc>
          <w:tcPr>
            <w:tcW w:w="709"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100</w:t>
            </w:r>
          </w:p>
        </w:tc>
        <w:tc>
          <w:tcPr>
            <w:tcW w:w="1276"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设立</w:t>
            </w:r>
          </w:p>
        </w:tc>
      </w:tr>
      <w:tr w:rsidR="00BD565A" w:rsidRPr="004B1F45" w:rsidTr="00883896">
        <w:trPr>
          <w:trHeight w:val="851"/>
        </w:trPr>
        <w:tc>
          <w:tcPr>
            <w:tcW w:w="2127" w:type="dxa"/>
            <w:shd w:val="clear" w:color="auto" w:fill="auto"/>
            <w:vAlign w:val="center"/>
          </w:tcPr>
          <w:p w:rsidR="008D6F13" w:rsidRPr="004B1F45" w:rsidRDefault="007E6C9D" w:rsidP="00883896">
            <w:pPr>
              <w:widowControl/>
              <w:adjustRightInd w:val="0"/>
              <w:snapToGrid w:val="0"/>
              <w:spacing w:line="240" w:lineRule="atLeast"/>
              <w:rPr>
                <w:rFonts w:ascii="宋体" w:hAnsi="宋体" w:cs="宋体"/>
                <w:kern w:val="0"/>
                <w:szCs w:val="21"/>
              </w:rPr>
            </w:pPr>
            <w:r w:rsidRPr="004B1F45">
              <w:rPr>
                <w:rFonts w:ascii="宋体" w:hAnsi="宋体" w:cs="宋体" w:hint="eastAsia"/>
                <w:kern w:val="0"/>
                <w:szCs w:val="21"/>
              </w:rPr>
              <w:t>江阴华西非织造布研发基地有限公司[注]</w:t>
            </w:r>
          </w:p>
        </w:tc>
        <w:tc>
          <w:tcPr>
            <w:tcW w:w="850"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85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江阴市</w:t>
            </w:r>
          </w:p>
        </w:tc>
        <w:tc>
          <w:tcPr>
            <w:tcW w:w="1701"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产业用纺织制成品的生产与销售</w:t>
            </w:r>
          </w:p>
        </w:tc>
        <w:tc>
          <w:tcPr>
            <w:tcW w:w="850" w:type="dxa"/>
            <w:shd w:val="clear" w:color="auto" w:fill="auto"/>
            <w:vAlign w:val="center"/>
          </w:tcPr>
          <w:p w:rsidR="008D6F13" w:rsidRPr="004B1F45" w:rsidRDefault="008D6F13" w:rsidP="00883896">
            <w:pPr>
              <w:widowControl/>
              <w:adjustRightInd w:val="0"/>
              <w:snapToGrid w:val="0"/>
              <w:spacing w:line="240" w:lineRule="atLeast"/>
              <w:rPr>
                <w:rFonts w:ascii="宋体" w:hAnsi="宋体" w:cs="宋体"/>
                <w:kern w:val="0"/>
                <w:szCs w:val="21"/>
              </w:rPr>
            </w:pPr>
          </w:p>
        </w:tc>
        <w:tc>
          <w:tcPr>
            <w:tcW w:w="709"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100</w:t>
            </w:r>
          </w:p>
        </w:tc>
        <w:tc>
          <w:tcPr>
            <w:tcW w:w="1276" w:type="dxa"/>
            <w:shd w:val="clear" w:color="auto" w:fill="auto"/>
            <w:vAlign w:val="center"/>
          </w:tcPr>
          <w:p w:rsidR="008D6F13" w:rsidRPr="004B1F45" w:rsidRDefault="007E6C9D" w:rsidP="00883896">
            <w:pPr>
              <w:widowControl/>
              <w:adjustRightInd w:val="0"/>
              <w:snapToGrid w:val="0"/>
              <w:spacing w:line="240" w:lineRule="atLeast"/>
              <w:jc w:val="center"/>
              <w:rPr>
                <w:rFonts w:ascii="宋体" w:hAnsi="宋体" w:cs="宋体"/>
                <w:kern w:val="0"/>
                <w:szCs w:val="21"/>
              </w:rPr>
            </w:pPr>
            <w:r w:rsidRPr="004B1F45">
              <w:rPr>
                <w:rFonts w:ascii="宋体" w:hAnsi="宋体" w:cs="宋体" w:hint="eastAsia"/>
                <w:kern w:val="0"/>
                <w:szCs w:val="21"/>
              </w:rPr>
              <w:t>设立</w:t>
            </w:r>
          </w:p>
        </w:tc>
      </w:tr>
    </w:tbl>
    <w:p w:rsidR="008D6F13" w:rsidRPr="00A24C1D" w:rsidRDefault="007E6C9D" w:rsidP="004476C6">
      <w:pPr>
        <w:autoSpaceDE w:val="0"/>
        <w:autoSpaceDN w:val="0"/>
        <w:adjustRightInd w:val="0"/>
        <w:spacing w:line="360" w:lineRule="auto"/>
        <w:ind w:left="360"/>
        <w:rPr>
          <w:rFonts w:ascii="宋体" w:hAnsi="宋体"/>
          <w:kern w:val="0"/>
          <w:sz w:val="24"/>
          <w:szCs w:val="24"/>
          <w:lang w:val="zh-CN"/>
        </w:rPr>
      </w:pPr>
      <w:r w:rsidRPr="00A24C1D">
        <w:rPr>
          <w:rFonts w:ascii="宋体" w:hAnsi="宋体" w:hint="eastAsia"/>
          <w:kern w:val="0"/>
          <w:sz w:val="24"/>
          <w:szCs w:val="24"/>
          <w:lang w:val="zh-CN"/>
        </w:rPr>
        <w:t>（注：该家单位</w:t>
      </w:r>
      <w:proofErr w:type="gramStart"/>
      <w:r w:rsidRPr="00A24C1D">
        <w:rPr>
          <w:rFonts w:ascii="宋体" w:hAnsi="宋体" w:hint="eastAsia"/>
          <w:kern w:val="0"/>
          <w:sz w:val="24"/>
          <w:szCs w:val="24"/>
          <w:lang w:val="zh-CN"/>
        </w:rPr>
        <w:t>至报告</w:t>
      </w:r>
      <w:proofErr w:type="gramEnd"/>
      <w:r w:rsidRPr="00A24C1D">
        <w:rPr>
          <w:rFonts w:ascii="宋体" w:hAnsi="宋体" w:hint="eastAsia"/>
          <w:kern w:val="0"/>
          <w:sz w:val="24"/>
          <w:szCs w:val="24"/>
          <w:lang w:val="zh-CN"/>
        </w:rPr>
        <w:t>期末尚未实际出资）</w:t>
      </w:r>
    </w:p>
    <w:p w:rsidR="008D6F13" w:rsidRPr="00A24C1D" w:rsidRDefault="007E6C9D" w:rsidP="004476C6">
      <w:pPr>
        <w:autoSpaceDE w:val="0"/>
        <w:autoSpaceDN w:val="0"/>
        <w:adjustRightInd w:val="0"/>
        <w:spacing w:line="360" w:lineRule="auto"/>
        <w:ind w:firstLineChars="200" w:firstLine="480"/>
        <w:rPr>
          <w:rFonts w:ascii="宋体" w:hAnsi="宋体"/>
          <w:kern w:val="0"/>
          <w:sz w:val="24"/>
          <w:szCs w:val="24"/>
          <w:lang w:val="zh-CN"/>
        </w:rPr>
      </w:pPr>
      <w:r w:rsidRPr="00A24C1D">
        <w:rPr>
          <w:rFonts w:ascii="宋体" w:hAnsi="宋体" w:hint="eastAsia"/>
          <w:kern w:val="0"/>
          <w:sz w:val="24"/>
          <w:szCs w:val="24"/>
          <w:lang w:val="zh-CN"/>
        </w:rPr>
        <w:t>2、纳入合并范围的结构化主体</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134"/>
        <w:gridCol w:w="992"/>
        <w:gridCol w:w="992"/>
        <w:gridCol w:w="851"/>
        <w:gridCol w:w="708"/>
        <w:gridCol w:w="993"/>
      </w:tblGrid>
      <w:tr w:rsidR="008D6F13" w:rsidRPr="00BF30D3" w:rsidTr="00BD565A">
        <w:trPr>
          <w:trHeight w:val="300"/>
        </w:trPr>
        <w:tc>
          <w:tcPr>
            <w:tcW w:w="2694" w:type="dxa"/>
            <w:vMerge w:val="restart"/>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结构化主体名称</w:t>
            </w:r>
          </w:p>
        </w:tc>
        <w:tc>
          <w:tcPr>
            <w:tcW w:w="1134" w:type="dxa"/>
            <w:vMerge w:val="restart"/>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主要</w:t>
            </w:r>
            <w:r w:rsidR="00281D7F" w:rsidRPr="00BF30D3">
              <w:rPr>
                <w:rFonts w:ascii="宋体" w:hAnsi="宋体" w:cs="宋体" w:hint="eastAsia"/>
                <w:kern w:val="0"/>
                <w:szCs w:val="21"/>
              </w:rPr>
              <w:t xml:space="preserve">    </w:t>
            </w:r>
            <w:r w:rsidRPr="00BF30D3">
              <w:rPr>
                <w:rFonts w:ascii="宋体" w:hAnsi="宋体" w:cs="宋体" w:hint="eastAsia"/>
                <w:kern w:val="0"/>
                <w:szCs w:val="21"/>
              </w:rPr>
              <w:t>经营地</w:t>
            </w:r>
          </w:p>
        </w:tc>
        <w:tc>
          <w:tcPr>
            <w:tcW w:w="992" w:type="dxa"/>
            <w:vMerge w:val="restart"/>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注册地</w:t>
            </w:r>
          </w:p>
        </w:tc>
        <w:tc>
          <w:tcPr>
            <w:tcW w:w="992" w:type="dxa"/>
            <w:vMerge w:val="restart"/>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业务</w:t>
            </w:r>
            <w:r w:rsidR="00A33D02">
              <w:rPr>
                <w:rFonts w:ascii="宋体" w:hAnsi="宋体" w:cs="宋体" w:hint="eastAsia"/>
                <w:kern w:val="0"/>
                <w:szCs w:val="21"/>
              </w:rPr>
              <w:t xml:space="preserve">  </w:t>
            </w:r>
            <w:r w:rsidRPr="00BF30D3">
              <w:rPr>
                <w:rFonts w:ascii="宋体" w:hAnsi="宋体" w:cs="宋体" w:hint="eastAsia"/>
                <w:kern w:val="0"/>
                <w:szCs w:val="21"/>
              </w:rPr>
              <w:t>性质</w:t>
            </w:r>
          </w:p>
        </w:tc>
        <w:tc>
          <w:tcPr>
            <w:tcW w:w="1559" w:type="dxa"/>
            <w:gridSpan w:val="2"/>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实际出资</w:t>
            </w:r>
            <w:r w:rsidR="00A33D02">
              <w:rPr>
                <w:rFonts w:ascii="宋体" w:hAnsi="宋体" w:cs="宋体" w:hint="eastAsia"/>
                <w:kern w:val="0"/>
                <w:szCs w:val="21"/>
              </w:rPr>
              <w:t xml:space="preserve">   </w:t>
            </w:r>
            <w:r w:rsidRPr="00BF30D3">
              <w:rPr>
                <w:rFonts w:ascii="宋体" w:hAnsi="宋体" w:cs="宋体" w:hint="eastAsia"/>
                <w:kern w:val="0"/>
                <w:szCs w:val="21"/>
              </w:rPr>
              <w:t>比例(%)</w:t>
            </w:r>
          </w:p>
        </w:tc>
        <w:tc>
          <w:tcPr>
            <w:tcW w:w="993" w:type="dxa"/>
            <w:vMerge w:val="restart"/>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取得</w:t>
            </w:r>
            <w:r w:rsidR="00A33D02">
              <w:rPr>
                <w:rFonts w:ascii="宋体" w:hAnsi="宋体" w:cs="宋体" w:hint="eastAsia"/>
                <w:kern w:val="0"/>
                <w:szCs w:val="21"/>
              </w:rPr>
              <w:t xml:space="preserve">  </w:t>
            </w:r>
            <w:r w:rsidRPr="00BF30D3">
              <w:rPr>
                <w:rFonts w:ascii="宋体" w:hAnsi="宋体" w:cs="宋体" w:hint="eastAsia"/>
                <w:kern w:val="0"/>
                <w:szCs w:val="21"/>
              </w:rPr>
              <w:t>方式</w:t>
            </w:r>
          </w:p>
        </w:tc>
      </w:tr>
      <w:tr w:rsidR="008D6F13" w:rsidRPr="00BF30D3" w:rsidTr="00BD565A">
        <w:trPr>
          <w:trHeight w:val="290"/>
        </w:trPr>
        <w:tc>
          <w:tcPr>
            <w:tcW w:w="2694" w:type="dxa"/>
            <w:vMerge/>
            <w:vAlign w:val="center"/>
          </w:tcPr>
          <w:p w:rsidR="008D6F13" w:rsidRPr="00BF30D3" w:rsidRDefault="008D6F13" w:rsidP="004476C6">
            <w:pPr>
              <w:widowControl/>
              <w:spacing w:line="360" w:lineRule="auto"/>
              <w:jc w:val="left"/>
              <w:rPr>
                <w:rFonts w:ascii="宋体" w:hAnsi="宋体" w:cs="宋体"/>
                <w:kern w:val="0"/>
                <w:szCs w:val="21"/>
              </w:rPr>
            </w:pPr>
          </w:p>
        </w:tc>
        <w:tc>
          <w:tcPr>
            <w:tcW w:w="1134" w:type="dxa"/>
            <w:vMerge/>
            <w:vAlign w:val="center"/>
          </w:tcPr>
          <w:p w:rsidR="008D6F13" w:rsidRPr="00BF30D3" w:rsidRDefault="008D6F13" w:rsidP="004476C6">
            <w:pPr>
              <w:widowControl/>
              <w:spacing w:line="360" w:lineRule="auto"/>
              <w:jc w:val="left"/>
              <w:rPr>
                <w:rFonts w:ascii="宋体" w:hAnsi="宋体" w:cs="宋体"/>
                <w:kern w:val="0"/>
                <w:szCs w:val="21"/>
              </w:rPr>
            </w:pPr>
          </w:p>
        </w:tc>
        <w:tc>
          <w:tcPr>
            <w:tcW w:w="992" w:type="dxa"/>
            <w:vMerge/>
            <w:vAlign w:val="center"/>
          </w:tcPr>
          <w:p w:rsidR="008D6F13" w:rsidRPr="00BF30D3" w:rsidRDefault="008D6F13" w:rsidP="004476C6">
            <w:pPr>
              <w:widowControl/>
              <w:spacing w:line="360" w:lineRule="auto"/>
              <w:jc w:val="left"/>
              <w:rPr>
                <w:rFonts w:ascii="宋体" w:hAnsi="宋体" w:cs="宋体"/>
                <w:kern w:val="0"/>
                <w:szCs w:val="21"/>
              </w:rPr>
            </w:pPr>
          </w:p>
        </w:tc>
        <w:tc>
          <w:tcPr>
            <w:tcW w:w="992" w:type="dxa"/>
            <w:vMerge/>
            <w:vAlign w:val="center"/>
          </w:tcPr>
          <w:p w:rsidR="008D6F13" w:rsidRPr="00BF30D3" w:rsidRDefault="008D6F13" w:rsidP="004476C6">
            <w:pPr>
              <w:widowControl/>
              <w:spacing w:line="360" w:lineRule="auto"/>
              <w:jc w:val="left"/>
              <w:rPr>
                <w:rFonts w:ascii="宋体" w:hAnsi="宋体" w:cs="宋体"/>
                <w:kern w:val="0"/>
                <w:szCs w:val="21"/>
              </w:rPr>
            </w:pPr>
          </w:p>
        </w:tc>
        <w:tc>
          <w:tcPr>
            <w:tcW w:w="851" w:type="dxa"/>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直接</w:t>
            </w:r>
          </w:p>
        </w:tc>
        <w:tc>
          <w:tcPr>
            <w:tcW w:w="708" w:type="dxa"/>
            <w:shd w:val="clear" w:color="auto" w:fill="auto"/>
            <w:vAlign w:val="center"/>
          </w:tcPr>
          <w:p w:rsidR="008D6F13" w:rsidRPr="00BF30D3" w:rsidRDefault="007E6C9D" w:rsidP="004476C6">
            <w:pPr>
              <w:widowControl/>
              <w:spacing w:line="360" w:lineRule="auto"/>
              <w:jc w:val="center"/>
              <w:rPr>
                <w:rFonts w:ascii="宋体" w:hAnsi="宋体" w:cs="宋体"/>
                <w:kern w:val="0"/>
                <w:szCs w:val="21"/>
              </w:rPr>
            </w:pPr>
            <w:r w:rsidRPr="00BF30D3">
              <w:rPr>
                <w:rFonts w:ascii="宋体" w:hAnsi="宋体" w:cs="宋体" w:hint="eastAsia"/>
                <w:kern w:val="0"/>
                <w:szCs w:val="21"/>
              </w:rPr>
              <w:t>间接</w:t>
            </w:r>
          </w:p>
        </w:tc>
        <w:tc>
          <w:tcPr>
            <w:tcW w:w="993" w:type="dxa"/>
            <w:vMerge/>
            <w:vAlign w:val="center"/>
          </w:tcPr>
          <w:p w:rsidR="008D6F13" w:rsidRPr="00BF30D3" w:rsidRDefault="008D6F13" w:rsidP="004476C6">
            <w:pPr>
              <w:widowControl/>
              <w:spacing w:line="360" w:lineRule="auto"/>
              <w:jc w:val="left"/>
              <w:rPr>
                <w:rFonts w:ascii="宋体" w:hAnsi="宋体" w:cs="宋体"/>
                <w:kern w:val="0"/>
                <w:szCs w:val="21"/>
              </w:rPr>
            </w:pPr>
          </w:p>
        </w:tc>
      </w:tr>
      <w:tr w:rsidR="008D6F13" w:rsidRPr="00BF30D3" w:rsidTr="00BD565A">
        <w:trPr>
          <w:trHeight w:val="515"/>
        </w:trPr>
        <w:tc>
          <w:tcPr>
            <w:tcW w:w="2694" w:type="dxa"/>
            <w:shd w:val="clear" w:color="auto" w:fill="auto"/>
            <w:vAlign w:val="center"/>
          </w:tcPr>
          <w:p w:rsidR="008D6F13" w:rsidRPr="00BF30D3" w:rsidRDefault="007E6C9D" w:rsidP="00883896">
            <w:pPr>
              <w:widowControl/>
              <w:spacing w:line="240" w:lineRule="atLeast"/>
              <w:rPr>
                <w:rFonts w:ascii="宋体" w:hAnsi="宋体" w:cs="宋体"/>
                <w:kern w:val="0"/>
                <w:szCs w:val="21"/>
              </w:rPr>
            </w:pPr>
            <w:r w:rsidRPr="00BF30D3">
              <w:rPr>
                <w:rFonts w:ascii="宋体" w:hAnsi="宋体" w:cs="宋体" w:hint="eastAsia"/>
                <w:kern w:val="0"/>
                <w:szCs w:val="21"/>
              </w:rPr>
              <w:t>上海启</w:t>
            </w:r>
            <w:proofErr w:type="gramStart"/>
            <w:r w:rsidRPr="00BF30D3">
              <w:rPr>
                <w:rFonts w:ascii="宋体" w:hAnsi="宋体" w:cs="宋体" w:hint="eastAsia"/>
                <w:kern w:val="0"/>
                <w:szCs w:val="21"/>
              </w:rPr>
              <w:t>澜</w:t>
            </w:r>
            <w:proofErr w:type="gramEnd"/>
            <w:r w:rsidRPr="00BF30D3">
              <w:rPr>
                <w:rFonts w:ascii="宋体" w:hAnsi="宋体" w:cs="宋体" w:hint="eastAsia"/>
                <w:kern w:val="0"/>
                <w:szCs w:val="21"/>
              </w:rPr>
              <w:t>企业管理咨询合伙企业（有限合伙）</w:t>
            </w:r>
          </w:p>
        </w:tc>
        <w:tc>
          <w:tcPr>
            <w:tcW w:w="1134" w:type="dxa"/>
            <w:shd w:val="clear" w:color="auto" w:fill="auto"/>
            <w:vAlign w:val="center"/>
          </w:tcPr>
          <w:p w:rsidR="008D6F13" w:rsidRPr="00BF30D3" w:rsidRDefault="007E6C9D" w:rsidP="00883896">
            <w:pPr>
              <w:widowControl/>
              <w:spacing w:line="240" w:lineRule="atLeast"/>
              <w:jc w:val="center"/>
              <w:rPr>
                <w:rFonts w:ascii="宋体" w:hAnsi="宋体" w:cs="宋体"/>
                <w:kern w:val="0"/>
                <w:szCs w:val="21"/>
              </w:rPr>
            </w:pPr>
            <w:r w:rsidRPr="00BF30D3">
              <w:rPr>
                <w:rFonts w:ascii="宋体" w:hAnsi="宋体" w:cs="宋体" w:hint="eastAsia"/>
                <w:kern w:val="0"/>
                <w:szCs w:val="21"/>
              </w:rPr>
              <w:t>上海市</w:t>
            </w:r>
          </w:p>
        </w:tc>
        <w:tc>
          <w:tcPr>
            <w:tcW w:w="992" w:type="dxa"/>
            <w:shd w:val="clear" w:color="auto" w:fill="auto"/>
            <w:vAlign w:val="center"/>
          </w:tcPr>
          <w:p w:rsidR="008D6F13" w:rsidRPr="00BF30D3" w:rsidRDefault="007E6C9D" w:rsidP="00883896">
            <w:pPr>
              <w:widowControl/>
              <w:spacing w:line="240" w:lineRule="atLeast"/>
              <w:jc w:val="center"/>
              <w:rPr>
                <w:rFonts w:ascii="宋体" w:hAnsi="宋体" w:cs="宋体"/>
                <w:kern w:val="0"/>
                <w:szCs w:val="21"/>
              </w:rPr>
            </w:pPr>
            <w:r w:rsidRPr="00BF30D3">
              <w:rPr>
                <w:rFonts w:ascii="宋体" w:hAnsi="宋体" w:cs="宋体" w:hint="eastAsia"/>
                <w:kern w:val="0"/>
                <w:szCs w:val="21"/>
              </w:rPr>
              <w:t>上海市</w:t>
            </w:r>
          </w:p>
        </w:tc>
        <w:tc>
          <w:tcPr>
            <w:tcW w:w="992" w:type="dxa"/>
            <w:shd w:val="clear" w:color="auto" w:fill="auto"/>
            <w:vAlign w:val="center"/>
          </w:tcPr>
          <w:p w:rsidR="008D6F13" w:rsidRPr="00BF30D3" w:rsidRDefault="007E6C9D" w:rsidP="00883896">
            <w:pPr>
              <w:widowControl/>
              <w:spacing w:line="240" w:lineRule="atLeast"/>
              <w:jc w:val="center"/>
              <w:rPr>
                <w:rFonts w:ascii="宋体" w:hAnsi="宋体" w:cs="宋体"/>
                <w:kern w:val="0"/>
                <w:szCs w:val="21"/>
              </w:rPr>
            </w:pPr>
            <w:r w:rsidRPr="00BF30D3">
              <w:rPr>
                <w:rFonts w:ascii="宋体" w:hAnsi="宋体" w:cs="宋体" w:hint="eastAsia"/>
                <w:kern w:val="0"/>
                <w:szCs w:val="21"/>
              </w:rPr>
              <w:t>投资</w:t>
            </w:r>
          </w:p>
        </w:tc>
        <w:tc>
          <w:tcPr>
            <w:tcW w:w="851" w:type="dxa"/>
            <w:shd w:val="clear" w:color="auto" w:fill="auto"/>
            <w:vAlign w:val="center"/>
          </w:tcPr>
          <w:p w:rsidR="008D6F13" w:rsidRPr="00BF30D3" w:rsidRDefault="007E6C9D" w:rsidP="00883896">
            <w:pPr>
              <w:widowControl/>
              <w:spacing w:line="240" w:lineRule="atLeast"/>
              <w:jc w:val="right"/>
              <w:rPr>
                <w:rFonts w:ascii="宋体" w:hAnsi="宋体" w:cs="宋体"/>
                <w:kern w:val="0"/>
                <w:szCs w:val="21"/>
              </w:rPr>
            </w:pPr>
            <w:r w:rsidRPr="00BF30D3">
              <w:rPr>
                <w:rFonts w:ascii="宋体" w:hAnsi="宋体" w:cs="宋体" w:hint="eastAsia"/>
                <w:kern w:val="0"/>
                <w:szCs w:val="21"/>
              </w:rPr>
              <w:t xml:space="preserve">100　</w:t>
            </w:r>
          </w:p>
        </w:tc>
        <w:tc>
          <w:tcPr>
            <w:tcW w:w="708" w:type="dxa"/>
            <w:shd w:val="clear" w:color="auto" w:fill="auto"/>
            <w:vAlign w:val="center"/>
          </w:tcPr>
          <w:p w:rsidR="008D6F13" w:rsidRPr="00BF30D3" w:rsidRDefault="008D6F13" w:rsidP="00883896">
            <w:pPr>
              <w:widowControl/>
              <w:spacing w:line="240" w:lineRule="atLeast"/>
              <w:jc w:val="center"/>
              <w:rPr>
                <w:rFonts w:ascii="宋体" w:hAnsi="宋体" w:cs="宋体"/>
                <w:kern w:val="0"/>
                <w:szCs w:val="21"/>
              </w:rPr>
            </w:pPr>
          </w:p>
        </w:tc>
        <w:tc>
          <w:tcPr>
            <w:tcW w:w="993" w:type="dxa"/>
            <w:shd w:val="clear" w:color="auto" w:fill="auto"/>
            <w:vAlign w:val="center"/>
          </w:tcPr>
          <w:p w:rsidR="008D6F13" w:rsidRPr="00BF30D3" w:rsidRDefault="007E6C9D" w:rsidP="00883896">
            <w:pPr>
              <w:widowControl/>
              <w:spacing w:line="240" w:lineRule="atLeast"/>
              <w:jc w:val="center"/>
              <w:rPr>
                <w:rFonts w:ascii="宋体" w:hAnsi="宋体" w:cs="宋体"/>
                <w:kern w:val="0"/>
                <w:szCs w:val="21"/>
              </w:rPr>
            </w:pPr>
            <w:r w:rsidRPr="00BF30D3">
              <w:rPr>
                <w:rFonts w:ascii="宋体" w:hAnsi="宋体" w:cs="宋体" w:hint="eastAsia"/>
                <w:kern w:val="0"/>
                <w:szCs w:val="21"/>
              </w:rPr>
              <w:t>设立</w:t>
            </w:r>
          </w:p>
        </w:tc>
      </w:tr>
    </w:tbl>
    <w:p w:rsidR="008D6F13" w:rsidRPr="00A24C1D" w:rsidRDefault="008D6F13" w:rsidP="004476C6">
      <w:pPr>
        <w:autoSpaceDE w:val="0"/>
        <w:autoSpaceDN w:val="0"/>
        <w:adjustRightInd w:val="0"/>
        <w:spacing w:line="360" w:lineRule="auto"/>
        <w:rPr>
          <w:rFonts w:ascii="宋体" w:hAnsi="宋体"/>
          <w:kern w:val="0"/>
          <w:sz w:val="24"/>
          <w:szCs w:val="24"/>
          <w:lang w:val="zh-CN"/>
        </w:rPr>
      </w:pPr>
    </w:p>
    <w:p w:rsidR="008D6F13" w:rsidRPr="00A24C1D" w:rsidRDefault="007E6C9D" w:rsidP="004476C6">
      <w:pPr>
        <w:autoSpaceDE w:val="0"/>
        <w:autoSpaceDN w:val="0"/>
        <w:adjustRightInd w:val="0"/>
        <w:spacing w:line="360" w:lineRule="auto"/>
        <w:ind w:firstLineChars="200" w:firstLine="480"/>
        <w:rPr>
          <w:rFonts w:ascii="宋体" w:hAnsi="宋体"/>
          <w:kern w:val="0"/>
          <w:sz w:val="24"/>
          <w:szCs w:val="24"/>
          <w:lang w:val="zh-CN"/>
        </w:rPr>
      </w:pPr>
      <w:r w:rsidRPr="00A24C1D">
        <w:rPr>
          <w:rFonts w:ascii="宋体" w:hAnsi="宋体" w:hint="eastAsia"/>
          <w:kern w:val="0"/>
          <w:sz w:val="24"/>
          <w:szCs w:val="24"/>
          <w:lang w:val="zh-CN"/>
        </w:rPr>
        <w:t>（二）主要子公司财务数据</w:t>
      </w:r>
    </w:p>
    <w:p w:rsidR="008D6F13" w:rsidRPr="00A24C1D" w:rsidRDefault="007E6C9D" w:rsidP="004476C6">
      <w:pPr>
        <w:autoSpaceDE w:val="0"/>
        <w:autoSpaceDN w:val="0"/>
        <w:adjustRightInd w:val="0"/>
        <w:spacing w:line="360" w:lineRule="auto"/>
        <w:ind w:firstLineChars="200" w:firstLine="480"/>
        <w:rPr>
          <w:rFonts w:ascii="宋体" w:hAnsi="宋体"/>
          <w:sz w:val="24"/>
          <w:szCs w:val="24"/>
        </w:rPr>
      </w:pPr>
      <w:r w:rsidRPr="00A24C1D">
        <w:rPr>
          <w:rFonts w:ascii="宋体" w:hAnsi="宋体" w:hint="eastAsia"/>
          <w:kern w:val="0"/>
          <w:sz w:val="24"/>
          <w:szCs w:val="24"/>
          <w:lang w:val="zh-CN"/>
        </w:rPr>
        <w:t>江</w:t>
      </w:r>
      <w:r w:rsidRPr="00A24C1D">
        <w:rPr>
          <w:rFonts w:ascii="宋体" w:hAnsi="宋体" w:hint="eastAsia"/>
          <w:sz w:val="24"/>
          <w:szCs w:val="24"/>
        </w:rPr>
        <w:t>阴华西化工码头有限公司2024年度实现营业收入22,597.69万元，较上年度减少了24.11%，实现净利润6,997.70万元，较上年度减少了19.25%。江阴华西</w:t>
      </w:r>
      <w:proofErr w:type="gramStart"/>
      <w:r w:rsidRPr="00A24C1D">
        <w:rPr>
          <w:rFonts w:ascii="宋体" w:hAnsi="宋体" w:hint="eastAsia"/>
          <w:sz w:val="24"/>
          <w:szCs w:val="24"/>
        </w:rPr>
        <w:t>村资本</w:t>
      </w:r>
      <w:proofErr w:type="gramEnd"/>
      <w:r w:rsidRPr="00A24C1D">
        <w:rPr>
          <w:rFonts w:ascii="宋体" w:hAnsi="宋体" w:hint="eastAsia"/>
          <w:sz w:val="24"/>
          <w:szCs w:val="24"/>
        </w:rPr>
        <w:t>有限公司2024年度实现营业收入92,277.55万元，较上年度增加了29.99%，实现净利润925.33万元, 较上年度增加了284.16%。部分财务数据如下：</w:t>
      </w:r>
    </w:p>
    <w:tbl>
      <w:tblPr>
        <w:tblW w:w="8556" w:type="dxa"/>
        <w:tblInd w:w="-34" w:type="dxa"/>
        <w:tblLook w:val="04A0" w:firstRow="1" w:lastRow="0" w:firstColumn="1" w:lastColumn="0" w:noHBand="0" w:noVBand="1"/>
      </w:tblPr>
      <w:tblGrid>
        <w:gridCol w:w="1638"/>
        <w:gridCol w:w="762"/>
        <w:gridCol w:w="1341"/>
        <w:gridCol w:w="1077"/>
        <w:gridCol w:w="1278"/>
        <w:gridCol w:w="1276"/>
        <w:gridCol w:w="1184"/>
      </w:tblGrid>
      <w:tr w:rsidR="003F4D74" w:rsidRPr="00A24C1D" w:rsidTr="00281D7F">
        <w:trPr>
          <w:trHeight w:val="375"/>
        </w:trPr>
        <w:tc>
          <w:tcPr>
            <w:tcW w:w="8556" w:type="dxa"/>
            <w:gridSpan w:val="7"/>
            <w:tcBorders>
              <w:top w:val="nil"/>
              <w:left w:val="nil"/>
              <w:bottom w:val="nil"/>
              <w:right w:val="nil"/>
            </w:tcBorders>
            <w:shd w:val="clear" w:color="auto" w:fill="auto"/>
            <w:noWrap/>
            <w:vAlign w:val="center"/>
          </w:tcPr>
          <w:p w:rsidR="003F4D74" w:rsidRPr="00A24C1D" w:rsidRDefault="003F4D74" w:rsidP="004476C6">
            <w:pPr>
              <w:widowControl/>
              <w:spacing w:line="360" w:lineRule="auto"/>
              <w:jc w:val="right"/>
              <w:rPr>
                <w:rFonts w:ascii="宋体" w:hAnsi="宋体" w:cs="宋体"/>
                <w:kern w:val="0"/>
                <w:sz w:val="24"/>
                <w:szCs w:val="24"/>
              </w:rPr>
            </w:pPr>
            <w:r w:rsidRPr="00A24C1D">
              <w:rPr>
                <w:rFonts w:ascii="宋体" w:hAnsi="宋体" w:cs="宋体" w:hint="eastAsia"/>
                <w:kern w:val="0"/>
                <w:sz w:val="24"/>
                <w:szCs w:val="24"/>
              </w:rPr>
              <w:t>单位：万元</w:t>
            </w:r>
          </w:p>
        </w:tc>
      </w:tr>
      <w:tr w:rsidR="008D6F13" w:rsidRPr="00A24C1D" w:rsidTr="005F2074">
        <w:trPr>
          <w:trHeight w:val="825"/>
        </w:trPr>
        <w:tc>
          <w:tcPr>
            <w:tcW w:w="163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4476C6">
            <w:pPr>
              <w:widowControl/>
              <w:adjustRightInd w:val="0"/>
              <w:snapToGrid w:val="0"/>
              <w:spacing w:line="360" w:lineRule="auto"/>
              <w:jc w:val="center"/>
              <w:rPr>
                <w:rFonts w:ascii="宋体" w:hAnsi="宋体" w:cs="宋体"/>
                <w:kern w:val="0"/>
                <w:szCs w:val="21"/>
              </w:rPr>
            </w:pPr>
            <w:r w:rsidRPr="005F2074">
              <w:rPr>
                <w:rFonts w:ascii="宋体" w:hAnsi="宋体" w:cs="宋体" w:hint="eastAsia"/>
                <w:kern w:val="0"/>
                <w:szCs w:val="21"/>
              </w:rPr>
              <w:t>单位名称</w:t>
            </w:r>
          </w:p>
        </w:tc>
        <w:tc>
          <w:tcPr>
            <w:tcW w:w="762"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4476C6">
            <w:pPr>
              <w:widowControl/>
              <w:adjustRightInd w:val="0"/>
              <w:snapToGrid w:val="0"/>
              <w:spacing w:line="360" w:lineRule="auto"/>
              <w:jc w:val="center"/>
              <w:rPr>
                <w:rFonts w:ascii="宋体" w:hAnsi="宋体" w:cs="宋体"/>
                <w:kern w:val="0"/>
                <w:szCs w:val="21"/>
              </w:rPr>
            </w:pPr>
            <w:r w:rsidRPr="005F2074">
              <w:rPr>
                <w:rFonts w:ascii="宋体" w:hAnsi="宋体" w:cs="宋体" w:hint="eastAsia"/>
                <w:kern w:val="0"/>
                <w:szCs w:val="21"/>
              </w:rPr>
              <w:t>持股</w:t>
            </w:r>
            <w:r w:rsidR="005F2074">
              <w:rPr>
                <w:rFonts w:ascii="宋体" w:hAnsi="宋体" w:cs="宋体" w:hint="eastAsia"/>
                <w:kern w:val="0"/>
                <w:szCs w:val="21"/>
              </w:rPr>
              <w:t xml:space="preserve">  </w:t>
            </w:r>
            <w:r w:rsidRPr="005F2074">
              <w:rPr>
                <w:rFonts w:ascii="宋体" w:hAnsi="宋体" w:cs="宋体" w:hint="eastAsia"/>
                <w:kern w:val="0"/>
                <w:szCs w:val="21"/>
              </w:rPr>
              <w:t>比例</w:t>
            </w:r>
          </w:p>
        </w:tc>
        <w:tc>
          <w:tcPr>
            <w:tcW w:w="1341"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4476C6">
            <w:pPr>
              <w:widowControl/>
              <w:adjustRightInd w:val="0"/>
              <w:snapToGrid w:val="0"/>
              <w:spacing w:line="360" w:lineRule="auto"/>
              <w:jc w:val="center"/>
              <w:rPr>
                <w:rFonts w:ascii="宋体" w:hAnsi="宋体" w:cs="宋体"/>
                <w:kern w:val="0"/>
                <w:szCs w:val="21"/>
              </w:rPr>
            </w:pPr>
            <w:r w:rsidRPr="005F2074">
              <w:rPr>
                <w:rFonts w:ascii="宋体" w:hAnsi="宋体" w:cs="宋体" w:hint="eastAsia"/>
                <w:kern w:val="0"/>
                <w:szCs w:val="21"/>
              </w:rPr>
              <w:t>资产总额</w:t>
            </w:r>
          </w:p>
        </w:tc>
        <w:tc>
          <w:tcPr>
            <w:tcW w:w="1077"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4476C6">
            <w:pPr>
              <w:widowControl/>
              <w:adjustRightInd w:val="0"/>
              <w:snapToGrid w:val="0"/>
              <w:spacing w:line="360" w:lineRule="auto"/>
              <w:jc w:val="center"/>
              <w:rPr>
                <w:rFonts w:ascii="宋体" w:hAnsi="宋体" w:cs="宋体"/>
                <w:kern w:val="0"/>
                <w:szCs w:val="21"/>
              </w:rPr>
            </w:pPr>
            <w:r w:rsidRPr="005F2074">
              <w:rPr>
                <w:rFonts w:ascii="宋体" w:hAnsi="宋体" w:cs="宋体" w:hint="eastAsia"/>
                <w:kern w:val="0"/>
                <w:szCs w:val="21"/>
              </w:rPr>
              <w:t>负债总额</w:t>
            </w:r>
          </w:p>
        </w:tc>
        <w:tc>
          <w:tcPr>
            <w:tcW w:w="1278"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4476C6">
            <w:pPr>
              <w:widowControl/>
              <w:adjustRightInd w:val="0"/>
              <w:snapToGrid w:val="0"/>
              <w:spacing w:line="360" w:lineRule="auto"/>
              <w:jc w:val="center"/>
              <w:rPr>
                <w:rFonts w:ascii="宋体" w:hAnsi="宋体" w:cs="宋体"/>
                <w:kern w:val="0"/>
                <w:szCs w:val="21"/>
              </w:rPr>
            </w:pPr>
            <w:r w:rsidRPr="005F2074">
              <w:rPr>
                <w:rFonts w:ascii="宋体" w:hAnsi="宋体" w:cs="宋体" w:hint="eastAsia"/>
                <w:kern w:val="0"/>
                <w:szCs w:val="21"/>
              </w:rPr>
              <w:t>股东权益</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4476C6">
            <w:pPr>
              <w:widowControl/>
              <w:adjustRightInd w:val="0"/>
              <w:snapToGrid w:val="0"/>
              <w:spacing w:line="360" w:lineRule="auto"/>
              <w:jc w:val="center"/>
              <w:rPr>
                <w:rFonts w:ascii="宋体" w:hAnsi="宋体" w:cs="宋体"/>
                <w:kern w:val="0"/>
                <w:szCs w:val="21"/>
              </w:rPr>
            </w:pPr>
            <w:r w:rsidRPr="005F2074">
              <w:rPr>
                <w:rFonts w:ascii="宋体" w:hAnsi="宋体" w:cs="宋体" w:hint="eastAsia"/>
                <w:kern w:val="0"/>
                <w:szCs w:val="21"/>
              </w:rPr>
              <w:t>营业收入</w:t>
            </w:r>
          </w:p>
        </w:tc>
        <w:tc>
          <w:tcPr>
            <w:tcW w:w="1184"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4476C6">
            <w:pPr>
              <w:widowControl/>
              <w:adjustRightInd w:val="0"/>
              <w:snapToGrid w:val="0"/>
              <w:spacing w:line="360" w:lineRule="auto"/>
              <w:jc w:val="center"/>
              <w:rPr>
                <w:rFonts w:ascii="宋体" w:hAnsi="宋体"/>
                <w:kern w:val="0"/>
                <w:szCs w:val="21"/>
              </w:rPr>
            </w:pPr>
            <w:r w:rsidRPr="005F2074">
              <w:rPr>
                <w:rFonts w:ascii="宋体" w:hAnsi="宋体" w:cs="宋体" w:hint="eastAsia"/>
                <w:kern w:val="0"/>
                <w:szCs w:val="21"/>
              </w:rPr>
              <w:t>净利润</w:t>
            </w:r>
          </w:p>
        </w:tc>
      </w:tr>
      <w:tr w:rsidR="008D6F13" w:rsidRPr="00A24C1D" w:rsidTr="005F2074">
        <w:trPr>
          <w:trHeight w:val="870"/>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883896">
            <w:pPr>
              <w:widowControl/>
              <w:adjustRightInd w:val="0"/>
              <w:snapToGrid w:val="0"/>
              <w:spacing w:line="240" w:lineRule="atLeast"/>
              <w:jc w:val="left"/>
              <w:rPr>
                <w:rFonts w:ascii="宋体" w:hAnsi="宋体" w:cs="宋体"/>
                <w:kern w:val="0"/>
                <w:szCs w:val="21"/>
              </w:rPr>
            </w:pPr>
            <w:r w:rsidRPr="005F2074">
              <w:rPr>
                <w:rFonts w:ascii="宋体" w:hAnsi="宋体" w:cs="宋体" w:hint="eastAsia"/>
                <w:kern w:val="0"/>
                <w:szCs w:val="21"/>
              </w:rPr>
              <w:t>江阴华西化工码头有限公司</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widowControl/>
              <w:adjustRightInd w:val="0"/>
              <w:snapToGrid w:val="0"/>
              <w:spacing w:line="240" w:lineRule="atLeast"/>
              <w:jc w:val="center"/>
              <w:rPr>
                <w:rFonts w:ascii="宋体" w:hAnsi="宋体"/>
                <w:kern w:val="0"/>
                <w:szCs w:val="21"/>
              </w:rPr>
            </w:pPr>
            <w:r w:rsidRPr="005F2074">
              <w:rPr>
                <w:rFonts w:ascii="宋体" w:hAnsi="宋体"/>
                <w:kern w:val="0"/>
                <w:szCs w:val="21"/>
              </w:rPr>
              <w:t>100%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48,530.02</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3,323.32</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45,206.70</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22,597.69</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6,997.70</w:t>
            </w:r>
          </w:p>
        </w:tc>
      </w:tr>
      <w:tr w:rsidR="008D6F13" w:rsidRPr="00A24C1D" w:rsidTr="005F2074">
        <w:trPr>
          <w:trHeight w:val="825"/>
        </w:trPr>
        <w:tc>
          <w:tcPr>
            <w:tcW w:w="1638"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5F2074" w:rsidRDefault="007E6C9D" w:rsidP="00883896">
            <w:pPr>
              <w:widowControl/>
              <w:adjustRightInd w:val="0"/>
              <w:snapToGrid w:val="0"/>
              <w:spacing w:line="240" w:lineRule="atLeast"/>
              <w:jc w:val="left"/>
              <w:rPr>
                <w:rFonts w:ascii="宋体" w:hAnsi="宋体" w:cs="宋体"/>
                <w:kern w:val="0"/>
                <w:szCs w:val="21"/>
              </w:rPr>
            </w:pPr>
            <w:r w:rsidRPr="005F2074">
              <w:rPr>
                <w:rFonts w:ascii="宋体" w:hAnsi="宋体" w:cs="宋体" w:hint="eastAsia"/>
                <w:kern w:val="0"/>
                <w:szCs w:val="21"/>
              </w:rPr>
              <w:lastRenderedPageBreak/>
              <w:t>江阴华西</w:t>
            </w:r>
            <w:proofErr w:type="gramStart"/>
            <w:r w:rsidRPr="005F2074">
              <w:rPr>
                <w:rFonts w:ascii="宋体" w:hAnsi="宋体" w:cs="宋体" w:hint="eastAsia"/>
                <w:kern w:val="0"/>
                <w:szCs w:val="21"/>
              </w:rPr>
              <w:t>村资本</w:t>
            </w:r>
            <w:proofErr w:type="gramEnd"/>
            <w:r w:rsidRPr="005F2074">
              <w:rPr>
                <w:rFonts w:ascii="宋体" w:hAnsi="宋体" w:cs="宋体" w:hint="eastAsia"/>
                <w:kern w:val="0"/>
                <w:szCs w:val="21"/>
              </w:rPr>
              <w:t>有限公司</w:t>
            </w:r>
          </w:p>
        </w:tc>
        <w:tc>
          <w:tcPr>
            <w:tcW w:w="762"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widowControl/>
              <w:adjustRightInd w:val="0"/>
              <w:snapToGrid w:val="0"/>
              <w:spacing w:line="240" w:lineRule="atLeast"/>
              <w:jc w:val="center"/>
              <w:rPr>
                <w:rFonts w:ascii="宋体" w:hAnsi="宋体"/>
                <w:kern w:val="0"/>
                <w:szCs w:val="21"/>
              </w:rPr>
            </w:pPr>
            <w:r w:rsidRPr="005F2074">
              <w:rPr>
                <w:rFonts w:ascii="宋体" w:hAnsi="宋体"/>
                <w:kern w:val="0"/>
                <w:szCs w:val="21"/>
              </w:rPr>
              <w:t>100%</w:t>
            </w:r>
          </w:p>
        </w:tc>
        <w:tc>
          <w:tcPr>
            <w:tcW w:w="134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75,818.47</w:t>
            </w:r>
          </w:p>
        </w:tc>
        <w:tc>
          <w:tcPr>
            <w:tcW w:w="1077"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105.93</w:t>
            </w:r>
          </w:p>
        </w:tc>
        <w:tc>
          <w:tcPr>
            <w:tcW w:w="127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75,712.54</w:t>
            </w:r>
          </w:p>
        </w:tc>
        <w:tc>
          <w:tcPr>
            <w:tcW w:w="1276"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92,277.55</w:t>
            </w:r>
          </w:p>
        </w:tc>
        <w:tc>
          <w:tcPr>
            <w:tcW w:w="1184"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5F2074" w:rsidRDefault="007E6C9D" w:rsidP="00883896">
            <w:pPr>
              <w:adjustRightInd w:val="0"/>
              <w:snapToGrid w:val="0"/>
              <w:spacing w:line="240" w:lineRule="atLeast"/>
              <w:jc w:val="right"/>
              <w:rPr>
                <w:rFonts w:ascii="宋体" w:hAnsi="宋体" w:cs="宋体"/>
                <w:kern w:val="0"/>
                <w:szCs w:val="21"/>
              </w:rPr>
            </w:pPr>
            <w:r w:rsidRPr="005F2074">
              <w:rPr>
                <w:rFonts w:ascii="宋体" w:hAnsi="宋体" w:cs="宋体" w:hint="eastAsia"/>
                <w:kern w:val="0"/>
                <w:szCs w:val="21"/>
              </w:rPr>
              <w:t>925.33</w:t>
            </w:r>
          </w:p>
        </w:tc>
      </w:tr>
    </w:tbl>
    <w:p w:rsidR="008D6F13" w:rsidRPr="00A24C1D" w:rsidRDefault="007E6C9D" w:rsidP="004476C6">
      <w:pPr>
        <w:snapToGrid w:val="0"/>
        <w:spacing w:line="360" w:lineRule="auto"/>
        <w:rPr>
          <w:rFonts w:ascii="宋体" w:hAnsi="宋体"/>
          <w:sz w:val="24"/>
          <w:szCs w:val="24"/>
        </w:rPr>
      </w:pPr>
      <w:r w:rsidRPr="00A24C1D">
        <w:rPr>
          <w:rFonts w:ascii="宋体" w:hAnsi="宋体" w:hint="eastAsia"/>
          <w:sz w:val="24"/>
          <w:szCs w:val="24"/>
        </w:rPr>
        <w:t>（注：系各单位合并报表数据）</w:t>
      </w:r>
    </w:p>
    <w:p w:rsidR="008D6F13" w:rsidRPr="00A24C1D" w:rsidRDefault="007E6C9D" w:rsidP="00DC526A">
      <w:pPr>
        <w:autoSpaceDE w:val="0"/>
        <w:autoSpaceDN w:val="0"/>
        <w:adjustRightInd w:val="0"/>
        <w:spacing w:line="360" w:lineRule="auto"/>
        <w:ind w:firstLineChars="200" w:firstLine="482"/>
        <w:rPr>
          <w:rFonts w:ascii="宋体" w:hAnsi="宋体"/>
          <w:b/>
          <w:kern w:val="0"/>
          <w:sz w:val="24"/>
          <w:szCs w:val="24"/>
          <w:lang w:val="zh-CN"/>
        </w:rPr>
      </w:pPr>
      <w:r w:rsidRPr="00A24C1D">
        <w:rPr>
          <w:rFonts w:ascii="宋体" w:hAnsi="宋体" w:hint="eastAsia"/>
          <w:b/>
          <w:kern w:val="0"/>
          <w:sz w:val="24"/>
          <w:szCs w:val="24"/>
          <w:lang w:val="zh-CN"/>
        </w:rPr>
        <w:t>五、其他主要财务指标</w:t>
      </w:r>
    </w:p>
    <w:tbl>
      <w:tblPr>
        <w:tblW w:w="8379" w:type="dxa"/>
        <w:tblInd w:w="93" w:type="dxa"/>
        <w:tblLook w:val="04A0" w:firstRow="1" w:lastRow="0" w:firstColumn="1" w:lastColumn="0" w:noHBand="0" w:noVBand="1"/>
      </w:tblPr>
      <w:tblGrid>
        <w:gridCol w:w="2895"/>
        <w:gridCol w:w="1940"/>
        <w:gridCol w:w="1843"/>
        <w:gridCol w:w="1701"/>
      </w:tblGrid>
      <w:tr w:rsidR="008D6F13" w:rsidRPr="00BD565A" w:rsidTr="00BD565A">
        <w:trPr>
          <w:trHeight w:val="558"/>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财务指标</w:t>
            </w:r>
          </w:p>
        </w:tc>
        <w:tc>
          <w:tcPr>
            <w:tcW w:w="1940" w:type="dxa"/>
            <w:tcBorders>
              <w:top w:val="single" w:sz="4" w:space="0" w:color="auto"/>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kern w:val="0"/>
                <w:szCs w:val="21"/>
              </w:rPr>
              <w:t>2024年</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kern w:val="0"/>
                <w:szCs w:val="21"/>
              </w:rPr>
              <w:t>20</w:t>
            </w:r>
            <w:r w:rsidRPr="00BD565A">
              <w:rPr>
                <w:rFonts w:ascii="宋体" w:hAnsi="宋体" w:cs="宋体" w:hint="eastAsia"/>
                <w:kern w:val="0"/>
                <w:szCs w:val="21"/>
              </w:rPr>
              <w:t>23年</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增减</w:t>
            </w:r>
            <w:r w:rsidRPr="00BD565A">
              <w:rPr>
                <w:rFonts w:ascii="宋体" w:hAnsi="宋体" w:cs="宋体"/>
                <w:kern w:val="0"/>
                <w:szCs w:val="21"/>
              </w:rPr>
              <w:t>+</w:t>
            </w:r>
            <w:r w:rsidR="00B43456" w:rsidRPr="00BD565A">
              <w:rPr>
                <w:rFonts w:ascii="宋体" w:hAnsi="宋体" w:cs="宋体" w:hint="eastAsia"/>
                <w:kern w:val="0"/>
                <w:szCs w:val="21"/>
              </w:rPr>
              <w:t>/</w:t>
            </w:r>
            <w:r w:rsidRPr="00BD565A">
              <w:rPr>
                <w:rFonts w:ascii="宋体" w:hAnsi="宋体" w:cs="宋体"/>
                <w:kern w:val="0"/>
                <w:szCs w:val="21"/>
              </w:rPr>
              <w:t>-</w:t>
            </w:r>
          </w:p>
        </w:tc>
      </w:tr>
      <w:tr w:rsidR="008D6F13" w:rsidRPr="00BD565A" w:rsidTr="00BD565A">
        <w:trPr>
          <w:trHeight w:val="611"/>
        </w:trPr>
        <w:tc>
          <w:tcPr>
            <w:tcW w:w="2895" w:type="dxa"/>
            <w:tcBorders>
              <w:top w:val="nil"/>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bookmarkStart w:id="6" w:name="_Hlk195773592"/>
            <w:r w:rsidRPr="00BD565A">
              <w:rPr>
                <w:rFonts w:ascii="宋体" w:hAnsi="宋体" w:cs="宋体" w:hint="eastAsia"/>
                <w:kern w:val="0"/>
                <w:szCs w:val="21"/>
              </w:rPr>
              <w:t>净利润率</w:t>
            </w:r>
          </w:p>
        </w:tc>
        <w:tc>
          <w:tcPr>
            <w:tcW w:w="1940"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3.60%</w:t>
            </w:r>
          </w:p>
        </w:tc>
        <w:tc>
          <w:tcPr>
            <w:tcW w:w="1843"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szCs w:val="21"/>
              </w:rPr>
            </w:pPr>
            <w:r w:rsidRPr="00BD565A">
              <w:rPr>
                <w:rFonts w:ascii="宋体" w:hAnsi="宋体" w:cs="宋体" w:hint="eastAsia"/>
                <w:color w:val="000000"/>
                <w:kern w:val="0"/>
                <w:szCs w:val="21"/>
              </w:rPr>
              <w:t>2.53%</w:t>
            </w:r>
          </w:p>
        </w:tc>
        <w:tc>
          <w:tcPr>
            <w:tcW w:w="1701"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1.07%</w:t>
            </w:r>
          </w:p>
        </w:tc>
      </w:tr>
      <w:tr w:rsidR="008D6F13" w:rsidRPr="00BD565A" w:rsidTr="00BD565A">
        <w:trPr>
          <w:trHeight w:val="647"/>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加权平均净资产收益率</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2.28%</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szCs w:val="21"/>
              </w:rPr>
            </w:pPr>
            <w:r w:rsidRPr="00BD565A">
              <w:rPr>
                <w:rFonts w:ascii="宋体" w:hAnsi="宋体" w:cs="宋体" w:hint="eastAsia"/>
                <w:color w:val="000000"/>
                <w:kern w:val="0"/>
                <w:szCs w:val="21"/>
              </w:rPr>
              <w:t>1.42%</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0.86%</w:t>
            </w:r>
          </w:p>
        </w:tc>
      </w:tr>
      <w:tr w:rsidR="008D6F13" w:rsidRPr="00BD565A" w:rsidTr="00BD565A">
        <w:trPr>
          <w:trHeight w:val="846"/>
        </w:trPr>
        <w:tc>
          <w:tcPr>
            <w:tcW w:w="2895" w:type="dxa"/>
            <w:tcBorders>
              <w:top w:val="single" w:sz="4" w:space="0" w:color="auto"/>
              <w:left w:val="single" w:sz="4" w:space="0" w:color="auto"/>
              <w:bottom w:val="single" w:sz="4" w:space="0" w:color="auto"/>
              <w:right w:val="single" w:sz="4" w:space="0" w:color="auto"/>
            </w:tcBorders>
            <w:shd w:val="clear" w:color="auto" w:fill="auto"/>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加权平均净资产收益率（扣除非经常性损益）</w:t>
            </w:r>
          </w:p>
        </w:tc>
        <w:tc>
          <w:tcPr>
            <w:tcW w:w="1940" w:type="dxa"/>
            <w:tcBorders>
              <w:top w:val="single" w:sz="4" w:space="0" w:color="auto"/>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2.15%</w:t>
            </w:r>
          </w:p>
        </w:tc>
        <w:tc>
          <w:tcPr>
            <w:tcW w:w="1843" w:type="dxa"/>
            <w:tcBorders>
              <w:top w:val="single" w:sz="4" w:space="0" w:color="auto"/>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szCs w:val="21"/>
              </w:rPr>
            </w:pPr>
            <w:r w:rsidRPr="00BD565A">
              <w:rPr>
                <w:rFonts w:ascii="宋体" w:hAnsi="宋体" w:cs="宋体" w:hint="eastAsia"/>
                <w:color w:val="000000"/>
                <w:kern w:val="0"/>
                <w:szCs w:val="21"/>
              </w:rPr>
              <w:t>1.37%</w:t>
            </w:r>
          </w:p>
        </w:tc>
        <w:tc>
          <w:tcPr>
            <w:tcW w:w="1701" w:type="dxa"/>
            <w:tcBorders>
              <w:top w:val="single" w:sz="4" w:space="0" w:color="auto"/>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0.78%</w:t>
            </w:r>
          </w:p>
        </w:tc>
      </w:tr>
      <w:tr w:rsidR="008D6F13" w:rsidRPr="00BD565A" w:rsidTr="00BD565A">
        <w:trPr>
          <w:trHeight w:val="72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流动比率</w:t>
            </w:r>
          </w:p>
        </w:tc>
        <w:tc>
          <w:tcPr>
            <w:tcW w:w="1940"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1.20</w:t>
            </w:r>
          </w:p>
        </w:tc>
        <w:tc>
          <w:tcPr>
            <w:tcW w:w="1843"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1.29</w:t>
            </w:r>
          </w:p>
        </w:tc>
        <w:tc>
          <w:tcPr>
            <w:tcW w:w="1701"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-0.09</w:t>
            </w:r>
          </w:p>
        </w:tc>
      </w:tr>
      <w:tr w:rsidR="008D6F13" w:rsidRPr="00BD565A" w:rsidTr="00BD565A">
        <w:trPr>
          <w:trHeight w:val="60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速动比率</w:t>
            </w:r>
          </w:p>
        </w:tc>
        <w:tc>
          <w:tcPr>
            <w:tcW w:w="1940"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0.8</w:t>
            </w:r>
            <w:r w:rsidR="00FC317E" w:rsidRPr="00BD565A">
              <w:rPr>
                <w:rFonts w:ascii="宋体" w:hAnsi="宋体" w:cs="宋体" w:hint="eastAsia"/>
                <w:color w:val="000000"/>
                <w:kern w:val="0"/>
                <w:szCs w:val="21"/>
              </w:rPr>
              <w:t>7</w:t>
            </w:r>
          </w:p>
        </w:tc>
        <w:tc>
          <w:tcPr>
            <w:tcW w:w="1843"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1.03</w:t>
            </w:r>
          </w:p>
        </w:tc>
        <w:tc>
          <w:tcPr>
            <w:tcW w:w="1701"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-0.1</w:t>
            </w:r>
            <w:r w:rsidR="00FC317E" w:rsidRPr="00BD565A">
              <w:rPr>
                <w:rFonts w:ascii="宋体" w:hAnsi="宋体" w:cs="宋体" w:hint="eastAsia"/>
                <w:color w:val="000000"/>
                <w:kern w:val="0"/>
                <w:szCs w:val="21"/>
              </w:rPr>
              <w:t>6</w:t>
            </w:r>
          </w:p>
        </w:tc>
      </w:tr>
      <w:tr w:rsidR="008D6F13" w:rsidRPr="00BD565A" w:rsidTr="00BD565A">
        <w:trPr>
          <w:trHeight w:val="658"/>
        </w:trPr>
        <w:tc>
          <w:tcPr>
            <w:tcW w:w="2895" w:type="dxa"/>
            <w:tcBorders>
              <w:top w:val="nil"/>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资产负债率</w:t>
            </w:r>
          </w:p>
        </w:tc>
        <w:tc>
          <w:tcPr>
            <w:tcW w:w="1940"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21.33%</w:t>
            </w:r>
          </w:p>
        </w:tc>
        <w:tc>
          <w:tcPr>
            <w:tcW w:w="1843"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20.77%</w:t>
            </w:r>
          </w:p>
        </w:tc>
        <w:tc>
          <w:tcPr>
            <w:tcW w:w="1701"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0.56%</w:t>
            </w:r>
          </w:p>
        </w:tc>
      </w:tr>
      <w:tr w:rsidR="008D6F13" w:rsidRPr="00BD565A" w:rsidTr="009A556A">
        <w:trPr>
          <w:trHeight w:val="680"/>
        </w:trPr>
        <w:tc>
          <w:tcPr>
            <w:tcW w:w="2895" w:type="dxa"/>
            <w:tcBorders>
              <w:top w:val="nil"/>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应收账款周转次数</w:t>
            </w:r>
          </w:p>
        </w:tc>
        <w:tc>
          <w:tcPr>
            <w:tcW w:w="1940"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right"/>
              <w:textAlignment w:val="center"/>
              <w:rPr>
                <w:rFonts w:ascii="宋体" w:hAnsi="宋体" w:cs="宋体"/>
                <w:color w:val="000000"/>
                <w:kern w:val="0"/>
                <w:szCs w:val="21"/>
              </w:rPr>
            </w:pPr>
            <w:r w:rsidRPr="00BD565A">
              <w:rPr>
                <w:rFonts w:ascii="宋体" w:hAnsi="宋体" w:cs="宋体" w:hint="eastAsia"/>
                <w:color w:val="000000"/>
                <w:kern w:val="0"/>
                <w:szCs w:val="21"/>
              </w:rPr>
              <w:t>27.42</w:t>
            </w:r>
          </w:p>
        </w:tc>
        <w:tc>
          <w:tcPr>
            <w:tcW w:w="1843"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24.83</w:t>
            </w:r>
          </w:p>
        </w:tc>
        <w:tc>
          <w:tcPr>
            <w:tcW w:w="1701" w:type="dxa"/>
            <w:tcBorders>
              <w:top w:val="nil"/>
              <w:left w:val="nil"/>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2.59</w:t>
            </w:r>
          </w:p>
        </w:tc>
      </w:tr>
      <w:tr w:rsidR="008D6F13" w:rsidRPr="00BD565A" w:rsidTr="009A556A">
        <w:trPr>
          <w:trHeight w:val="574"/>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存货周转次数</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7.77</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11.10</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-3.33</w:t>
            </w:r>
          </w:p>
        </w:tc>
      </w:tr>
      <w:tr w:rsidR="008D6F13" w:rsidRPr="00BD565A" w:rsidTr="009A556A">
        <w:trPr>
          <w:trHeight w:val="610"/>
        </w:trPr>
        <w:tc>
          <w:tcPr>
            <w:tcW w:w="2895"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widowControl/>
              <w:adjustRightInd w:val="0"/>
              <w:snapToGrid w:val="0"/>
              <w:spacing w:line="240" w:lineRule="atLeast"/>
              <w:jc w:val="center"/>
              <w:rPr>
                <w:rFonts w:ascii="宋体" w:hAnsi="宋体" w:cs="宋体"/>
                <w:kern w:val="0"/>
                <w:szCs w:val="21"/>
              </w:rPr>
            </w:pPr>
            <w:r w:rsidRPr="00BD565A">
              <w:rPr>
                <w:rFonts w:ascii="宋体" w:hAnsi="宋体" w:cs="宋体" w:hint="eastAsia"/>
                <w:kern w:val="0"/>
                <w:szCs w:val="21"/>
              </w:rPr>
              <w:t>总资产周转次数</w:t>
            </w:r>
          </w:p>
        </w:tc>
        <w:tc>
          <w:tcPr>
            <w:tcW w:w="1940"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0.50</w:t>
            </w:r>
          </w:p>
        </w:tc>
        <w:tc>
          <w:tcPr>
            <w:tcW w:w="1843"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0.44</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center"/>
          </w:tcPr>
          <w:p w:rsidR="008D6F13" w:rsidRPr="00BD565A" w:rsidRDefault="007E6C9D" w:rsidP="004C0A47">
            <w:pPr>
              <w:adjustRightInd w:val="0"/>
              <w:snapToGrid w:val="0"/>
              <w:spacing w:line="240" w:lineRule="atLeast"/>
              <w:jc w:val="right"/>
              <w:rPr>
                <w:rFonts w:ascii="宋体" w:hAnsi="宋体" w:cs="宋体"/>
                <w:color w:val="000000"/>
                <w:szCs w:val="21"/>
              </w:rPr>
            </w:pPr>
            <w:r w:rsidRPr="00BD565A">
              <w:rPr>
                <w:rFonts w:ascii="宋体" w:hAnsi="宋体" w:hint="eastAsia"/>
                <w:color w:val="000000"/>
                <w:szCs w:val="21"/>
              </w:rPr>
              <w:t>0.06</w:t>
            </w:r>
          </w:p>
        </w:tc>
      </w:tr>
    </w:tbl>
    <w:bookmarkEnd w:id="6"/>
    <w:p w:rsidR="008D6F13" w:rsidRPr="00A24C1D" w:rsidRDefault="007E6C9D" w:rsidP="004476C6">
      <w:pPr>
        <w:snapToGrid w:val="0"/>
        <w:spacing w:line="360" w:lineRule="auto"/>
        <w:ind w:firstLineChars="200" w:firstLine="480"/>
        <w:rPr>
          <w:rFonts w:ascii="宋体" w:hAnsi="宋体" w:cs="宋体"/>
          <w:kern w:val="0"/>
          <w:sz w:val="24"/>
          <w:szCs w:val="24"/>
        </w:rPr>
      </w:pPr>
      <w:r w:rsidRPr="00A24C1D">
        <w:rPr>
          <w:rFonts w:ascii="宋体" w:hAnsi="宋体" w:hint="eastAsia"/>
          <w:sz w:val="24"/>
          <w:szCs w:val="24"/>
        </w:rPr>
        <w:t>因公司本期净利润较上年同期增加，影响本期销售净利率、净资产收益率较上年同期增加。</w:t>
      </w:r>
    </w:p>
    <w:p w:rsidR="008D6F13" w:rsidRPr="00A24C1D" w:rsidRDefault="008D6F13" w:rsidP="004476C6">
      <w:pPr>
        <w:snapToGrid w:val="0"/>
        <w:spacing w:line="360" w:lineRule="auto"/>
        <w:ind w:firstLineChars="200" w:firstLine="480"/>
        <w:rPr>
          <w:rFonts w:ascii="宋体" w:hAnsi="宋体"/>
          <w:sz w:val="24"/>
          <w:szCs w:val="24"/>
        </w:rPr>
      </w:pPr>
    </w:p>
    <w:p w:rsidR="008D6F13" w:rsidRPr="00A24C1D" w:rsidRDefault="007E6C9D" w:rsidP="004476C6">
      <w:pPr>
        <w:adjustRightInd w:val="0"/>
        <w:snapToGrid w:val="0"/>
        <w:spacing w:line="360" w:lineRule="auto"/>
        <w:ind w:firstLineChars="200" w:firstLine="482"/>
        <w:rPr>
          <w:rFonts w:ascii="宋体" w:hAnsi="宋体"/>
          <w:b/>
          <w:sz w:val="24"/>
          <w:szCs w:val="24"/>
        </w:rPr>
      </w:pPr>
      <w:r w:rsidRPr="00A24C1D">
        <w:rPr>
          <w:rFonts w:ascii="宋体" w:hAnsi="宋体" w:hint="eastAsia"/>
          <w:b/>
          <w:sz w:val="24"/>
          <w:szCs w:val="24"/>
        </w:rPr>
        <w:t>六、重要会计政策、会计估计的变更</w:t>
      </w:r>
    </w:p>
    <w:p w:rsidR="008D6F13" w:rsidRPr="00A24C1D" w:rsidRDefault="00515EE7" w:rsidP="004476C6">
      <w:pPr>
        <w:adjustRightInd w:val="0"/>
        <w:snapToGrid w:val="0"/>
        <w:spacing w:line="360" w:lineRule="auto"/>
        <w:ind w:firstLineChars="150" w:firstLine="360"/>
        <w:rPr>
          <w:rFonts w:ascii="宋体" w:hAnsi="宋体"/>
          <w:sz w:val="24"/>
          <w:szCs w:val="24"/>
        </w:rPr>
      </w:pPr>
      <w:r>
        <w:rPr>
          <w:rFonts w:ascii="宋体" w:hAnsi="宋体" w:hint="eastAsia"/>
          <w:sz w:val="24"/>
          <w:szCs w:val="24"/>
        </w:rPr>
        <w:t>1、</w:t>
      </w:r>
      <w:r w:rsidR="007E6C9D" w:rsidRPr="00A24C1D">
        <w:rPr>
          <w:rFonts w:ascii="宋体" w:hAnsi="宋体"/>
          <w:sz w:val="24"/>
          <w:szCs w:val="24"/>
        </w:rPr>
        <w:t>会计政策变更</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hint="eastAsia"/>
          <w:sz w:val="24"/>
          <w:szCs w:val="24"/>
        </w:rPr>
        <w:t>①</w:t>
      </w:r>
      <w:r w:rsidRPr="00A24C1D">
        <w:rPr>
          <w:rFonts w:ascii="宋体" w:hAnsi="宋体"/>
          <w:sz w:val="24"/>
          <w:szCs w:val="24"/>
        </w:rPr>
        <w:t>企业会计准则解释第 17 号</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t>财政部于2023年10月25日发布了《企业会计准则解释第17号》（财会〔2023〕21号）（以下简称“解释第17号”）。</w:t>
      </w:r>
      <w:r w:rsidRPr="00A24C1D">
        <w:rPr>
          <w:rFonts w:ascii="宋体" w:hAnsi="宋体" w:hint="eastAsia"/>
          <w:sz w:val="24"/>
          <w:szCs w:val="24"/>
        </w:rPr>
        <w:t>规定“关于流动负债与非流动负债的划分”“关于供应商融资安排的披露”“关于售后租回交易的会计处理”等内容</w:t>
      </w:r>
      <w:r w:rsidRPr="00A24C1D">
        <w:rPr>
          <w:rFonts w:ascii="宋体" w:hAnsi="宋体"/>
          <w:sz w:val="24"/>
          <w:szCs w:val="24"/>
        </w:rPr>
        <w:t>。</w:t>
      </w:r>
    </w:p>
    <w:p w:rsidR="008D6F13" w:rsidRPr="00A24C1D" w:rsidRDefault="007E6C9D" w:rsidP="004476C6">
      <w:pPr>
        <w:adjustRightInd w:val="0"/>
        <w:snapToGrid w:val="0"/>
        <w:spacing w:line="360" w:lineRule="auto"/>
        <w:rPr>
          <w:rFonts w:ascii="宋体" w:hAnsi="宋体"/>
          <w:sz w:val="24"/>
          <w:szCs w:val="24"/>
        </w:rPr>
      </w:pPr>
      <w:r w:rsidRPr="00A24C1D">
        <w:rPr>
          <w:rFonts w:ascii="宋体" w:hAnsi="宋体"/>
          <w:sz w:val="24"/>
          <w:szCs w:val="24"/>
        </w:rPr>
        <w:t>公司自2024年1月1日起执行该规定，并对可比期间信息进行调整。</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t>采用解释第17号未对本</w:t>
      </w:r>
      <w:r w:rsidRPr="00A24C1D">
        <w:rPr>
          <w:rFonts w:ascii="宋体" w:hAnsi="宋体" w:hint="eastAsia"/>
          <w:sz w:val="24"/>
          <w:szCs w:val="24"/>
        </w:rPr>
        <w:t>报告期财务报表</w:t>
      </w:r>
      <w:r w:rsidRPr="00A24C1D">
        <w:rPr>
          <w:rFonts w:ascii="宋体" w:hAnsi="宋体"/>
          <w:sz w:val="24"/>
          <w:szCs w:val="24"/>
        </w:rPr>
        <w:t>产生重大影响。</w:t>
      </w:r>
    </w:p>
    <w:p w:rsidR="008D6F13" w:rsidRPr="00A24C1D" w:rsidRDefault="008D6F13"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fldChar w:fldCharType="begin"/>
      </w:r>
      <w:r w:rsidR="007E6C9D" w:rsidRPr="00A24C1D">
        <w:rPr>
          <w:rFonts w:ascii="宋体" w:hAnsi="宋体"/>
          <w:sz w:val="24"/>
          <w:szCs w:val="24"/>
        </w:rPr>
        <w:instrText xml:space="preserve"> = 2 \* GB3 </w:instrText>
      </w:r>
      <w:r w:rsidRPr="00A24C1D">
        <w:rPr>
          <w:rFonts w:ascii="宋体" w:hAnsi="宋体"/>
          <w:sz w:val="24"/>
          <w:szCs w:val="24"/>
        </w:rPr>
        <w:fldChar w:fldCharType="separate"/>
      </w:r>
      <w:r w:rsidR="007E6C9D" w:rsidRPr="00A24C1D">
        <w:rPr>
          <w:rFonts w:ascii="宋体" w:hAnsi="宋体" w:hint="eastAsia"/>
          <w:sz w:val="24"/>
          <w:szCs w:val="24"/>
        </w:rPr>
        <w:t>②</w:t>
      </w:r>
      <w:r w:rsidRPr="00A24C1D">
        <w:rPr>
          <w:rFonts w:ascii="宋体" w:hAnsi="宋体"/>
          <w:sz w:val="24"/>
          <w:szCs w:val="24"/>
        </w:rPr>
        <w:fldChar w:fldCharType="end"/>
      </w:r>
      <w:r w:rsidR="007E6C9D" w:rsidRPr="00A24C1D">
        <w:rPr>
          <w:rFonts w:ascii="宋体" w:hAnsi="宋体"/>
          <w:sz w:val="24"/>
          <w:szCs w:val="24"/>
        </w:rPr>
        <w:t>企业会计准则解释第18号</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lastRenderedPageBreak/>
        <w:t>财政部于2024年12月6日发布了《企业会计准则解释第18号》（财会〔2024〕24号，解释第18号）。</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t>不属于单项履约义务的保证类质量保证的会计处理</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t>解释第18号规定，在对不属于单项履约义务的保证类质量保证产生的预计负债进行会计核算时，企业应当根据《企业会计准则第13号—或有事项》有关规定，按确定的预计负债金额，借记“主营业务成本”、“其他业务成本”等科目，贷记“预计负债”科目，并相应在利润表中的“营业成本”和资产负债表中的“其他流动负债”、“一年内到期的非流动负债”、“预计负债”等项目列示。</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t>公司</w:t>
      </w:r>
      <w:proofErr w:type="gramStart"/>
      <w:r w:rsidRPr="00A24C1D">
        <w:rPr>
          <w:rFonts w:ascii="宋体" w:hAnsi="宋体"/>
          <w:sz w:val="24"/>
          <w:szCs w:val="24"/>
        </w:rPr>
        <w:t>自解释</w:t>
      </w:r>
      <w:proofErr w:type="gramEnd"/>
      <w:r w:rsidRPr="00A24C1D">
        <w:rPr>
          <w:rFonts w:ascii="宋体" w:hAnsi="宋体"/>
          <w:sz w:val="24"/>
          <w:szCs w:val="24"/>
        </w:rPr>
        <w:t>第18号印发之日起执行该规定，并进行追溯调整</w:t>
      </w:r>
      <w:r w:rsidRPr="00A24C1D">
        <w:rPr>
          <w:rFonts w:ascii="宋体" w:hAnsi="宋体" w:hint="eastAsia"/>
          <w:sz w:val="24"/>
          <w:szCs w:val="24"/>
        </w:rPr>
        <w:t>，执行解释第18号</w:t>
      </w:r>
      <w:r w:rsidRPr="00A24C1D">
        <w:rPr>
          <w:rFonts w:ascii="宋体" w:hAnsi="宋体"/>
          <w:sz w:val="24"/>
          <w:szCs w:val="24"/>
        </w:rPr>
        <w:t>未对本</w:t>
      </w:r>
      <w:r w:rsidRPr="00A24C1D">
        <w:rPr>
          <w:rFonts w:ascii="宋体" w:hAnsi="宋体" w:hint="eastAsia"/>
          <w:sz w:val="24"/>
          <w:szCs w:val="24"/>
        </w:rPr>
        <w:t>报告期财务报表</w:t>
      </w:r>
      <w:r w:rsidRPr="00A24C1D">
        <w:rPr>
          <w:rFonts w:ascii="宋体" w:hAnsi="宋体"/>
          <w:sz w:val="24"/>
          <w:szCs w:val="24"/>
        </w:rPr>
        <w:t>产生重大影响。</w:t>
      </w:r>
    </w:p>
    <w:p w:rsidR="008D6F13" w:rsidRPr="00A24C1D" w:rsidRDefault="00515EE7" w:rsidP="004476C6">
      <w:pPr>
        <w:adjustRightInd w:val="0"/>
        <w:snapToGrid w:val="0"/>
        <w:spacing w:line="360" w:lineRule="auto"/>
        <w:ind w:firstLineChars="200" w:firstLine="480"/>
        <w:rPr>
          <w:rFonts w:ascii="宋体" w:hAnsi="宋体"/>
          <w:sz w:val="24"/>
          <w:szCs w:val="24"/>
        </w:rPr>
      </w:pPr>
      <w:r>
        <w:rPr>
          <w:rFonts w:ascii="宋体" w:hAnsi="宋体" w:hint="eastAsia"/>
          <w:sz w:val="24"/>
          <w:szCs w:val="24"/>
        </w:rPr>
        <w:t>2、</w:t>
      </w:r>
      <w:bookmarkStart w:id="7" w:name="_GoBack"/>
      <w:bookmarkEnd w:id="7"/>
      <w:r w:rsidR="007E6C9D" w:rsidRPr="00A24C1D">
        <w:rPr>
          <w:rFonts w:ascii="宋体" w:hAnsi="宋体"/>
          <w:sz w:val="24"/>
          <w:szCs w:val="24"/>
        </w:rPr>
        <w:t>会计估计变更</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sz w:val="24"/>
          <w:szCs w:val="24"/>
        </w:rPr>
        <w:t>本报告期内，公司无重要会计估计变更。</w:t>
      </w:r>
    </w:p>
    <w:p w:rsidR="008D6F13" w:rsidRPr="00A24C1D" w:rsidRDefault="008D6F13" w:rsidP="004476C6">
      <w:pPr>
        <w:snapToGrid w:val="0"/>
        <w:spacing w:line="360" w:lineRule="auto"/>
        <w:ind w:firstLineChars="200" w:firstLine="480"/>
        <w:rPr>
          <w:rFonts w:ascii="宋体" w:hAnsi="宋体"/>
          <w:sz w:val="24"/>
          <w:szCs w:val="24"/>
        </w:rPr>
      </w:pPr>
    </w:p>
    <w:p w:rsidR="008D6F13" w:rsidRPr="00A24C1D" w:rsidRDefault="007E6C9D" w:rsidP="004476C6">
      <w:pPr>
        <w:adjustRightInd w:val="0"/>
        <w:snapToGrid w:val="0"/>
        <w:spacing w:line="360" w:lineRule="auto"/>
        <w:ind w:firstLineChars="200" w:firstLine="482"/>
        <w:rPr>
          <w:rFonts w:ascii="宋体" w:hAnsi="宋体"/>
          <w:b/>
          <w:sz w:val="24"/>
          <w:szCs w:val="24"/>
        </w:rPr>
      </w:pPr>
      <w:r w:rsidRPr="00A24C1D">
        <w:rPr>
          <w:rFonts w:ascii="宋体" w:hAnsi="宋体" w:hint="eastAsia"/>
          <w:b/>
          <w:sz w:val="24"/>
          <w:szCs w:val="24"/>
        </w:rPr>
        <w:t>七、其他重要事项</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hint="eastAsia"/>
          <w:sz w:val="24"/>
          <w:szCs w:val="24"/>
        </w:rPr>
        <w:t>1、截至2024年12月31日，公司没有发生为控股股东及其下属企业提供非经营性资金的情形，不存在非经营性资金占用问题。</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hint="eastAsia"/>
          <w:sz w:val="24"/>
          <w:szCs w:val="24"/>
        </w:rPr>
        <w:t>2、截至2024年12月31日，公司存放在江苏华西集团财务有限公司的归集资金余额为零元。</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hint="eastAsia"/>
          <w:sz w:val="24"/>
          <w:szCs w:val="24"/>
        </w:rPr>
        <w:t>3、截至2024年12月31日，公司为江苏华西集团有限公司贷款提供担保64,000万元，公司为江阴市华西热电有限公司贷款提供担保21,409.95万元，合计实际提供对外担保85,409.95</w:t>
      </w:r>
      <w:r w:rsidR="00FC317E" w:rsidRPr="00A24C1D">
        <w:rPr>
          <w:rFonts w:ascii="宋体" w:hAnsi="宋体" w:hint="eastAsia"/>
          <w:sz w:val="24"/>
          <w:szCs w:val="24"/>
        </w:rPr>
        <w:t>万元。江苏华西集团有限公司为公</w:t>
      </w:r>
      <w:r w:rsidRPr="00A24C1D">
        <w:rPr>
          <w:rFonts w:ascii="宋体" w:hAnsi="宋体" w:hint="eastAsia"/>
          <w:sz w:val="24"/>
          <w:szCs w:val="24"/>
        </w:rPr>
        <w:t>司贷款实际提供担保总额为85,630万元。</w:t>
      </w:r>
    </w:p>
    <w:p w:rsidR="008D6F13" w:rsidRPr="00A24C1D" w:rsidRDefault="007E6C9D" w:rsidP="004476C6">
      <w:pPr>
        <w:adjustRightInd w:val="0"/>
        <w:snapToGrid w:val="0"/>
        <w:spacing w:line="360" w:lineRule="auto"/>
        <w:ind w:firstLineChars="200" w:firstLine="480"/>
        <w:rPr>
          <w:rFonts w:ascii="宋体" w:hAnsi="宋体"/>
          <w:sz w:val="24"/>
          <w:szCs w:val="24"/>
        </w:rPr>
      </w:pPr>
      <w:r w:rsidRPr="00A24C1D">
        <w:rPr>
          <w:rFonts w:ascii="宋体" w:hAnsi="宋体" w:hint="eastAsia"/>
          <w:sz w:val="24"/>
          <w:szCs w:val="24"/>
        </w:rPr>
        <w:t>4、2024年度，</w:t>
      </w:r>
      <w:r w:rsidRPr="00A24C1D">
        <w:rPr>
          <w:rFonts w:ascii="宋体" w:hAnsi="宋体"/>
          <w:sz w:val="24"/>
          <w:szCs w:val="24"/>
        </w:rPr>
        <w:t>公司</w:t>
      </w:r>
      <w:r w:rsidRPr="00A24C1D">
        <w:rPr>
          <w:rFonts w:ascii="宋体" w:hAnsi="宋体" w:hint="eastAsia"/>
          <w:sz w:val="24"/>
          <w:szCs w:val="24"/>
        </w:rPr>
        <w:t>为</w:t>
      </w:r>
      <w:r w:rsidRPr="00A24C1D">
        <w:rPr>
          <w:rFonts w:ascii="宋体" w:hAnsi="宋体"/>
          <w:sz w:val="24"/>
          <w:szCs w:val="24"/>
        </w:rPr>
        <w:t>子公司</w:t>
      </w:r>
      <w:r w:rsidRPr="00A24C1D">
        <w:rPr>
          <w:rFonts w:ascii="宋体" w:hAnsi="宋体" w:hint="eastAsia"/>
          <w:sz w:val="24"/>
          <w:szCs w:val="24"/>
        </w:rPr>
        <w:t>江阴华西化工码头有限公司申请的苯乙烯、对二甲苯指定交割仓库业务提供担保实际发生金额为34,463.07万元，截至2024年12月31日，该类担保实际金额为零元。</w:t>
      </w:r>
    </w:p>
    <w:p w:rsidR="008D6F13" w:rsidRDefault="008D6F13">
      <w:pPr>
        <w:adjustRightInd w:val="0"/>
        <w:snapToGrid w:val="0"/>
        <w:spacing w:line="360" w:lineRule="auto"/>
        <w:ind w:firstLineChars="200" w:firstLine="480"/>
        <w:rPr>
          <w:rFonts w:ascii="宋体" w:hAnsi="宋体"/>
          <w:sz w:val="24"/>
        </w:rPr>
      </w:pPr>
    </w:p>
    <w:p w:rsidR="00FA3BDE" w:rsidRDefault="00FA3BDE">
      <w:pPr>
        <w:adjustRightInd w:val="0"/>
        <w:snapToGrid w:val="0"/>
        <w:spacing w:line="360" w:lineRule="auto"/>
        <w:ind w:firstLineChars="200" w:firstLine="480"/>
        <w:rPr>
          <w:rFonts w:ascii="宋体" w:hAnsi="宋体"/>
          <w:sz w:val="24"/>
        </w:rPr>
      </w:pPr>
    </w:p>
    <w:p w:rsidR="008D6F13" w:rsidRDefault="007E6C9D">
      <w:pPr>
        <w:snapToGrid w:val="0"/>
        <w:spacing w:line="360" w:lineRule="auto"/>
        <w:ind w:firstLineChars="200" w:firstLine="480"/>
        <w:rPr>
          <w:rFonts w:ascii="宋体" w:hAnsi="宋体"/>
          <w:sz w:val="24"/>
          <w:szCs w:val="24"/>
        </w:rPr>
      </w:pPr>
      <w:r>
        <w:rPr>
          <w:rFonts w:ascii="宋体" w:hAnsi="宋体" w:hint="eastAsia"/>
          <w:sz w:val="24"/>
          <w:szCs w:val="24"/>
        </w:rPr>
        <w:t xml:space="preserve">                                   江苏华西村股份有限公司</w:t>
      </w:r>
      <w:r w:rsidR="00FA3BDE">
        <w:rPr>
          <w:rFonts w:ascii="宋体" w:hAnsi="宋体" w:hint="eastAsia"/>
          <w:sz w:val="24"/>
          <w:szCs w:val="24"/>
        </w:rPr>
        <w:t>董事会</w:t>
      </w:r>
    </w:p>
    <w:p w:rsidR="008D6F13" w:rsidRDefault="007E6C9D">
      <w:pPr>
        <w:snapToGrid w:val="0"/>
        <w:spacing w:line="360" w:lineRule="auto"/>
        <w:ind w:right="480" w:firstLineChars="2300" w:firstLine="5520"/>
        <w:rPr>
          <w:rFonts w:ascii="宋体" w:hAnsi="宋体"/>
          <w:sz w:val="24"/>
          <w:szCs w:val="24"/>
        </w:rPr>
      </w:pPr>
      <w:r>
        <w:rPr>
          <w:rFonts w:ascii="宋体" w:hAnsi="宋体" w:hint="eastAsia"/>
          <w:sz w:val="24"/>
          <w:szCs w:val="24"/>
        </w:rPr>
        <w:t>2025年4月</w:t>
      </w:r>
      <w:r w:rsidR="00FA3BDE">
        <w:rPr>
          <w:rFonts w:ascii="宋体" w:hAnsi="宋体" w:hint="eastAsia"/>
          <w:sz w:val="24"/>
          <w:szCs w:val="24"/>
        </w:rPr>
        <w:t>2</w:t>
      </w:r>
      <w:r w:rsidR="00CB2D23">
        <w:rPr>
          <w:rFonts w:ascii="宋体" w:hAnsi="宋体" w:hint="eastAsia"/>
          <w:sz w:val="24"/>
          <w:szCs w:val="24"/>
        </w:rPr>
        <w:t>8</w:t>
      </w:r>
      <w:r>
        <w:rPr>
          <w:rFonts w:ascii="宋体" w:hAnsi="宋体" w:hint="eastAsia"/>
          <w:sz w:val="24"/>
          <w:szCs w:val="24"/>
        </w:rPr>
        <w:t>日</w:t>
      </w:r>
    </w:p>
    <w:sectPr w:rsidR="008D6F13" w:rsidSect="008D6F1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5D19" w:rsidRDefault="00EF5D19" w:rsidP="008D6F13">
      <w:r>
        <w:separator/>
      </w:r>
    </w:p>
  </w:endnote>
  <w:endnote w:type="continuationSeparator" w:id="0">
    <w:p w:rsidR="00EF5D19" w:rsidRDefault="00EF5D19" w:rsidP="008D6F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altName w:val="仿宋"/>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9D" w:rsidRDefault="007E6C9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7E6C9D" w:rsidRDefault="007E6C9D">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6C9D" w:rsidRDefault="007E6C9D">
    <w:pPr>
      <w:pStyle w:val="a5"/>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515EE7">
      <w:rPr>
        <w:rStyle w:val="a8"/>
        <w:noProof/>
      </w:rPr>
      <w:t>2</w:t>
    </w:r>
    <w:r>
      <w:rPr>
        <w:rStyle w:val="a8"/>
      </w:rPr>
      <w:fldChar w:fldCharType="end"/>
    </w:r>
  </w:p>
  <w:p w:rsidR="007E6C9D" w:rsidRDefault="007E6C9D">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5D19" w:rsidRDefault="00EF5D19" w:rsidP="008D6F13">
      <w:r>
        <w:separator/>
      </w:r>
    </w:p>
  </w:footnote>
  <w:footnote w:type="continuationSeparator" w:id="0">
    <w:p w:rsidR="00EF5D19" w:rsidRDefault="00EF5D19" w:rsidP="008D6F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090762"/>
    <w:rsid w:val="0000026F"/>
    <w:rsid w:val="00001B5A"/>
    <w:rsid w:val="000020F6"/>
    <w:rsid w:val="000062E6"/>
    <w:rsid w:val="0001025C"/>
    <w:rsid w:val="00012E3A"/>
    <w:rsid w:val="0001309B"/>
    <w:rsid w:val="00016056"/>
    <w:rsid w:val="00023169"/>
    <w:rsid w:val="000240D6"/>
    <w:rsid w:val="000268EE"/>
    <w:rsid w:val="00026C6F"/>
    <w:rsid w:val="00032A8E"/>
    <w:rsid w:val="00034300"/>
    <w:rsid w:val="00034794"/>
    <w:rsid w:val="0003622E"/>
    <w:rsid w:val="00036A70"/>
    <w:rsid w:val="00037D9B"/>
    <w:rsid w:val="00042436"/>
    <w:rsid w:val="0004327A"/>
    <w:rsid w:val="00043905"/>
    <w:rsid w:val="00043A20"/>
    <w:rsid w:val="00045EAF"/>
    <w:rsid w:val="0005231A"/>
    <w:rsid w:val="00053F76"/>
    <w:rsid w:val="00055A07"/>
    <w:rsid w:val="00055DE5"/>
    <w:rsid w:val="00057C10"/>
    <w:rsid w:val="00061316"/>
    <w:rsid w:val="00062446"/>
    <w:rsid w:val="00063689"/>
    <w:rsid w:val="00064650"/>
    <w:rsid w:val="000657F5"/>
    <w:rsid w:val="00065883"/>
    <w:rsid w:val="00065DB4"/>
    <w:rsid w:val="00066F88"/>
    <w:rsid w:val="00071192"/>
    <w:rsid w:val="00072662"/>
    <w:rsid w:val="0007469E"/>
    <w:rsid w:val="00074CE6"/>
    <w:rsid w:val="00077D4B"/>
    <w:rsid w:val="00090762"/>
    <w:rsid w:val="00091FF7"/>
    <w:rsid w:val="00093E1B"/>
    <w:rsid w:val="00096B09"/>
    <w:rsid w:val="00097F87"/>
    <w:rsid w:val="000A11BE"/>
    <w:rsid w:val="000A1476"/>
    <w:rsid w:val="000A19A4"/>
    <w:rsid w:val="000A4AB0"/>
    <w:rsid w:val="000B1FC4"/>
    <w:rsid w:val="000B366C"/>
    <w:rsid w:val="000B79E2"/>
    <w:rsid w:val="000C16C6"/>
    <w:rsid w:val="000C2D63"/>
    <w:rsid w:val="000C47A3"/>
    <w:rsid w:val="000C49DA"/>
    <w:rsid w:val="000C4AA7"/>
    <w:rsid w:val="000C580F"/>
    <w:rsid w:val="000D23EA"/>
    <w:rsid w:val="000D2707"/>
    <w:rsid w:val="000D376A"/>
    <w:rsid w:val="000D5609"/>
    <w:rsid w:val="000E0816"/>
    <w:rsid w:val="000E2F63"/>
    <w:rsid w:val="000E2FD4"/>
    <w:rsid w:val="000E444A"/>
    <w:rsid w:val="000E67D0"/>
    <w:rsid w:val="000E68C0"/>
    <w:rsid w:val="000E68D7"/>
    <w:rsid w:val="000F1B56"/>
    <w:rsid w:val="000F5512"/>
    <w:rsid w:val="000F7E09"/>
    <w:rsid w:val="00101243"/>
    <w:rsid w:val="001043EF"/>
    <w:rsid w:val="00104D0D"/>
    <w:rsid w:val="00104DA6"/>
    <w:rsid w:val="00106469"/>
    <w:rsid w:val="00107752"/>
    <w:rsid w:val="00113184"/>
    <w:rsid w:val="001150B3"/>
    <w:rsid w:val="001213E1"/>
    <w:rsid w:val="00121894"/>
    <w:rsid w:val="00122795"/>
    <w:rsid w:val="00124A13"/>
    <w:rsid w:val="00124DAF"/>
    <w:rsid w:val="0012576F"/>
    <w:rsid w:val="001258A3"/>
    <w:rsid w:val="00125E4D"/>
    <w:rsid w:val="001260EC"/>
    <w:rsid w:val="00126DB8"/>
    <w:rsid w:val="0013032D"/>
    <w:rsid w:val="00130BCA"/>
    <w:rsid w:val="001334FF"/>
    <w:rsid w:val="001342BE"/>
    <w:rsid w:val="00135503"/>
    <w:rsid w:val="00135DCF"/>
    <w:rsid w:val="00141300"/>
    <w:rsid w:val="00141C7D"/>
    <w:rsid w:val="00146807"/>
    <w:rsid w:val="00154997"/>
    <w:rsid w:val="001564B5"/>
    <w:rsid w:val="0015695F"/>
    <w:rsid w:val="00156FF0"/>
    <w:rsid w:val="00166EE8"/>
    <w:rsid w:val="00171598"/>
    <w:rsid w:val="0018093F"/>
    <w:rsid w:val="001814ED"/>
    <w:rsid w:val="00181A79"/>
    <w:rsid w:val="00183003"/>
    <w:rsid w:val="001848E2"/>
    <w:rsid w:val="001864C2"/>
    <w:rsid w:val="00187B86"/>
    <w:rsid w:val="00190435"/>
    <w:rsid w:val="0019130C"/>
    <w:rsid w:val="00193881"/>
    <w:rsid w:val="00197F23"/>
    <w:rsid w:val="001A15A9"/>
    <w:rsid w:val="001A21AA"/>
    <w:rsid w:val="001A2E13"/>
    <w:rsid w:val="001A3DE5"/>
    <w:rsid w:val="001A52A8"/>
    <w:rsid w:val="001A52C9"/>
    <w:rsid w:val="001A5B19"/>
    <w:rsid w:val="001A712F"/>
    <w:rsid w:val="001B1A70"/>
    <w:rsid w:val="001B4DAB"/>
    <w:rsid w:val="001B65ED"/>
    <w:rsid w:val="001B6B53"/>
    <w:rsid w:val="001C0C7D"/>
    <w:rsid w:val="001C1122"/>
    <w:rsid w:val="001C1742"/>
    <w:rsid w:val="001C21DA"/>
    <w:rsid w:val="001C52B8"/>
    <w:rsid w:val="001C5321"/>
    <w:rsid w:val="001D0183"/>
    <w:rsid w:val="001D15D9"/>
    <w:rsid w:val="001D29D0"/>
    <w:rsid w:val="001D3986"/>
    <w:rsid w:val="001D3D45"/>
    <w:rsid w:val="001D4F93"/>
    <w:rsid w:val="001D528B"/>
    <w:rsid w:val="001D6832"/>
    <w:rsid w:val="001D7F4A"/>
    <w:rsid w:val="001E0040"/>
    <w:rsid w:val="001E1A44"/>
    <w:rsid w:val="001E354F"/>
    <w:rsid w:val="001E49A9"/>
    <w:rsid w:val="001E5A9E"/>
    <w:rsid w:val="001E735A"/>
    <w:rsid w:val="001E7F68"/>
    <w:rsid w:val="001F24BA"/>
    <w:rsid w:val="001F2ED9"/>
    <w:rsid w:val="001F4284"/>
    <w:rsid w:val="001F5C20"/>
    <w:rsid w:val="00201ABB"/>
    <w:rsid w:val="0020258D"/>
    <w:rsid w:val="00202D74"/>
    <w:rsid w:val="00206166"/>
    <w:rsid w:val="002061D7"/>
    <w:rsid w:val="002064B4"/>
    <w:rsid w:val="002121B7"/>
    <w:rsid w:val="0021620E"/>
    <w:rsid w:val="002174B1"/>
    <w:rsid w:val="00224F11"/>
    <w:rsid w:val="002258EB"/>
    <w:rsid w:val="00226E35"/>
    <w:rsid w:val="00231379"/>
    <w:rsid w:val="002318F5"/>
    <w:rsid w:val="00233097"/>
    <w:rsid w:val="00233105"/>
    <w:rsid w:val="002360C6"/>
    <w:rsid w:val="002375A1"/>
    <w:rsid w:val="00240E01"/>
    <w:rsid w:val="002419A4"/>
    <w:rsid w:val="0024253E"/>
    <w:rsid w:val="00244E0E"/>
    <w:rsid w:val="00246C3F"/>
    <w:rsid w:val="002477D2"/>
    <w:rsid w:val="002504DE"/>
    <w:rsid w:val="00250C3C"/>
    <w:rsid w:val="00252A64"/>
    <w:rsid w:val="00256C39"/>
    <w:rsid w:val="002578E0"/>
    <w:rsid w:val="00262404"/>
    <w:rsid w:val="0026261A"/>
    <w:rsid w:val="00266E2E"/>
    <w:rsid w:val="00266F47"/>
    <w:rsid w:val="00267C47"/>
    <w:rsid w:val="00270524"/>
    <w:rsid w:val="00270625"/>
    <w:rsid w:val="0027427E"/>
    <w:rsid w:val="00276E81"/>
    <w:rsid w:val="00280EDC"/>
    <w:rsid w:val="00281D7F"/>
    <w:rsid w:val="002823C2"/>
    <w:rsid w:val="00282EC2"/>
    <w:rsid w:val="002832FD"/>
    <w:rsid w:val="00286461"/>
    <w:rsid w:val="002915F2"/>
    <w:rsid w:val="00292692"/>
    <w:rsid w:val="00292884"/>
    <w:rsid w:val="00292933"/>
    <w:rsid w:val="0029358C"/>
    <w:rsid w:val="002942E8"/>
    <w:rsid w:val="002A0803"/>
    <w:rsid w:val="002B2A12"/>
    <w:rsid w:val="002B2F40"/>
    <w:rsid w:val="002B3A93"/>
    <w:rsid w:val="002B47FB"/>
    <w:rsid w:val="002B5A24"/>
    <w:rsid w:val="002B6778"/>
    <w:rsid w:val="002B6F46"/>
    <w:rsid w:val="002B7E91"/>
    <w:rsid w:val="002C0A0E"/>
    <w:rsid w:val="002C1209"/>
    <w:rsid w:val="002C32CA"/>
    <w:rsid w:val="002D04A5"/>
    <w:rsid w:val="002D2F1B"/>
    <w:rsid w:val="002D4A1A"/>
    <w:rsid w:val="002D5C50"/>
    <w:rsid w:val="002D6622"/>
    <w:rsid w:val="002D76A2"/>
    <w:rsid w:val="002E1977"/>
    <w:rsid w:val="002E1AEB"/>
    <w:rsid w:val="002E3D6A"/>
    <w:rsid w:val="002E4FD6"/>
    <w:rsid w:val="002E5A19"/>
    <w:rsid w:val="002E671B"/>
    <w:rsid w:val="002E7435"/>
    <w:rsid w:val="002F43AB"/>
    <w:rsid w:val="002F5BE7"/>
    <w:rsid w:val="003005F8"/>
    <w:rsid w:val="00300D3E"/>
    <w:rsid w:val="00304575"/>
    <w:rsid w:val="00307700"/>
    <w:rsid w:val="003163EE"/>
    <w:rsid w:val="003209E3"/>
    <w:rsid w:val="00321BA0"/>
    <w:rsid w:val="00324F69"/>
    <w:rsid w:val="00326E2F"/>
    <w:rsid w:val="00330D6C"/>
    <w:rsid w:val="00330E41"/>
    <w:rsid w:val="003311C8"/>
    <w:rsid w:val="003369E8"/>
    <w:rsid w:val="00344908"/>
    <w:rsid w:val="00350F90"/>
    <w:rsid w:val="0035396B"/>
    <w:rsid w:val="00355855"/>
    <w:rsid w:val="00355E43"/>
    <w:rsid w:val="003574BF"/>
    <w:rsid w:val="0036134D"/>
    <w:rsid w:val="0036535B"/>
    <w:rsid w:val="00372BF4"/>
    <w:rsid w:val="00375F99"/>
    <w:rsid w:val="0037697F"/>
    <w:rsid w:val="0037750D"/>
    <w:rsid w:val="00382E19"/>
    <w:rsid w:val="00383900"/>
    <w:rsid w:val="003902CA"/>
    <w:rsid w:val="00392A72"/>
    <w:rsid w:val="00394F24"/>
    <w:rsid w:val="0039583D"/>
    <w:rsid w:val="003A118D"/>
    <w:rsid w:val="003A291A"/>
    <w:rsid w:val="003A2B49"/>
    <w:rsid w:val="003A3495"/>
    <w:rsid w:val="003A4AB4"/>
    <w:rsid w:val="003A6B57"/>
    <w:rsid w:val="003A7F54"/>
    <w:rsid w:val="003B09A2"/>
    <w:rsid w:val="003B0CFE"/>
    <w:rsid w:val="003C063E"/>
    <w:rsid w:val="003C0CF0"/>
    <w:rsid w:val="003C0ECC"/>
    <w:rsid w:val="003C1F36"/>
    <w:rsid w:val="003C41CC"/>
    <w:rsid w:val="003C4A19"/>
    <w:rsid w:val="003C7576"/>
    <w:rsid w:val="003C7DC9"/>
    <w:rsid w:val="003D2837"/>
    <w:rsid w:val="003E0739"/>
    <w:rsid w:val="003E146A"/>
    <w:rsid w:val="003E5495"/>
    <w:rsid w:val="003F046D"/>
    <w:rsid w:val="003F43D8"/>
    <w:rsid w:val="003F4D74"/>
    <w:rsid w:val="003F609A"/>
    <w:rsid w:val="003F716A"/>
    <w:rsid w:val="004013A6"/>
    <w:rsid w:val="00401A23"/>
    <w:rsid w:val="00402D53"/>
    <w:rsid w:val="00402E00"/>
    <w:rsid w:val="004030D6"/>
    <w:rsid w:val="004063E8"/>
    <w:rsid w:val="004103F3"/>
    <w:rsid w:val="00415972"/>
    <w:rsid w:val="00417342"/>
    <w:rsid w:val="00420920"/>
    <w:rsid w:val="00420D8C"/>
    <w:rsid w:val="004218F3"/>
    <w:rsid w:val="00424420"/>
    <w:rsid w:val="00427608"/>
    <w:rsid w:val="004276EA"/>
    <w:rsid w:val="004303A9"/>
    <w:rsid w:val="00432399"/>
    <w:rsid w:val="00433EA8"/>
    <w:rsid w:val="0043562E"/>
    <w:rsid w:val="00437B42"/>
    <w:rsid w:val="00443E7B"/>
    <w:rsid w:val="00443EEC"/>
    <w:rsid w:val="00446B62"/>
    <w:rsid w:val="004476C6"/>
    <w:rsid w:val="004477B2"/>
    <w:rsid w:val="0045373B"/>
    <w:rsid w:val="0045439E"/>
    <w:rsid w:val="004643D8"/>
    <w:rsid w:val="00471458"/>
    <w:rsid w:val="00471B71"/>
    <w:rsid w:val="004721BE"/>
    <w:rsid w:val="0047232E"/>
    <w:rsid w:val="0047564E"/>
    <w:rsid w:val="00484436"/>
    <w:rsid w:val="004847B9"/>
    <w:rsid w:val="00485780"/>
    <w:rsid w:val="00485A4A"/>
    <w:rsid w:val="0049185D"/>
    <w:rsid w:val="00492878"/>
    <w:rsid w:val="004932A4"/>
    <w:rsid w:val="00495E3D"/>
    <w:rsid w:val="004966AF"/>
    <w:rsid w:val="0049709E"/>
    <w:rsid w:val="004A1DC9"/>
    <w:rsid w:val="004A3A1F"/>
    <w:rsid w:val="004A733C"/>
    <w:rsid w:val="004B1F45"/>
    <w:rsid w:val="004B346D"/>
    <w:rsid w:val="004C0A47"/>
    <w:rsid w:val="004C0F82"/>
    <w:rsid w:val="004C1338"/>
    <w:rsid w:val="004C1554"/>
    <w:rsid w:val="004C526E"/>
    <w:rsid w:val="004C6519"/>
    <w:rsid w:val="004C69E9"/>
    <w:rsid w:val="004C7F7E"/>
    <w:rsid w:val="004D08B1"/>
    <w:rsid w:val="004D43E8"/>
    <w:rsid w:val="004E1916"/>
    <w:rsid w:val="004E2C70"/>
    <w:rsid w:val="004E3DD7"/>
    <w:rsid w:val="004E73D0"/>
    <w:rsid w:val="004E78F2"/>
    <w:rsid w:val="004F2868"/>
    <w:rsid w:val="004F5E47"/>
    <w:rsid w:val="004F6825"/>
    <w:rsid w:val="0050159D"/>
    <w:rsid w:val="00502C51"/>
    <w:rsid w:val="0050644E"/>
    <w:rsid w:val="00506CDB"/>
    <w:rsid w:val="00511F72"/>
    <w:rsid w:val="00512330"/>
    <w:rsid w:val="005125DD"/>
    <w:rsid w:val="00512DCC"/>
    <w:rsid w:val="0051382B"/>
    <w:rsid w:val="00515EE7"/>
    <w:rsid w:val="00516076"/>
    <w:rsid w:val="005166FE"/>
    <w:rsid w:val="00516D7E"/>
    <w:rsid w:val="00520C5A"/>
    <w:rsid w:val="00526630"/>
    <w:rsid w:val="00526EDE"/>
    <w:rsid w:val="0053064A"/>
    <w:rsid w:val="005310F3"/>
    <w:rsid w:val="00531B3B"/>
    <w:rsid w:val="00541063"/>
    <w:rsid w:val="00541A98"/>
    <w:rsid w:val="00541DBB"/>
    <w:rsid w:val="00541DCF"/>
    <w:rsid w:val="00545236"/>
    <w:rsid w:val="005457DC"/>
    <w:rsid w:val="00546351"/>
    <w:rsid w:val="005516AB"/>
    <w:rsid w:val="005522A6"/>
    <w:rsid w:val="005523E4"/>
    <w:rsid w:val="00552458"/>
    <w:rsid w:val="00553CA5"/>
    <w:rsid w:val="00555B27"/>
    <w:rsid w:val="005572FC"/>
    <w:rsid w:val="005609A4"/>
    <w:rsid w:val="00560C4C"/>
    <w:rsid w:val="00561FDF"/>
    <w:rsid w:val="00562B04"/>
    <w:rsid w:val="0056435F"/>
    <w:rsid w:val="005654A7"/>
    <w:rsid w:val="0056569F"/>
    <w:rsid w:val="00566957"/>
    <w:rsid w:val="005669BD"/>
    <w:rsid w:val="00566B54"/>
    <w:rsid w:val="00573DCC"/>
    <w:rsid w:val="00580A6D"/>
    <w:rsid w:val="005828F5"/>
    <w:rsid w:val="00585271"/>
    <w:rsid w:val="00593293"/>
    <w:rsid w:val="005948F9"/>
    <w:rsid w:val="005975FB"/>
    <w:rsid w:val="005A271D"/>
    <w:rsid w:val="005A2C51"/>
    <w:rsid w:val="005A640C"/>
    <w:rsid w:val="005A6F3C"/>
    <w:rsid w:val="005B1461"/>
    <w:rsid w:val="005B355F"/>
    <w:rsid w:val="005B5E2B"/>
    <w:rsid w:val="005C0E29"/>
    <w:rsid w:val="005C2617"/>
    <w:rsid w:val="005C330E"/>
    <w:rsid w:val="005C3949"/>
    <w:rsid w:val="005C47E2"/>
    <w:rsid w:val="005C51AE"/>
    <w:rsid w:val="005C5E67"/>
    <w:rsid w:val="005D1B3C"/>
    <w:rsid w:val="005D3DC9"/>
    <w:rsid w:val="005E0D8D"/>
    <w:rsid w:val="005E3C93"/>
    <w:rsid w:val="005E4B97"/>
    <w:rsid w:val="005E63CC"/>
    <w:rsid w:val="005E68F0"/>
    <w:rsid w:val="005F2074"/>
    <w:rsid w:val="005F2986"/>
    <w:rsid w:val="005F3737"/>
    <w:rsid w:val="005F4AF8"/>
    <w:rsid w:val="005F5635"/>
    <w:rsid w:val="005F7182"/>
    <w:rsid w:val="00600CAB"/>
    <w:rsid w:val="00604818"/>
    <w:rsid w:val="006069C0"/>
    <w:rsid w:val="0060799C"/>
    <w:rsid w:val="00607E46"/>
    <w:rsid w:val="006105B2"/>
    <w:rsid w:val="006147BE"/>
    <w:rsid w:val="0061556C"/>
    <w:rsid w:val="00615EB4"/>
    <w:rsid w:val="00616E6C"/>
    <w:rsid w:val="00620986"/>
    <w:rsid w:val="006209F3"/>
    <w:rsid w:val="00624172"/>
    <w:rsid w:val="006256E9"/>
    <w:rsid w:val="00627174"/>
    <w:rsid w:val="0063005F"/>
    <w:rsid w:val="0063184C"/>
    <w:rsid w:val="00631C0D"/>
    <w:rsid w:val="00632455"/>
    <w:rsid w:val="00633686"/>
    <w:rsid w:val="006344D4"/>
    <w:rsid w:val="00634E09"/>
    <w:rsid w:val="0063547D"/>
    <w:rsid w:val="00641DDB"/>
    <w:rsid w:val="00641FDA"/>
    <w:rsid w:val="00642FAB"/>
    <w:rsid w:val="0064302F"/>
    <w:rsid w:val="006434EC"/>
    <w:rsid w:val="006453EE"/>
    <w:rsid w:val="00645FF3"/>
    <w:rsid w:val="0064696F"/>
    <w:rsid w:val="00650317"/>
    <w:rsid w:val="00650F50"/>
    <w:rsid w:val="0065474C"/>
    <w:rsid w:val="00655765"/>
    <w:rsid w:val="006605D0"/>
    <w:rsid w:val="006621F3"/>
    <w:rsid w:val="0066256E"/>
    <w:rsid w:val="00662EED"/>
    <w:rsid w:val="006664C2"/>
    <w:rsid w:val="00666A1A"/>
    <w:rsid w:val="006708F8"/>
    <w:rsid w:val="00670E73"/>
    <w:rsid w:val="006743D4"/>
    <w:rsid w:val="00674D9E"/>
    <w:rsid w:val="00681CC3"/>
    <w:rsid w:val="00683C8B"/>
    <w:rsid w:val="00684CB1"/>
    <w:rsid w:val="00684FF7"/>
    <w:rsid w:val="00686BA7"/>
    <w:rsid w:val="00691B4D"/>
    <w:rsid w:val="00692E8E"/>
    <w:rsid w:val="006932F0"/>
    <w:rsid w:val="00694A0A"/>
    <w:rsid w:val="006963EE"/>
    <w:rsid w:val="006A165E"/>
    <w:rsid w:val="006A2032"/>
    <w:rsid w:val="006A3D2C"/>
    <w:rsid w:val="006B20A1"/>
    <w:rsid w:val="006B4568"/>
    <w:rsid w:val="006C05D1"/>
    <w:rsid w:val="006C0AD3"/>
    <w:rsid w:val="006C1914"/>
    <w:rsid w:val="006C479A"/>
    <w:rsid w:val="006C5A24"/>
    <w:rsid w:val="006D3DD2"/>
    <w:rsid w:val="006E038E"/>
    <w:rsid w:val="006E0551"/>
    <w:rsid w:val="006E2644"/>
    <w:rsid w:val="006E3553"/>
    <w:rsid w:val="006E6F08"/>
    <w:rsid w:val="006F0163"/>
    <w:rsid w:val="006F09EE"/>
    <w:rsid w:val="006F17E3"/>
    <w:rsid w:val="006F2CA1"/>
    <w:rsid w:val="006F4D68"/>
    <w:rsid w:val="006F6B66"/>
    <w:rsid w:val="0070154A"/>
    <w:rsid w:val="00701E47"/>
    <w:rsid w:val="0070205E"/>
    <w:rsid w:val="00702557"/>
    <w:rsid w:val="007036C2"/>
    <w:rsid w:val="00707010"/>
    <w:rsid w:val="00707E11"/>
    <w:rsid w:val="00713F52"/>
    <w:rsid w:val="00715A82"/>
    <w:rsid w:val="007208F6"/>
    <w:rsid w:val="00723D6D"/>
    <w:rsid w:val="00724DDB"/>
    <w:rsid w:val="0073046D"/>
    <w:rsid w:val="00732198"/>
    <w:rsid w:val="0073458E"/>
    <w:rsid w:val="00734F61"/>
    <w:rsid w:val="00740284"/>
    <w:rsid w:val="00740A5E"/>
    <w:rsid w:val="00741BE8"/>
    <w:rsid w:val="007426F0"/>
    <w:rsid w:val="00745A35"/>
    <w:rsid w:val="0074636B"/>
    <w:rsid w:val="007473CD"/>
    <w:rsid w:val="007537FB"/>
    <w:rsid w:val="00753C33"/>
    <w:rsid w:val="00754E44"/>
    <w:rsid w:val="00754FA0"/>
    <w:rsid w:val="0075607C"/>
    <w:rsid w:val="00756E94"/>
    <w:rsid w:val="007579A2"/>
    <w:rsid w:val="00760A95"/>
    <w:rsid w:val="0076505D"/>
    <w:rsid w:val="0076663E"/>
    <w:rsid w:val="007754C5"/>
    <w:rsid w:val="0077603A"/>
    <w:rsid w:val="0077763B"/>
    <w:rsid w:val="00780CCB"/>
    <w:rsid w:val="00783A8A"/>
    <w:rsid w:val="007849EB"/>
    <w:rsid w:val="00787181"/>
    <w:rsid w:val="00797193"/>
    <w:rsid w:val="007A1162"/>
    <w:rsid w:val="007A2185"/>
    <w:rsid w:val="007A25DF"/>
    <w:rsid w:val="007A3E4F"/>
    <w:rsid w:val="007B1F0E"/>
    <w:rsid w:val="007B2400"/>
    <w:rsid w:val="007B2BB3"/>
    <w:rsid w:val="007B3CBC"/>
    <w:rsid w:val="007B40A7"/>
    <w:rsid w:val="007B4920"/>
    <w:rsid w:val="007B6203"/>
    <w:rsid w:val="007B6DF6"/>
    <w:rsid w:val="007C0F41"/>
    <w:rsid w:val="007C2939"/>
    <w:rsid w:val="007C4C96"/>
    <w:rsid w:val="007D02BF"/>
    <w:rsid w:val="007D0A23"/>
    <w:rsid w:val="007D3771"/>
    <w:rsid w:val="007D38DF"/>
    <w:rsid w:val="007D4A45"/>
    <w:rsid w:val="007D785F"/>
    <w:rsid w:val="007E1659"/>
    <w:rsid w:val="007E4CE8"/>
    <w:rsid w:val="007E6BBD"/>
    <w:rsid w:val="007E6C9D"/>
    <w:rsid w:val="007F0853"/>
    <w:rsid w:val="007F50A5"/>
    <w:rsid w:val="007F64A3"/>
    <w:rsid w:val="007F6903"/>
    <w:rsid w:val="00811EBA"/>
    <w:rsid w:val="008137CC"/>
    <w:rsid w:val="008138C4"/>
    <w:rsid w:val="0081533B"/>
    <w:rsid w:val="00821828"/>
    <w:rsid w:val="008239C4"/>
    <w:rsid w:val="00824542"/>
    <w:rsid w:val="008253BF"/>
    <w:rsid w:val="0082541E"/>
    <w:rsid w:val="00826F3E"/>
    <w:rsid w:val="008307DA"/>
    <w:rsid w:val="008312F5"/>
    <w:rsid w:val="00831828"/>
    <w:rsid w:val="00831D4E"/>
    <w:rsid w:val="00832CDE"/>
    <w:rsid w:val="008330F4"/>
    <w:rsid w:val="008334C0"/>
    <w:rsid w:val="00841A4A"/>
    <w:rsid w:val="00844AF6"/>
    <w:rsid w:val="008476B1"/>
    <w:rsid w:val="00847C9B"/>
    <w:rsid w:val="00847EB0"/>
    <w:rsid w:val="00850384"/>
    <w:rsid w:val="00853CB3"/>
    <w:rsid w:val="00857B15"/>
    <w:rsid w:val="00861546"/>
    <w:rsid w:val="00861C62"/>
    <w:rsid w:val="00865334"/>
    <w:rsid w:val="008676F5"/>
    <w:rsid w:val="00871368"/>
    <w:rsid w:val="00871BF6"/>
    <w:rsid w:val="00875AFD"/>
    <w:rsid w:val="00882B63"/>
    <w:rsid w:val="00883593"/>
    <w:rsid w:val="00883896"/>
    <w:rsid w:val="00884609"/>
    <w:rsid w:val="00887600"/>
    <w:rsid w:val="00895B5D"/>
    <w:rsid w:val="008A3304"/>
    <w:rsid w:val="008B1EF9"/>
    <w:rsid w:val="008B23E3"/>
    <w:rsid w:val="008B3AF3"/>
    <w:rsid w:val="008B3B7A"/>
    <w:rsid w:val="008B7A8F"/>
    <w:rsid w:val="008C04DF"/>
    <w:rsid w:val="008C1351"/>
    <w:rsid w:val="008C2921"/>
    <w:rsid w:val="008C2932"/>
    <w:rsid w:val="008C2CFF"/>
    <w:rsid w:val="008C45A2"/>
    <w:rsid w:val="008C6BBB"/>
    <w:rsid w:val="008D2AC6"/>
    <w:rsid w:val="008D6F13"/>
    <w:rsid w:val="008E1678"/>
    <w:rsid w:val="008E1D1D"/>
    <w:rsid w:val="008E2687"/>
    <w:rsid w:val="008E41B9"/>
    <w:rsid w:val="008E60B8"/>
    <w:rsid w:val="008E68FB"/>
    <w:rsid w:val="008F006D"/>
    <w:rsid w:val="008F1000"/>
    <w:rsid w:val="008F33C2"/>
    <w:rsid w:val="008F4288"/>
    <w:rsid w:val="008F5324"/>
    <w:rsid w:val="008F5A30"/>
    <w:rsid w:val="008F6727"/>
    <w:rsid w:val="00903281"/>
    <w:rsid w:val="0090368A"/>
    <w:rsid w:val="00905BA8"/>
    <w:rsid w:val="00907D57"/>
    <w:rsid w:val="009134BB"/>
    <w:rsid w:val="00917F1C"/>
    <w:rsid w:val="00920085"/>
    <w:rsid w:val="009203BF"/>
    <w:rsid w:val="00922167"/>
    <w:rsid w:val="009237E2"/>
    <w:rsid w:val="0092620F"/>
    <w:rsid w:val="009275CC"/>
    <w:rsid w:val="009278D8"/>
    <w:rsid w:val="009316EC"/>
    <w:rsid w:val="009326C3"/>
    <w:rsid w:val="00951C4F"/>
    <w:rsid w:val="009521FC"/>
    <w:rsid w:val="009573F7"/>
    <w:rsid w:val="00961791"/>
    <w:rsid w:val="00961E29"/>
    <w:rsid w:val="00962DE5"/>
    <w:rsid w:val="00962E1E"/>
    <w:rsid w:val="00963CE5"/>
    <w:rsid w:val="00964244"/>
    <w:rsid w:val="009644ED"/>
    <w:rsid w:val="00966731"/>
    <w:rsid w:val="00966D11"/>
    <w:rsid w:val="00967488"/>
    <w:rsid w:val="00972023"/>
    <w:rsid w:val="00972057"/>
    <w:rsid w:val="0097255E"/>
    <w:rsid w:val="00973377"/>
    <w:rsid w:val="00975FBB"/>
    <w:rsid w:val="00976630"/>
    <w:rsid w:val="00976FC3"/>
    <w:rsid w:val="00976FF5"/>
    <w:rsid w:val="00985301"/>
    <w:rsid w:val="0098680C"/>
    <w:rsid w:val="00987037"/>
    <w:rsid w:val="00991BBE"/>
    <w:rsid w:val="00992802"/>
    <w:rsid w:val="0099447C"/>
    <w:rsid w:val="0099733B"/>
    <w:rsid w:val="00997B79"/>
    <w:rsid w:val="009A03E9"/>
    <w:rsid w:val="009A32AF"/>
    <w:rsid w:val="009A34E2"/>
    <w:rsid w:val="009A3B8F"/>
    <w:rsid w:val="009A556A"/>
    <w:rsid w:val="009A7513"/>
    <w:rsid w:val="009B075B"/>
    <w:rsid w:val="009B477C"/>
    <w:rsid w:val="009B755D"/>
    <w:rsid w:val="009C4797"/>
    <w:rsid w:val="009C4A34"/>
    <w:rsid w:val="009C7FBD"/>
    <w:rsid w:val="009D1063"/>
    <w:rsid w:val="009D213B"/>
    <w:rsid w:val="009D2FE4"/>
    <w:rsid w:val="009D4E72"/>
    <w:rsid w:val="009E09B3"/>
    <w:rsid w:val="009E42E2"/>
    <w:rsid w:val="009E75AF"/>
    <w:rsid w:val="009E796E"/>
    <w:rsid w:val="00A01C9B"/>
    <w:rsid w:val="00A05C0E"/>
    <w:rsid w:val="00A061F0"/>
    <w:rsid w:val="00A1073D"/>
    <w:rsid w:val="00A11A09"/>
    <w:rsid w:val="00A17513"/>
    <w:rsid w:val="00A20C80"/>
    <w:rsid w:val="00A23063"/>
    <w:rsid w:val="00A23287"/>
    <w:rsid w:val="00A23678"/>
    <w:rsid w:val="00A237A5"/>
    <w:rsid w:val="00A24C1D"/>
    <w:rsid w:val="00A305F0"/>
    <w:rsid w:val="00A32EA7"/>
    <w:rsid w:val="00A33D02"/>
    <w:rsid w:val="00A34C67"/>
    <w:rsid w:val="00A34F6F"/>
    <w:rsid w:val="00A3578A"/>
    <w:rsid w:val="00A35AD9"/>
    <w:rsid w:val="00A411EE"/>
    <w:rsid w:val="00A43188"/>
    <w:rsid w:val="00A45BA5"/>
    <w:rsid w:val="00A45DFC"/>
    <w:rsid w:val="00A46655"/>
    <w:rsid w:val="00A46689"/>
    <w:rsid w:val="00A4719A"/>
    <w:rsid w:val="00A479F2"/>
    <w:rsid w:val="00A51C85"/>
    <w:rsid w:val="00A53078"/>
    <w:rsid w:val="00A55B29"/>
    <w:rsid w:val="00A60787"/>
    <w:rsid w:val="00A6188C"/>
    <w:rsid w:val="00A62841"/>
    <w:rsid w:val="00A6429D"/>
    <w:rsid w:val="00A64DE4"/>
    <w:rsid w:val="00A653D7"/>
    <w:rsid w:val="00A73BA5"/>
    <w:rsid w:val="00A7605A"/>
    <w:rsid w:val="00A76FF9"/>
    <w:rsid w:val="00A77F48"/>
    <w:rsid w:val="00A80AA7"/>
    <w:rsid w:val="00A80ABC"/>
    <w:rsid w:val="00A82909"/>
    <w:rsid w:val="00A82F3B"/>
    <w:rsid w:val="00A83795"/>
    <w:rsid w:val="00A878EB"/>
    <w:rsid w:val="00A92418"/>
    <w:rsid w:val="00A92E85"/>
    <w:rsid w:val="00A930CE"/>
    <w:rsid w:val="00A94A27"/>
    <w:rsid w:val="00A95DFF"/>
    <w:rsid w:val="00AA3587"/>
    <w:rsid w:val="00AA4C16"/>
    <w:rsid w:val="00AB0FBA"/>
    <w:rsid w:val="00AB28DC"/>
    <w:rsid w:val="00AB3C43"/>
    <w:rsid w:val="00AB734C"/>
    <w:rsid w:val="00AC2389"/>
    <w:rsid w:val="00AC3A74"/>
    <w:rsid w:val="00AC65A9"/>
    <w:rsid w:val="00AC783D"/>
    <w:rsid w:val="00AD4D9F"/>
    <w:rsid w:val="00AE08A6"/>
    <w:rsid w:val="00AE188E"/>
    <w:rsid w:val="00AE196F"/>
    <w:rsid w:val="00AE1E00"/>
    <w:rsid w:val="00AE2080"/>
    <w:rsid w:val="00AE20DF"/>
    <w:rsid w:val="00AE68E5"/>
    <w:rsid w:val="00AF4C2E"/>
    <w:rsid w:val="00AF5686"/>
    <w:rsid w:val="00AF5754"/>
    <w:rsid w:val="00B011DA"/>
    <w:rsid w:val="00B01F1D"/>
    <w:rsid w:val="00B02AF2"/>
    <w:rsid w:val="00B02EC6"/>
    <w:rsid w:val="00B03062"/>
    <w:rsid w:val="00B041EC"/>
    <w:rsid w:val="00B0616E"/>
    <w:rsid w:val="00B10120"/>
    <w:rsid w:val="00B11608"/>
    <w:rsid w:val="00B12119"/>
    <w:rsid w:val="00B12490"/>
    <w:rsid w:val="00B147FD"/>
    <w:rsid w:val="00B14ED9"/>
    <w:rsid w:val="00B15695"/>
    <w:rsid w:val="00B163BE"/>
    <w:rsid w:val="00B31C66"/>
    <w:rsid w:val="00B3264E"/>
    <w:rsid w:val="00B33543"/>
    <w:rsid w:val="00B414A4"/>
    <w:rsid w:val="00B41AA8"/>
    <w:rsid w:val="00B43456"/>
    <w:rsid w:val="00B43DBE"/>
    <w:rsid w:val="00B50207"/>
    <w:rsid w:val="00B5547D"/>
    <w:rsid w:val="00B56225"/>
    <w:rsid w:val="00B57B93"/>
    <w:rsid w:val="00B61349"/>
    <w:rsid w:val="00B61401"/>
    <w:rsid w:val="00B61ED3"/>
    <w:rsid w:val="00B626ED"/>
    <w:rsid w:val="00B704DC"/>
    <w:rsid w:val="00B70D97"/>
    <w:rsid w:val="00B72B81"/>
    <w:rsid w:val="00B72DAE"/>
    <w:rsid w:val="00B75212"/>
    <w:rsid w:val="00B77A1F"/>
    <w:rsid w:val="00B800A0"/>
    <w:rsid w:val="00B83F4F"/>
    <w:rsid w:val="00B85666"/>
    <w:rsid w:val="00B86FC2"/>
    <w:rsid w:val="00B941D8"/>
    <w:rsid w:val="00B97346"/>
    <w:rsid w:val="00B973DF"/>
    <w:rsid w:val="00BA1513"/>
    <w:rsid w:val="00BA4575"/>
    <w:rsid w:val="00BA54DB"/>
    <w:rsid w:val="00BA57D4"/>
    <w:rsid w:val="00BA63C6"/>
    <w:rsid w:val="00BA6694"/>
    <w:rsid w:val="00BB0BDF"/>
    <w:rsid w:val="00BB21A9"/>
    <w:rsid w:val="00BC253D"/>
    <w:rsid w:val="00BC2D73"/>
    <w:rsid w:val="00BC59DE"/>
    <w:rsid w:val="00BC6262"/>
    <w:rsid w:val="00BC727F"/>
    <w:rsid w:val="00BD0255"/>
    <w:rsid w:val="00BD0F02"/>
    <w:rsid w:val="00BD4711"/>
    <w:rsid w:val="00BD565A"/>
    <w:rsid w:val="00BD6353"/>
    <w:rsid w:val="00BD670C"/>
    <w:rsid w:val="00BD7B9D"/>
    <w:rsid w:val="00BE2801"/>
    <w:rsid w:val="00BE2DDA"/>
    <w:rsid w:val="00BE3192"/>
    <w:rsid w:val="00BE4E51"/>
    <w:rsid w:val="00BE5E9F"/>
    <w:rsid w:val="00BE6A05"/>
    <w:rsid w:val="00BE6CAE"/>
    <w:rsid w:val="00BF0549"/>
    <w:rsid w:val="00BF17E9"/>
    <w:rsid w:val="00BF1DDD"/>
    <w:rsid w:val="00BF30D3"/>
    <w:rsid w:val="00BF5518"/>
    <w:rsid w:val="00BF5BF4"/>
    <w:rsid w:val="00BF67B0"/>
    <w:rsid w:val="00C06A14"/>
    <w:rsid w:val="00C07D9C"/>
    <w:rsid w:val="00C105D5"/>
    <w:rsid w:val="00C11136"/>
    <w:rsid w:val="00C1122D"/>
    <w:rsid w:val="00C1155B"/>
    <w:rsid w:val="00C11CB7"/>
    <w:rsid w:val="00C13FF7"/>
    <w:rsid w:val="00C145A0"/>
    <w:rsid w:val="00C149A9"/>
    <w:rsid w:val="00C17A38"/>
    <w:rsid w:val="00C20D6B"/>
    <w:rsid w:val="00C249C7"/>
    <w:rsid w:val="00C26572"/>
    <w:rsid w:val="00C32992"/>
    <w:rsid w:val="00C351DE"/>
    <w:rsid w:val="00C3662B"/>
    <w:rsid w:val="00C36E3A"/>
    <w:rsid w:val="00C42DBB"/>
    <w:rsid w:val="00C43045"/>
    <w:rsid w:val="00C437CD"/>
    <w:rsid w:val="00C446EF"/>
    <w:rsid w:val="00C4791B"/>
    <w:rsid w:val="00C51369"/>
    <w:rsid w:val="00C537A4"/>
    <w:rsid w:val="00C547BF"/>
    <w:rsid w:val="00C54A0E"/>
    <w:rsid w:val="00C55D26"/>
    <w:rsid w:val="00C608B9"/>
    <w:rsid w:val="00C61DAF"/>
    <w:rsid w:val="00C636AD"/>
    <w:rsid w:val="00C72323"/>
    <w:rsid w:val="00C72C27"/>
    <w:rsid w:val="00C75203"/>
    <w:rsid w:val="00C7620F"/>
    <w:rsid w:val="00C76602"/>
    <w:rsid w:val="00C84992"/>
    <w:rsid w:val="00C85CB0"/>
    <w:rsid w:val="00C85D2B"/>
    <w:rsid w:val="00C860C3"/>
    <w:rsid w:val="00C87554"/>
    <w:rsid w:val="00C87D29"/>
    <w:rsid w:val="00C90F4D"/>
    <w:rsid w:val="00C94F5D"/>
    <w:rsid w:val="00C972BF"/>
    <w:rsid w:val="00C974DC"/>
    <w:rsid w:val="00C9799F"/>
    <w:rsid w:val="00CA1CFE"/>
    <w:rsid w:val="00CA2598"/>
    <w:rsid w:val="00CA518E"/>
    <w:rsid w:val="00CA52A9"/>
    <w:rsid w:val="00CA5F3C"/>
    <w:rsid w:val="00CA7B1D"/>
    <w:rsid w:val="00CB0B83"/>
    <w:rsid w:val="00CB1A9E"/>
    <w:rsid w:val="00CB2D23"/>
    <w:rsid w:val="00CB4AED"/>
    <w:rsid w:val="00CB4DAD"/>
    <w:rsid w:val="00CB4DBA"/>
    <w:rsid w:val="00CB798D"/>
    <w:rsid w:val="00CB7E81"/>
    <w:rsid w:val="00CC00A8"/>
    <w:rsid w:val="00CC1A36"/>
    <w:rsid w:val="00CC3C8C"/>
    <w:rsid w:val="00CC69EE"/>
    <w:rsid w:val="00CD0DA7"/>
    <w:rsid w:val="00CD283D"/>
    <w:rsid w:val="00CD386B"/>
    <w:rsid w:val="00CD47F0"/>
    <w:rsid w:val="00CE1F4F"/>
    <w:rsid w:val="00CE20D1"/>
    <w:rsid w:val="00CF09F8"/>
    <w:rsid w:val="00CF1AF5"/>
    <w:rsid w:val="00CF259B"/>
    <w:rsid w:val="00CF3B5B"/>
    <w:rsid w:val="00CF53EF"/>
    <w:rsid w:val="00CF6A94"/>
    <w:rsid w:val="00D006C0"/>
    <w:rsid w:val="00D017FE"/>
    <w:rsid w:val="00D02C7F"/>
    <w:rsid w:val="00D07FF6"/>
    <w:rsid w:val="00D1078B"/>
    <w:rsid w:val="00D107A9"/>
    <w:rsid w:val="00D107DA"/>
    <w:rsid w:val="00D10ED4"/>
    <w:rsid w:val="00D142AB"/>
    <w:rsid w:val="00D21127"/>
    <w:rsid w:val="00D24A79"/>
    <w:rsid w:val="00D31A36"/>
    <w:rsid w:val="00D34961"/>
    <w:rsid w:val="00D37A2B"/>
    <w:rsid w:val="00D412A2"/>
    <w:rsid w:val="00D41414"/>
    <w:rsid w:val="00D4328C"/>
    <w:rsid w:val="00D45C7D"/>
    <w:rsid w:val="00D467A6"/>
    <w:rsid w:val="00D5319D"/>
    <w:rsid w:val="00D534FD"/>
    <w:rsid w:val="00D5561A"/>
    <w:rsid w:val="00D560E4"/>
    <w:rsid w:val="00D56B4E"/>
    <w:rsid w:val="00D578EA"/>
    <w:rsid w:val="00D60D2E"/>
    <w:rsid w:val="00D62843"/>
    <w:rsid w:val="00D628C2"/>
    <w:rsid w:val="00D62D72"/>
    <w:rsid w:val="00D642B1"/>
    <w:rsid w:val="00D652CD"/>
    <w:rsid w:val="00D665C7"/>
    <w:rsid w:val="00D66931"/>
    <w:rsid w:val="00D6781D"/>
    <w:rsid w:val="00D70488"/>
    <w:rsid w:val="00D7071B"/>
    <w:rsid w:val="00D72CC4"/>
    <w:rsid w:val="00D73C23"/>
    <w:rsid w:val="00D81D14"/>
    <w:rsid w:val="00D827E4"/>
    <w:rsid w:val="00D8331C"/>
    <w:rsid w:val="00D856EA"/>
    <w:rsid w:val="00D86137"/>
    <w:rsid w:val="00D86D33"/>
    <w:rsid w:val="00D919C9"/>
    <w:rsid w:val="00D936D4"/>
    <w:rsid w:val="00D949A7"/>
    <w:rsid w:val="00D96C96"/>
    <w:rsid w:val="00DA0392"/>
    <w:rsid w:val="00DA0CF5"/>
    <w:rsid w:val="00DA2216"/>
    <w:rsid w:val="00DA36B2"/>
    <w:rsid w:val="00DA3B5E"/>
    <w:rsid w:val="00DA5044"/>
    <w:rsid w:val="00DA777B"/>
    <w:rsid w:val="00DA7F42"/>
    <w:rsid w:val="00DB16AB"/>
    <w:rsid w:val="00DB22C7"/>
    <w:rsid w:val="00DB2FBF"/>
    <w:rsid w:val="00DB60BA"/>
    <w:rsid w:val="00DB63A5"/>
    <w:rsid w:val="00DB67D4"/>
    <w:rsid w:val="00DC31CB"/>
    <w:rsid w:val="00DC526A"/>
    <w:rsid w:val="00DC579E"/>
    <w:rsid w:val="00DC5B66"/>
    <w:rsid w:val="00DD1852"/>
    <w:rsid w:val="00DD4097"/>
    <w:rsid w:val="00DD4604"/>
    <w:rsid w:val="00DD7A84"/>
    <w:rsid w:val="00DE0BE2"/>
    <w:rsid w:val="00DE48E7"/>
    <w:rsid w:val="00DE48EB"/>
    <w:rsid w:val="00DE6D4B"/>
    <w:rsid w:val="00DF0957"/>
    <w:rsid w:val="00DF194F"/>
    <w:rsid w:val="00DF309D"/>
    <w:rsid w:val="00DF355C"/>
    <w:rsid w:val="00E00D34"/>
    <w:rsid w:val="00E036B5"/>
    <w:rsid w:val="00E067C6"/>
    <w:rsid w:val="00E15873"/>
    <w:rsid w:val="00E21DF5"/>
    <w:rsid w:val="00E22BA1"/>
    <w:rsid w:val="00E22C98"/>
    <w:rsid w:val="00E25868"/>
    <w:rsid w:val="00E27E62"/>
    <w:rsid w:val="00E329BB"/>
    <w:rsid w:val="00E336C0"/>
    <w:rsid w:val="00E344C5"/>
    <w:rsid w:val="00E40F54"/>
    <w:rsid w:val="00E41270"/>
    <w:rsid w:val="00E43799"/>
    <w:rsid w:val="00E45AEB"/>
    <w:rsid w:val="00E4619D"/>
    <w:rsid w:val="00E46A7D"/>
    <w:rsid w:val="00E47C27"/>
    <w:rsid w:val="00E50997"/>
    <w:rsid w:val="00E52BF5"/>
    <w:rsid w:val="00E547ED"/>
    <w:rsid w:val="00E554AB"/>
    <w:rsid w:val="00E56375"/>
    <w:rsid w:val="00E57A04"/>
    <w:rsid w:val="00E60F20"/>
    <w:rsid w:val="00E635D6"/>
    <w:rsid w:val="00E63C14"/>
    <w:rsid w:val="00E673BE"/>
    <w:rsid w:val="00E74AEE"/>
    <w:rsid w:val="00E76B3A"/>
    <w:rsid w:val="00E76DF8"/>
    <w:rsid w:val="00E812E5"/>
    <w:rsid w:val="00E8336C"/>
    <w:rsid w:val="00E836D3"/>
    <w:rsid w:val="00E8403F"/>
    <w:rsid w:val="00E85293"/>
    <w:rsid w:val="00E91DF9"/>
    <w:rsid w:val="00E9782F"/>
    <w:rsid w:val="00E97D8C"/>
    <w:rsid w:val="00EA1B99"/>
    <w:rsid w:val="00EA2E10"/>
    <w:rsid w:val="00EA448F"/>
    <w:rsid w:val="00EA518C"/>
    <w:rsid w:val="00EA5D7C"/>
    <w:rsid w:val="00EA6878"/>
    <w:rsid w:val="00EB0F8D"/>
    <w:rsid w:val="00EB6003"/>
    <w:rsid w:val="00EB7294"/>
    <w:rsid w:val="00ED0310"/>
    <w:rsid w:val="00ED14B8"/>
    <w:rsid w:val="00ED2F23"/>
    <w:rsid w:val="00ED43D8"/>
    <w:rsid w:val="00ED5839"/>
    <w:rsid w:val="00ED69E2"/>
    <w:rsid w:val="00ED71F4"/>
    <w:rsid w:val="00EE16F1"/>
    <w:rsid w:val="00EE19CB"/>
    <w:rsid w:val="00EE2D2F"/>
    <w:rsid w:val="00EE3574"/>
    <w:rsid w:val="00EE42B4"/>
    <w:rsid w:val="00EE57BF"/>
    <w:rsid w:val="00EE7ED7"/>
    <w:rsid w:val="00EF1F69"/>
    <w:rsid w:val="00EF284E"/>
    <w:rsid w:val="00EF3549"/>
    <w:rsid w:val="00EF5019"/>
    <w:rsid w:val="00EF5930"/>
    <w:rsid w:val="00EF5935"/>
    <w:rsid w:val="00EF5D19"/>
    <w:rsid w:val="00EF76EB"/>
    <w:rsid w:val="00F00E5A"/>
    <w:rsid w:val="00F0278D"/>
    <w:rsid w:val="00F03AE7"/>
    <w:rsid w:val="00F04674"/>
    <w:rsid w:val="00F04D16"/>
    <w:rsid w:val="00F05E95"/>
    <w:rsid w:val="00F12CE6"/>
    <w:rsid w:val="00F1448C"/>
    <w:rsid w:val="00F14E3D"/>
    <w:rsid w:val="00F15BEF"/>
    <w:rsid w:val="00F205A9"/>
    <w:rsid w:val="00F20D42"/>
    <w:rsid w:val="00F21827"/>
    <w:rsid w:val="00F233BE"/>
    <w:rsid w:val="00F23779"/>
    <w:rsid w:val="00F23B26"/>
    <w:rsid w:val="00F273E4"/>
    <w:rsid w:val="00F30CBC"/>
    <w:rsid w:val="00F334D5"/>
    <w:rsid w:val="00F4259B"/>
    <w:rsid w:val="00F44FBE"/>
    <w:rsid w:val="00F51429"/>
    <w:rsid w:val="00F54E0A"/>
    <w:rsid w:val="00F55180"/>
    <w:rsid w:val="00F554A2"/>
    <w:rsid w:val="00F5691B"/>
    <w:rsid w:val="00F62556"/>
    <w:rsid w:val="00F70098"/>
    <w:rsid w:val="00F704E2"/>
    <w:rsid w:val="00F72852"/>
    <w:rsid w:val="00F73103"/>
    <w:rsid w:val="00F743CE"/>
    <w:rsid w:val="00F76E01"/>
    <w:rsid w:val="00F800F2"/>
    <w:rsid w:val="00F80723"/>
    <w:rsid w:val="00F82FA5"/>
    <w:rsid w:val="00F85E70"/>
    <w:rsid w:val="00F87EC4"/>
    <w:rsid w:val="00F957F8"/>
    <w:rsid w:val="00F96BCE"/>
    <w:rsid w:val="00F97FEA"/>
    <w:rsid w:val="00FA0272"/>
    <w:rsid w:val="00FA1297"/>
    <w:rsid w:val="00FA321A"/>
    <w:rsid w:val="00FA3BDE"/>
    <w:rsid w:val="00FA4288"/>
    <w:rsid w:val="00FA5153"/>
    <w:rsid w:val="00FA5571"/>
    <w:rsid w:val="00FA5C25"/>
    <w:rsid w:val="00FA6DD3"/>
    <w:rsid w:val="00FB3738"/>
    <w:rsid w:val="00FB590F"/>
    <w:rsid w:val="00FC16F2"/>
    <w:rsid w:val="00FC2294"/>
    <w:rsid w:val="00FC317E"/>
    <w:rsid w:val="00FC43E9"/>
    <w:rsid w:val="00FC6228"/>
    <w:rsid w:val="00FC68AD"/>
    <w:rsid w:val="00FD0A94"/>
    <w:rsid w:val="00FD11BA"/>
    <w:rsid w:val="00FD2ADC"/>
    <w:rsid w:val="00FD3AA8"/>
    <w:rsid w:val="00FD4F9E"/>
    <w:rsid w:val="00FD799B"/>
    <w:rsid w:val="00FE0C8A"/>
    <w:rsid w:val="00FE72B7"/>
    <w:rsid w:val="00FE7A55"/>
    <w:rsid w:val="00FF13EB"/>
    <w:rsid w:val="00FF14F2"/>
    <w:rsid w:val="00FF1B65"/>
    <w:rsid w:val="00FF1FBD"/>
    <w:rsid w:val="00FF4D76"/>
    <w:rsid w:val="00FF5B43"/>
    <w:rsid w:val="00FF6AC1"/>
    <w:rsid w:val="00FF725E"/>
    <w:rsid w:val="12CE00D1"/>
    <w:rsid w:val="38C96B3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caption" w:uiPriority="35" w:qFormat="1"/>
    <w:lsdException w:name="page number" w:semiHidden="0" w:uiPriority="0" w:unhideWhenUsed="0" w:qFormat="1"/>
    <w:lsdException w:name="Title" w:semiHidden="0" w:uiPriority="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6F13"/>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8D6F13"/>
    <w:pPr>
      <w:ind w:firstLine="420"/>
    </w:pPr>
    <w:rPr>
      <w:rFonts w:ascii="Times New Roman" w:eastAsia="仿宋_GB2312" w:hAnsi="Times New Roman"/>
      <w:sz w:val="28"/>
      <w:szCs w:val="20"/>
    </w:rPr>
  </w:style>
  <w:style w:type="paragraph" w:styleId="a4">
    <w:name w:val="Balloon Text"/>
    <w:basedOn w:val="a"/>
    <w:semiHidden/>
    <w:qFormat/>
    <w:rsid w:val="008D6F13"/>
    <w:rPr>
      <w:sz w:val="18"/>
      <w:szCs w:val="18"/>
    </w:rPr>
  </w:style>
  <w:style w:type="paragraph" w:styleId="a5">
    <w:name w:val="footer"/>
    <w:basedOn w:val="a"/>
    <w:link w:val="Char"/>
    <w:uiPriority w:val="99"/>
    <w:unhideWhenUsed/>
    <w:rsid w:val="008D6F13"/>
    <w:pPr>
      <w:tabs>
        <w:tab w:val="center" w:pos="4153"/>
        <w:tab w:val="right" w:pos="8306"/>
      </w:tabs>
      <w:snapToGrid w:val="0"/>
      <w:jc w:val="left"/>
    </w:pPr>
    <w:rPr>
      <w:sz w:val="18"/>
      <w:szCs w:val="18"/>
    </w:rPr>
  </w:style>
  <w:style w:type="paragraph" w:styleId="a6">
    <w:name w:val="header"/>
    <w:basedOn w:val="a"/>
    <w:link w:val="Char0"/>
    <w:uiPriority w:val="99"/>
    <w:unhideWhenUsed/>
    <w:rsid w:val="008D6F13"/>
    <w:pPr>
      <w:pBdr>
        <w:bottom w:val="single" w:sz="6" w:space="1" w:color="auto"/>
      </w:pBdr>
      <w:tabs>
        <w:tab w:val="center" w:pos="4153"/>
        <w:tab w:val="right" w:pos="8306"/>
      </w:tabs>
      <w:snapToGrid w:val="0"/>
      <w:jc w:val="center"/>
    </w:pPr>
    <w:rPr>
      <w:sz w:val="18"/>
      <w:szCs w:val="18"/>
    </w:rPr>
  </w:style>
  <w:style w:type="paragraph" w:styleId="a7">
    <w:name w:val="Title"/>
    <w:basedOn w:val="a"/>
    <w:next w:val="a"/>
    <w:link w:val="Char1"/>
    <w:qFormat/>
    <w:rsid w:val="008D6F13"/>
    <w:pPr>
      <w:spacing w:before="240" w:after="60"/>
      <w:jc w:val="center"/>
      <w:outlineLvl w:val="0"/>
    </w:pPr>
    <w:rPr>
      <w:rFonts w:ascii="Cambria" w:hAnsi="Cambria"/>
      <w:b/>
      <w:bCs/>
      <w:sz w:val="32"/>
      <w:szCs w:val="32"/>
    </w:rPr>
  </w:style>
  <w:style w:type="character" w:styleId="a8">
    <w:name w:val="page number"/>
    <w:basedOn w:val="a0"/>
    <w:qFormat/>
    <w:rsid w:val="008D6F13"/>
  </w:style>
  <w:style w:type="character" w:customStyle="1" w:styleId="Char0">
    <w:name w:val="页眉 Char"/>
    <w:basedOn w:val="a0"/>
    <w:link w:val="a6"/>
    <w:uiPriority w:val="99"/>
    <w:rsid w:val="008D6F13"/>
    <w:rPr>
      <w:sz w:val="18"/>
      <w:szCs w:val="18"/>
    </w:rPr>
  </w:style>
  <w:style w:type="character" w:customStyle="1" w:styleId="Char">
    <w:name w:val="页脚 Char"/>
    <w:basedOn w:val="a0"/>
    <w:link w:val="a5"/>
    <w:uiPriority w:val="99"/>
    <w:rsid w:val="008D6F13"/>
    <w:rPr>
      <w:sz w:val="18"/>
      <w:szCs w:val="18"/>
    </w:rPr>
  </w:style>
  <w:style w:type="paragraph" w:customStyle="1" w:styleId="CharCharCharCharCharChar1CharCharChar">
    <w:name w:val="Char Char Char Char Char Char1 Char Char Char"/>
    <w:basedOn w:val="a"/>
    <w:qFormat/>
    <w:rsid w:val="008D6F13"/>
    <w:pPr>
      <w:autoSpaceDE w:val="0"/>
      <w:autoSpaceDN w:val="0"/>
      <w:adjustRightInd w:val="0"/>
      <w:jc w:val="left"/>
      <w:textAlignment w:val="baseline"/>
    </w:pPr>
    <w:rPr>
      <w:rFonts w:ascii="宋体" w:hAnsi="Times New Roman"/>
      <w:kern w:val="0"/>
      <w:sz w:val="34"/>
      <w:szCs w:val="20"/>
    </w:rPr>
  </w:style>
  <w:style w:type="paragraph" w:customStyle="1" w:styleId="Section">
    <w:name w:val="Section"/>
    <w:next w:val="a"/>
    <w:qFormat/>
    <w:rsid w:val="008D6F13"/>
    <w:pPr>
      <w:keepNext/>
      <w:keepLines/>
      <w:widowControl w:val="0"/>
      <w:spacing w:before="300" w:after="300" w:line="241" w:lineRule="auto"/>
      <w:jc w:val="both"/>
    </w:pPr>
    <w:rPr>
      <w:b/>
      <w:bCs/>
      <w:kern w:val="28"/>
      <w:sz w:val="21"/>
      <w:szCs w:val="21"/>
    </w:rPr>
  </w:style>
  <w:style w:type="character" w:customStyle="1" w:styleId="Char1">
    <w:name w:val="标题 Char"/>
    <w:basedOn w:val="a0"/>
    <w:link w:val="a7"/>
    <w:qFormat/>
    <w:rsid w:val="008D6F13"/>
    <w:rPr>
      <w:rFonts w:ascii="Cambria" w:hAnsi="Cambria"/>
      <w:b/>
      <w:bCs/>
      <w:kern w:val="2"/>
      <w:sz w:val="32"/>
      <w:szCs w:val="32"/>
    </w:rPr>
  </w:style>
  <w:style w:type="paragraph" w:styleId="a9">
    <w:name w:val="List Paragraph"/>
    <w:basedOn w:val="a"/>
    <w:uiPriority w:val="34"/>
    <w:qFormat/>
    <w:rsid w:val="008D6F13"/>
    <w:pPr>
      <w:ind w:firstLineChars="200" w:firstLine="420"/>
    </w:pPr>
  </w:style>
  <w:style w:type="character" w:customStyle="1" w:styleId="font11">
    <w:name w:val="font11"/>
    <w:basedOn w:val="a0"/>
    <w:rsid w:val="008D6F13"/>
    <w:rPr>
      <w:rFonts w:ascii="宋体" w:eastAsia="宋体" w:hAnsi="宋体" w:cs="宋体" w:hint="eastAsia"/>
      <w:color w:val="000000"/>
      <w:sz w:val="22"/>
      <w:szCs w:val="22"/>
      <w:u w:val="none"/>
    </w:rPr>
  </w:style>
  <w:style w:type="character" w:customStyle="1" w:styleId="font21">
    <w:name w:val="font21"/>
    <w:basedOn w:val="a0"/>
    <w:rsid w:val="008D6F13"/>
    <w:rPr>
      <w:rFonts w:ascii="MS Mincho" w:eastAsia="MS Mincho" w:hAnsi="MS Mincho" w:cs="MS Mincho"/>
      <w:color w:val="000000"/>
      <w:sz w:val="22"/>
      <w:szCs w:val="22"/>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B346E5-EA90-4F0F-90AB-8B839E666B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8</Pages>
  <Words>1033</Words>
  <Characters>5893</Characters>
  <Application>Microsoft Office Word</Application>
  <DocSecurity>0</DocSecurity>
  <Lines>49</Lines>
  <Paragraphs>13</Paragraphs>
  <ScaleCrop>false</ScaleCrop>
  <Company>Lenovo (Beijing) Limited</Company>
  <LinksUpToDate>false</LinksUpToDate>
  <CharactersWithSpaces>6913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徐建蓉</dc:creator>
  <cp:lastModifiedBy>Lenovo</cp:lastModifiedBy>
  <cp:revision>680</cp:revision>
  <cp:lastPrinted>2025-04-24T09:05:00Z</cp:lastPrinted>
  <dcterms:created xsi:type="dcterms:W3CDTF">2019-03-27T11:57:00Z</dcterms:created>
  <dcterms:modified xsi:type="dcterms:W3CDTF">2025-04-27T02:36:00Z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DA5013315A78421E89CCD8C7A3A0AB06</vt:lpwstr>
  </property>
  <property fmtid="{D5CDD505-2E9C-101B-9397-08002B2CF9AE}" pid="4" name="KSOTemplateDocerSaveRecord">
    <vt:lpwstr>eyJoZGlkIjoiNWQ1ZmVlOTBjMGM4NzMzYzgwNjQzMzIzMDMzNmI1MmYiLCJ1c2VySWQiOiIzOTA2NDM1OTQifQ==</vt:lpwstr>
  </property>
</Properties>
</file>