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74" w:rsidRPr="00110C62" w:rsidRDefault="005D3074">
      <w:pPr>
        <w:snapToGrid w:val="0"/>
        <w:spacing w:line="440" w:lineRule="exact"/>
        <w:outlineLvl w:val="0"/>
        <w:rPr>
          <w:rFonts w:ascii="宋体" w:hAnsi="宋体"/>
          <w:sz w:val="24"/>
        </w:rPr>
      </w:pPr>
      <w:r w:rsidRPr="00483136">
        <w:rPr>
          <w:rFonts w:ascii="宋体" w:hAnsi="宋体" w:hint="eastAsia"/>
          <w:sz w:val="24"/>
        </w:rPr>
        <w:t>证券代码：</w:t>
      </w:r>
      <w:r w:rsidR="00913018" w:rsidRPr="00483136">
        <w:rPr>
          <w:rFonts w:ascii="宋体" w:hAnsi="宋体" w:hint="eastAsia"/>
          <w:sz w:val="24"/>
        </w:rPr>
        <w:t>000936</w:t>
      </w:r>
      <w:r w:rsidRPr="00483136">
        <w:rPr>
          <w:rFonts w:ascii="宋体" w:hAnsi="宋体" w:hint="eastAsia"/>
          <w:sz w:val="24"/>
        </w:rPr>
        <w:t xml:space="preserve">      　证券简称：</w:t>
      </w:r>
      <w:r w:rsidR="00913018" w:rsidRPr="00483136">
        <w:rPr>
          <w:rFonts w:ascii="宋体" w:hAnsi="宋体" w:hint="eastAsia"/>
          <w:sz w:val="24"/>
        </w:rPr>
        <w:t>华西股份</w:t>
      </w:r>
      <w:r w:rsidRPr="00483136">
        <w:rPr>
          <w:rFonts w:ascii="宋体" w:hAnsi="宋体" w:hint="eastAsia"/>
          <w:sz w:val="24"/>
        </w:rPr>
        <w:t xml:space="preserve">      </w:t>
      </w:r>
      <w:r w:rsidRPr="009D7FF7">
        <w:rPr>
          <w:rFonts w:ascii="宋体" w:hAnsi="宋体" w:hint="eastAsia"/>
          <w:color w:val="FF0000"/>
          <w:sz w:val="24"/>
        </w:rPr>
        <w:t xml:space="preserve"> </w:t>
      </w:r>
      <w:r w:rsidRPr="00110C62">
        <w:rPr>
          <w:rFonts w:ascii="宋体" w:hAnsi="宋体" w:hint="eastAsia"/>
          <w:sz w:val="24"/>
        </w:rPr>
        <w:t xml:space="preserve">  公告编号：</w:t>
      </w:r>
      <w:r w:rsidR="009A5B85" w:rsidRPr="00110C62">
        <w:rPr>
          <w:rFonts w:ascii="宋体" w:hAnsi="宋体" w:hint="eastAsia"/>
          <w:sz w:val="24"/>
        </w:rPr>
        <w:t>202</w:t>
      </w:r>
      <w:r w:rsidR="004A5A6B" w:rsidRPr="00110C62">
        <w:rPr>
          <w:rFonts w:ascii="宋体" w:hAnsi="宋体" w:hint="eastAsia"/>
          <w:sz w:val="24"/>
        </w:rPr>
        <w:t>5</w:t>
      </w:r>
      <w:r w:rsidR="00E43543" w:rsidRPr="00110C62">
        <w:rPr>
          <w:rFonts w:ascii="宋体" w:hAnsi="宋体" w:hint="eastAsia"/>
          <w:sz w:val="24"/>
        </w:rPr>
        <w:t>-</w:t>
      </w:r>
      <w:r w:rsidR="005C1361" w:rsidRPr="00110C62">
        <w:rPr>
          <w:rFonts w:ascii="宋体" w:hAnsi="宋体" w:hint="eastAsia"/>
          <w:sz w:val="24"/>
        </w:rPr>
        <w:t>0</w:t>
      </w:r>
      <w:r w:rsidR="00083116" w:rsidRPr="00110C62">
        <w:rPr>
          <w:rFonts w:ascii="宋体" w:hAnsi="宋体" w:hint="eastAsia"/>
          <w:sz w:val="24"/>
        </w:rPr>
        <w:t>11</w:t>
      </w:r>
    </w:p>
    <w:p w:rsidR="00E43543" w:rsidRPr="000F2E88" w:rsidRDefault="00E43543">
      <w:pPr>
        <w:snapToGrid w:val="0"/>
        <w:spacing w:line="440" w:lineRule="exact"/>
        <w:outlineLvl w:val="0"/>
        <w:rPr>
          <w:rFonts w:ascii="宋体" w:hAnsi="宋体"/>
          <w:sz w:val="24"/>
        </w:rPr>
      </w:pPr>
    </w:p>
    <w:p w:rsidR="005D3074" w:rsidRPr="00E43543" w:rsidRDefault="005D3074" w:rsidP="00E43543">
      <w:pPr>
        <w:snapToGrid w:val="0"/>
        <w:spacing w:beforeLines="50" w:before="156"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E43543">
        <w:rPr>
          <w:rFonts w:ascii="黑体" w:eastAsia="黑体" w:hAnsi="黑体" w:hint="eastAsia"/>
          <w:b/>
          <w:sz w:val="30"/>
          <w:szCs w:val="30"/>
        </w:rPr>
        <w:t>江苏</w:t>
      </w:r>
      <w:r w:rsidR="00913018" w:rsidRPr="00E43543">
        <w:rPr>
          <w:rFonts w:ascii="黑体" w:eastAsia="黑体" w:hAnsi="黑体" w:hint="eastAsia"/>
          <w:b/>
          <w:sz w:val="30"/>
          <w:szCs w:val="30"/>
        </w:rPr>
        <w:t>华西村</w:t>
      </w:r>
      <w:r w:rsidRPr="00E43543">
        <w:rPr>
          <w:rFonts w:ascii="黑体" w:eastAsia="黑体" w:hAnsi="黑体" w:hint="eastAsia"/>
          <w:b/>
          <w:sz w:val="30"/>
          <w:szCs w:val="30"/>
        </w:rPr>
        <w:t>股份有限公司</w:t>
      </w:r>
    </w:p>
    <w:p w:rsidR="005D3074" w:rsidRPr="00E43543" w:rsidRDefault="005D3074" w:rsidP="00E43543">
      <w:pPr>
        <w:pStyle w:val="a6"/>
        <w:pBdr>
          <w:bottom w:val="none" w:sz="0" w:space="0" w:color="auto"/>
        </w:pBdr>
        <w:tabs>
          <w:tab w:val="left" w:pos="2835"/>
        </w:tabs>
        <w:spacing w:line="360" w:lineRule="auto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E43543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关于开展</w:t>
      </w:r>
      <w:r w:rsidR="00CE1E16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期货和衍</w:t>
      </w:r>
      <w:r w:rsidR="00495320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生品交易</w:t>
      </w:r>
      <w:r w:rsidRPr="00E43543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的公告</w:t>
      </w:r>
    </w:p>
    <w:p w:rsidR="005D3074" w:rsidRPr="00913018" w:rsidRDefault="005D3074">
      <w:pPr>
        <w:pStyle w:val="a6"/>
        <w:pBdr>
          <w:bottom w:val="none" w:sz="0" w:space="0" w:color="auto"/>
        </w:pBdr>
        <w:tabs>
          <w:tab w:val="left" w:pos="2835"/>
        </w:tabs>
        <w:spacing w:line="440" w:lineRule="exact"/>
        <w:rPr>
          <w:rFonts w:ascii="宋体" w:hAnsi="宋体"/>
          <w:bCs/>
          <w:sz w:val="24"/>
          <w:szCs w:val="24"/>
        </w:rPr>
      </w:pPr>
    </w:p>
    <w:p w:rsidR="00BC33DE" w:rsidRPr="002B7EE0" w:rsidRDefault="00BC33DE" w:rsidP="00BC33DE">
      <w:pPr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2B7EE0">
        <w:rPr>
          <w:rFonts w:ascii="宋体" w:hAnsi="宋体"/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415666" w:rsidRPr="00BC33DE" w:rsidRDefault="00415666" w:rsidP="00E43543">
      <w:pPr>
        <w:snapToGrid w:val="0"/>
        <w:spacing w:line="480" w:lineRule="exact"/>
        <w:ind w:firstLine="540"/>
        <w:jc w:val="left"/>
        <w:rPr>
          <w:rFonts w:ascii="宋体" w:hAnsi="宋体"/>
          <w:sz w:val="24"/>
        </w:rPr>
      </w:pPr>
    </w:p>
    <w:p w:rsidR="00A50889" w:rsidRPr="00A50889" w:rsidRDefault="00A50889" w:rsidP="00BE0005">
      <w:pPr>
        <w:pStyle w:val="Default"/>
        <w:snapToGrid w:val="0"/>
        <w:spacing w:line="360" w:lineRule="auto"/>
        <w:ind w:firstLineChars="200" w:firstLine="482"/>
        <w:rPr>
          <w:rFonts w:hAnsi="宋体"/>
          <w:b/>
        </w:rPr>
      </w:pPr>
      <w:r w:rsidRPr="00A50889">
        <w:rPr>
          <w:rFonts w:hAnsi="宋体" w:hint="eastAsia"/>
          <w:b/>
        </w:rPr>
        <w:t>重要内容提示：</w:t>
      </w:r>
    </w:p>
    <w:p w:rsidR="001B71C9" w:rsidRPr="001B71C9" w:rsidRDefault="001B71C9" w:rsidP="00BE0005">
      <w:pPr>
        <w:pStyle w:val="Default"/>
        <w:snapToGrid w:val="0"/>
        <w:spacing w:line="360" w:lineRule="auto"/>
        <w:ind w:firstLineChars="200" w:firstLine="480"/>
        <w:rPr>
          <w:rFonts w:hAnsi="宋体"/>
        </w:rPr>
      </w:pPr>
      <w:r w:rsidRPr="001B71C9">
        <w:rPr>
          <w:rFonts w:hAnsi="宋体" w:hint="eastAsia"/>
        </w:rPr>
        <w:t>1</w:t>
      </w:r>
      <w:r w:rsidR="006118E9">
        <w:rPr>
          <w:rFonts w:hAnsi="宋体" w:hint="eastAsia"/>
        </w:rPr>
        <w:t>、投资</w:t>
      </w:r>
      <w:r w:rsidR="00D42FD6">
        <w:rPr>
          <w:rFonts w:hAnsi="宋体" w:hint="eastAsia"/>
        </w:rPr>
        <w:t>品种</w:t>
      </w:r>
      <w:r w:rsidRPr="001B71C9">
        <w:rPr>
          <w:rFonts w:hAnsi="宋体" w:hint="eastAsia"/>
        </w:rPr>
        <w:t>：公司生产运营所需原材料精对苯二甲酸（PTA）、乙二醇（MEG），</w:t>
      </w:r>
      <w:r w:rsidR="00AF5BF2">
        <w:rPr>
          <w:rFonts w:hAnsi="宋体" w:hint="eastAsia"/>
        </w:rPr>
        <w:t>产成品</w:t>
      </w:r>
      <w:r w:rsidR="00F27A5B">
        <w:rPr>
          <w:rFonts w:hAnsi="宋体" w:hint="eastAsia"/>
        </w:rPr>
        <w:t>涤纶</w:t>
      </w:r>
      <w:r w:rsidRPr="001B71C9">
        <w:rPr>
          <w:rFonts w:hAnsi="宋体" w:hint="eastAsia"/>
        </w:rPr>
        <w:t>短</w:t>
      </w:r>
      <w:proofErr w:type="gramStart"/>
      <w:r w:rsidRPr="001B71C9">
        <w:rPr>
          <w:rFonts w:hAnsi="宋体" w:hint="eastAsia"/>
        </w:rPr>
        <w:t>纤</w:t>
      </w:r>
      <w:proofErr w:type="gramEnd"/>
      <w:r w:rsidRPr="001B71C9">
        <w:rPr>
          <w:rFonts w:hAnsi="宋体" w:hint="eastAsia"/>
        </w:rPr>
        <w:t>（PF）</w:t>
      </w:r>
      <w:r w:rsidR="00FE0061" w:rsidRPr="00CE1E16">
        <w:rPr>
          <w:rFonts w:hAnsi="宋体" w:hint="eastAsia"/>
          <w:color w:val="auto"/>
        </w:rPr>
        <w:t>等相关</w:t>
      </w:r>
      <w:r w:rsidR="00495320" w:rsidRPr="00CE1E16">
        <w:rPr>
          <w:rFonts w:hAnsi="宋体" w:hint="eastAsia"/>
          <w:color w:val="auto"/>
        </w:rPr>
        <w:t>商品</w:t>
      </w:r>
      <w:r w:rsidR="00A43976" w:rsidRPr="00CE1E16">
        <w:rPr>
          <w:rFonts w:hAnsi="宋体" w:hint="eastAsia"/>
          <w:color w:val="auto"/>
        </w:rPr>
        <w:t>的交易合约。</w:t>
      </w:r>
    </w:p>
    <w:p w:rsidR="00811906" w:rsidRPr="00191E91" w:rsidRDefault="001B71C9" w:rsidP="0081190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 w:rsidRPr="00191E91">
        <w:rPr>
          <w:rFonts w:hAnsi="宋体" w:hint="eastAsia"/>
          <w:color w:val="auto"/>
        </w:rPr>
        <w:t>2</w:t>
      </w:r>
      <w:r w:rsidR="00191E91" w:rsidRPr="00191E91">
        <w:rPr>
          <w:rFonts w:hAnsi="宋体" w:hint="eastAsia"/>
          <w:color w:val="auto"/>
        </w:rPr>
        <w:t>、投资</w:t>
      </w:r>
      <w:r w:rsidRPr="00191E91">
        <w:rPr>
          <w:rFonts w:hAnsi="宋体" w:hint="eastAsia"/>
          <w:color w:val="auto"/>
        </w:rPr>
        <w:t>金额：</w:t>
      </w:r>
      <w:r w:rsidR="00811906" w:rsidRPr="00191E91">
        <w:rPr>
          <w:rFonts w:hAnsi="宋体" w:hint="eastAsia"/>
          <w:color w:val="auto"/>
        </w:rPr>
        <w:t>在业务开展期间，任一时点</w:t>
      </w:r>
      <w:r w:rsidR="00053D9D" w:rsidRPr="00191E91">
        <w:rPr>
          <w:rFonts w:hAnsi="宋体" w:hint="eastAsia"/>
          <w:color w:val="auto"/>
        </w:rPr>
        <w:t>保证金</w:t>
      </w:r>
      <w:r w:rsidR="0075443D">
        <w:rPr>
          <w:rFonts w:hAnsi="宋体" w:hint="eastAsia"/>
          <w:color w:val="auto"/>
        </w:rPr>
        <w:t>和权利金上限</w:t>
      </w:r>
      <w:r w:rsidR="00811906" w:rsidRPr="00191E91">
        <w:rPr>
          <w:rFonts w:hAnsi="宋体"/>
          <w:color w:val="auto"/>
        </w:rPr>
        <w:t>(含前述</w:t>
      </w:r>
      <w:r w:rsidR="00191E91" w:rsidRPr="00191E91">
        <w:rPr>
          <w:rFonts w:hAnsi="宋体"/>
          <w:color w:val="auto"/>
        </w:rPr>
        <w:t>投资</w:t>
      </w:r>
      <w:r w:rsidR="00811906" w:rsidRPr="00191E91">
        <w:rPr>
          <w:rFonts w:hAnsi="宋体"/>
          <w:color w:val="auto"/>
        </w:rPr>
        <w:t>的收益进行再</w:t>
      </w:r>
      <w:r w:rsidR="00191E91" w:rsidRPr="00191E91">
        <w:rPr>
          <w:rFonts w:hAnsi="宋体"/>
          <w:color w:val="auto"/>
        </w:rPr>
        <w:t>投资</w:t>
      </w:r>
      <w:r w:rsidR="00811906" w:rsidRPr="00191E91">
        <w:rPr>
          <w:rFonts w:hAnsi="宋体"/>
          <w:color w:val="auto"/>
        </w:rPr>
        <w:t>的相关金额</w:t>
      </w:r>
      <w:r w:rsidR="00D907B2">
        <w:rPr>
          <w:rFonts w:hAnsi="宋体" w:hint="eastAsia"/>
          <w:color w:val="auto"/>
        </w:rPr>
        <w:t>，不包括交割当期头寸而支付的全额保证金在内</w:t>
      </w:r>
      <w:r w:rsidR="00811906" w:rsidRPr="00191E91">
        <w:rPr>
          <w:rFonts w:hAnsi="宋体"/>
          <w:color w:val="auto"/>
        </w:rPr>
        <w:t>)</w:t>
      </w:r>
      <w:r w:rsidR="00D907B2">
        <w:rPr>
          <w:rFonts w:hAnsi="宋体"/>
          <w:color w:val="auto"/>
        </w:rPr>
        <w:t>合计不</w:t>
      </w:r>
      <w:r w:rsidR="00811906" w:rsidRPr="00191E91">
        <w:rPr>
          <w:rFonts w:hAnsi="宋体" w:hint="eastAsia"/>
          <w:color w:val="auto"/>
        </w:rPr>
        <w:t>超过人民币6,000万元，在上述额度内资金可循环使用。</w:t>
      </w:r>
    </w:p>
    <w:p w:rsidR="001B71C9" w:rsidRDefault="001B71C9" w:rsidP="0081190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</w:rPr>
      </w:pPr>
      <w:r w:rsidRPr="001B71C9">
        <w:rPr>
          <w:rFonts w:hAnsi="宋体" w:hint="eastAsia"/>
        </w:rPr>
        <w:t>3、为有效控制经营风险，提高公司抵御市场波动的能力，公司拟进行与自身生产经营相关</w:t>
      </w:r>
      <w:r w:rsidR="006118E9">
        <w:rPr>
          <w:rFonts w:hAnsi="宋体" w:hint="eastAsia"/>
        </w:rPr>
        <w:t>的</w:t>
      </w:r>
      <w:r w:rsidRPr="001B71C9">
        <w:rPr>
          <w:rFonts w:hAnsi="宋体" w:hint="eastAsia"/>
        </w:rPr>
        <w:t>原材料和产</w:t>
      </w:r>
      <w:r w:rsidR="0081757D">
        <w:rPr>
          <w:rFonts w:hAnsi="宋体" w:hint="eastAsia"/>
        </w:rPr>
        <w:t>成</w:t>
      </w:r>
      <w:r w:rsidRPr="001B71C9">
        <w:rPr>
          <w:rFonts w:hAnsi="宋体" w:hint="eastAsia"/>
        </w:rPr>
        <w:t>品</w:t>
      </w:r>
      <w:r w:rsidR="00A43976">
        <w:rPr>
          <w:rFonts w:hAnsi="宋体" w:hint="eastAsia"/>
        </w:rPr>
        <w:t>的</w:t>
      </w:r>
      <w:r w:rsidR="00F601B1">
        <w:rPr>
          <w:rFonts w:hAnsi="宋体" w:hint="eastAsia"/>
        </w:rPr>
        <w:t>期货和</w:t>
      </w:r>
      <w:r w:rsidRPr="001B71C9">
        <w:rPr>
          <w:rFonts w:hAnsi="宋体" w:hint="eastAsia"/>
        </w:rPr>
        <w:t>衍生品套期保值</w:t>
      </w:r>
      <w:r w:rsidR="006118E9">
        <w:rPr>
          <w:rFonts w:hAnsi="宋体" w:hint="eastAsia"/>
        </w:rPr>
        <w:t>业务。</w:t>
      </w:r>
      <w:r w:rsidRPr="001B71C9">
        <w:rPr>
          <w:rFonts w:hAnsi="宋体" w:hint="eastAsia"/>
        </w:rPr>
        <w:t>敬请投资者注意投资风险。</w:t>
      </w:r>
    </w:p>
    <w:p w:rsidR="00555BBB" w:rsidRDefault="00555BBB" w:rsidP="00555BBB">
      <w:pPr>
        <w:pStyle w:val="Default"/>
        <w:snapToGrid w:val="0"/>
        <w:spacing w:line="360" w:lineRule="auto"/>
        <w:ind w:firstLineChars="200" w:firstLine="482"/>
        <w:rPr>
          <w:rFonts w:hAnsi="宋体"/>
          <w:b/>
        </w:rPr>
      </w:pPr>
    </w:p>
    <w:p w:rsidR="005D3074" w:rsidRPr="00E43543" w:rsidRDefault="005D3074" w:rsidP="00BE0005">
      <w:pPr>
        <w:pStyle w:val="Default"/>
        <w:snapToGrid w:val="0"/>
        <w:spacing w:line="360" w:lineRule="auto"/>
        <w:ind w:firstLineChars="200" w:firstLine="482"/>
        <w:rPr>
          <w:rFonts w:hAnsi="宋体"/>
          <w:b/>
        </w:rPr>
      </w:pPr>
      <w:r w:rsidRPr="00E43543">
        <w:rPr>
          <w:rFonts w:hAnsi="宋体" w:hint="eastAsia"/>
          <w:b/>
        </w:rPr>
        <w:t>一、</w:t>
      </w:r>
      <w:r w:rsidR="00415666">
        <w:rPr>
          <w:rFonts w:hAnsi="宋体" w:hint="eastAsia"/>
          <w:b/>
        </w:rPr>
        <w:t>投资情况概述</w:t>
      </w:r>
    </w:p>
    <w:p w:rsidR="00694D78" w:rsidRDefault="00415666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="00495320">
        <w:rPr>
          <w:rFonts w:ascii="宋体" w:hAnsi="宋体" w:hint="eastAsia"/>
          <w:color w:val="000000"/>
          <w:sz w:val="24"/>
        </w:rPr>
        <w:t>、投资目的</w:t>
      </w:r>
    </w:p>
    <w:p w:rsidR="00AB38A0" w:rsidRDefault="00694D78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163104">
        <w:rPr>
          <w:rFonts w:ascii="宋体" w:hAnsi="宋体" w:hint="eastAsia"/>
          <w:color w:val="000000"/>
          <w:sz w:val="24"/>
        </w:rPr>
        <w:t>江苏华西村股份有限公司（以下简称“公司”）</w:t>
      </w:r>
      <w:r w:rsidR="001B71C9" w:rsidRPr="00163104">
        <w:rPr>
          <w:rFonts w:ascii="宋体" w:hAnsi="宋体" w:hint="eastAsia"/>
          <w:color w:val="000000"/>
          <w:sz w:val="24"/>
        </w:rPr>
        <w:t>主要</w:t>
      </w:r>
      <w:r w:rsidR="00163104">
        <w:rPr>
          <w:rFonts w:ascii="宋体" w:hAnsi="宋体" w:hint="eastAsia"/>
          <w:color w:val="000000"/>
          <w:sz w:val="24"/>
        </w:rPr>
        <w:t>生产</w:t>
      </w:r>
      <w:r w:rsidR="001B71C9" w:rsidRPr="00163104">
        <w:rPr>
          <w:rFonts w:ascii="宋体" w:hAnsi="宋体" w:hint="eastAsia"/>
          <w:color w:val="000000"/>
          <w:sz w:val="24"/>
        </w:rPr>
        <w:t>产品为</w:t>
      </w:r>
      <w:r w:rsidR="00F54E05" w:rsidRPr="00163104">
        <w:rPr>
          <w:rFonts w:ascii="宋体" w:hAnsi="宋体" w:hint="eastAsia"/>
          <w:color w:val="000000"/>
          <w:sz w:val="24"/>
        </w:rPr>
        <w:t>涤纶短纤</w:t>
      </w:r>
      <w:r w:rsidR="00976365" w:rsidRPr="00163104">
        <w:rPr>
          <w:rFonts w:ascii="宋体" w:hAnsi="宋体" w:hint="eastAsia"/>
          <w:color w:val="000000"/>
          <w:sz w:val="24"/>
        </w:rPr>
        <w:t>维</w:t>
      </w:r>
      <w:r w:rsidR="001B71C9" w:rsidRPr="00163104">
        <w:rPr>
          <w:rFonts w:ascii="宋体" w:hAnsi="宋体" w:hint="eastAsia"/>
          <w:color w:val="000000"/>
          <w:sz w:val="24"/>
        </w:rPr>
        <w:t>，</w:t>
      </w:r>
      <w:r w:rsidR="00884FC1">
        <w:rPr>
          <w:rFonts w:ascii="宋体" w:hAnsi="宋体" w:hint="eastAsia"/>
          <w:color w:val="000000"/>
          <w:sz w:val="24"/>
        </w:rPr>
        <w:t>其主要原料为精对苯二甲酸和乙二醇。</w:t>
      </w:r>
      <w:r w:rsidR="00AB38A0" w:rsidRPr="00AB38A0">
        <w:rPr>
          <w:rFonts w:ascii="宋体" w:hAnsi="宋体" w:hint="eastAsia"/>
          <w:color w:val="000000"/>
          <w:sz w:val="24"/>
        </w:rPr>
        <w:t>受宏观经济及石油价格等因素的影响，</w:t>
      </w:r>
      <w:r w:rsidR="009E67F2">
        <w:rPr>
          <w:rFonts w:ascii="宋体" w:hAnsi="宋体" w:hint="eastAsia"/>
          <w:color w:val="000000"/>
          <w:sz w:val="24"/>
        </w:rPr>
        <w:t>公司产品及原料</w:t>
      </w:r>
      <w:r w:rsidR="00884FC1">
        <w:rPr>
          <w:rFonts w:ascii="宋体" w:hAnsi="宋体" w:hint="eastAsia"/>
          <w:color w:val="000000"/>
          <w:sz w:val="24"/>
        </w:rPr>
        <w:t>价格波动幅度较大，</w:t>
      </w:r>
      <w:r w:rsidR="00AB38A0" w:rsidRPr="00AB38A0">
        <w:rPr>
          <w:rFonts w:ascii="宋体" w:hAnsi="宋体" w:hint="eastAsia"/>
          <w:color w:val="000000"/>
          <w:sz w:val="24"/>
        </w:rPr>
        <w:t>对公司的盈利能力带来较大影响。</w:t>
      </w:r>
    </w:p>
    <w:p w:rsidR="00AB38A0" w:rsidRDefault="00CE1E16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E1E16">
        <w:rPr>
          <w:rFonts w:ascii="宋体" w:hAnsi="宋体" w:hint="eastAsia"/>
          <w:color w:val="000000"/>
          <w:sz w:val="24"/>
        </w:rPr>
        <w:t>为有效规避原材料及产品价格波动带来的风险，降低其对公司生产经营的影响，</w:t>
      </w:r>
      <w:r w:rsidR="00AB38A0">
        <w:rPr>
          <w:rFonts w:ascii="宋体" w:hAnsi="宋体" w:hint="eastAsia"/>
          <w:color w:val="000000"/>
          <w:sz w:val="24"/>
        </w:rPr>
        <w:t>在不影响公司主营业务</w:t>
      </w:r>
      <w:r w:rsidR="009E67F2">
        <w:rPr>
          <w:rFonts w:ascii="宋体" w:hAnsi="宋体" w:hint="eastAsia"/>
          <w:color w:val="000000"/>
          <w:sz w:val="24"/>
        </w:rPr>
        <w:t>正常</w:t>
      </w:r>
      <w:r w:rsidR="00AB38A0">
        <w:rPr>
          <w:rFonts w:ascii="宋体" w:hAnsi="宋体" w:hint="eastAsia"/>
          <w:color w:val="000000"/>
          <w:sz w:val="24"/>
        </w:rPr>
        <w:t>开展的情况下，</w:t>
      </w:r>
      <w:r w:rsidR="00AB38A0" w:rsidRPr="00163104">
        <w:rPr>
          <w:rFonts w:ascii="宋体" w:hAnsi="宋体" w:hint="eastAsia"/>
          <w:color w:val="000000"/>
          <w:sz w:val="24"/>
        </w:rPr>
        <w:t>公司</w:t>
      </w:r>
      <w:r w:rsidR="00AB38A0">
        <w:rPr>
          <w:rFonts w:ascii="宋体" w:hAnsi="宋体" w:hint="eastAsia"/>
          <w:color w:val="000000"/>
          <w:sz w:val="24"/>
        </w:rPr>
        <w:t>（含子公司）</w:t>
      </w:r>
      <w:r w:rsidR="00AB38A0" w:rsidRPr="00163104">
        <w:rPr>
          <w:rFonts w:ascii="宋体" w:hAnsi="宋体" w:hint="eastAsia"/>
          <w:color w:val="000000"/>
          <w:sz w:val="24"/>
        </w:rPr>
        <w:t>拟开展</w:t>
      </w:r>
      <w:r w:rsidR="00F601B1">
        <w:rPr>
          <w:rFonts w:ascii="宋体" w:hAnsi="宋体" w:hint="eastAsia"/>
          <w:color w:val="000000"/>
          <w:sz w:val="24"/>
        </w:rPr>
        <w:t>期货和</w:t>
      </w:r>
      <w:proofErr w:type="gramStart"/>
      <w:r w:rsidR="00AB38A0">
        <w:rPr>
          <w:rFonts w:ascii="宋体" w:hAnsi="宋体" w:hint="eastAsia"/>
          <w:color w:val="000000"/>
          <w:sz w:val="24"/>
        </w:rPr>
        <w:t>衍生品</w:t>
      </w:r>
      <w:r w:rsidR="00AB38A0" w:rsidRPr="00163104">
        <w:rPr>
          <w:rFonts w:ascii="宋体" w:hAnsi="宋体" w:hint="eastAsia"/>
          <w:color w:val="000000"/>
          <w:sz w:val="24"/>
        </w:rPr>
        <w:t>套期</w:t>
      </w:r>
      <w:proofErr w:type="gramEnd"/>
      <w:r w:rsidR="00AB38A0" w:rsidRPr="00163104">
        <w:rPr>
          <w:rFonts w:ascii="宋体" w:hAnsi="宋体" w:hint="eastAsia"/>
          <w:color w:val="000000"/>
          <w:sz w:val="24"/>
        </w:rPr>
        <w:t>保值业务。</w:t>
      </w:r>
    </w:p>
    <w:p w:rsidR="0081757D" w:rsidRPr="00AB38A0" w:rsidRDefault="0081757D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191E91" w:rsidRDefault="00191E91" w:rsidP="00191E91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 w:rsidRPr="00191E91">
        <w:rPr>
          <w:rFonts w:hAnsi="宋体" w:hint="eastAsia"/>
          <w:color w:val="auto"/>
        </w:rPr>
        <w:t>2、投资</w:t>
      </w:r>
      <w:r>
        <w:rPr>
          <w:rFonts w:hAnsi="宋体" w:hint="eastAsia"/>
          <w:color w:val="auto"/>
        </w:rPr>
        <w:t>金额</w:t>
      </w:r>
    </w:p>
    <w:p w:rsidR="00D907B2" w:rsidRPr="00191E91" w:rsidRDefault="00D907B2" w:rsidP="00D907B2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 w:rsidRPr="00191E91">
        <w:rPr>
          <w:rFonts w:hAnsi="宋体" w:hint="eastAsia"/>
          <w:color w:val="auto"/>
        </w:rPr>
        <w:t>在业务开展期间，任一时点保证金</w:t>
      </w:r>
      <w:r w:rsidR="0075443D">
        <w:rPr>
          <w:rFonts w:hAnsi="宋体" w:hint="eastAsia"/>
          <w:color w:val="auto"/>
        </w:rPr>
        <w:t>和权利金上限</w:t>
      </w:r>
      <w:r w:rsidRPr="00191E91">
        <w:rPr>
          <w:rFonts w:hAnsi="宋体"/>
          <w:color w:val="auto"/>
        </w:rPr>
        <w:t>(含前述投资的收益进行再</w:t>
      </w:r>
      <w:r w:rsidRPr="00191E91">
        <w:rPr>
          <w:rFonts w:hAnsi="宋体"/>
          <w:color w:val="auto"/>
        </w:rPr>
        <w:lastRenderedPageBreak/>
        <w:t>投资的相关金额</w:t>
      </w:r>
      <w:r>
        <w:rPr>
          <w:rFonts w:hAnsi="宋体" w:hint="eastAsia"/>
          <w:color w:val="auto"/>
        </w:rPr>
        <w:t>，不包括交割当期头寸而支付的全额保证金在内</w:t>
      </w:r>
      <w:r w:rsidRPr="00191E91">
        <w:rPr>
          <w:rFonts w:hAnsi="宋体"/>
          <w:color w:val="auto"/>
        </w:rPr>
        <w:t>)</w:t>
      </w:r>
      <w:r>
        <w:rPr>
          <w:rFonts w:hAnsi="宋体"/>
          <w:color w:val="auto"/>
        </w:rPr>
        <w:t>合计不</w:t>
      </w:r>
      <w:r w:rsidRPr="00191E91">
        <w:rPr>
          <w:rFonts w:hAnsi="宋体" w:hint="eastAsia"/>
          <w:color w:val="auto"/>
        </w:rPr>
        <w:t>超过人民币6,000万元，在上述额度内资金可循环使用。</w:t>
      </w:r>
    </w:p>
    <w:p w:rsidR="0081757D" w:rsidRPr="00D907B2" w:rsidRDefault="0081757D" w:rsidP="00AB38A0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</w:p>
    <w:p w:rsidR="00CE1E16" w:rsidRDefault="00CC60B7" w:rsidP="00CE1E1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 w:rsidRPr="00AB38A0">
        <w:rPr>
          <w:rFonts w:hAnsi="宋体" w:hint="eastAsia"/>
          <w:color w:val="auto"/>
        </w:rPr>
        <w:t>3</w:t>
      </w:r>
      <w:r w:rsidR="00495320" w:rsidRPr="00AB38A0">
        <w:rPr>
          <w:rFonts w:hAnsi="宋体" w:hint="eastAsia"/>
          <w:color w:val="auto"/>
        </w:rPr>
        <w:t>、</w:t>
      </w:r>
      <w:bookmarkStart w:id="0" w:name="_Toc243106266"/>
      <w:r w:rsidR="00191E91">
        <w:rPr>
          <w:rFonts w:hAnsi="宋体" w:hint="eastAsia"/>
          <w:color w:val="auto"/>
        </w:rPr>
        <w:t>投资</w:t>
      </w:r>
      <w:r w:rsidR="00AB38A0" w:rsidRPr="00AB38A0">
        <w:rPr>
          <w:rFonts w:hAnsi="宋体" w:hint="eastAsia"/>
          <w:color w:val="auto"/>
        </w:rPr>
        <w:t>方式</w:t>
      </w:r>
      <w:bookmarkEnd w:id="0"/>
    </w:p>
    <w:p w:rsidR="00CE1E16" w:rsidRPr="007D173D" w:rsidRDefault="00CE1E16" w:rsidP="00CE1E1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>
        <w:rPr>
          <w:rFonts w:hAnsi="宋体" w:hint="eastAsia"/>
          <w:color w:val="auto"/>
        </w:rPr>
        <w:t>（</w:t>
      </w:r>
      <w:r w:rsidRPr="007D173D">
        <w:rPr>
          <w:rFonts w:hAnsi="宋体" w:hint="eastAsia"/>
          <w:color w:val="auto"/>
        </w:rPr>
        <w:t>1</w:t>
      </w:r>
      <w:r>
        <w:rPr>
          <w:rFonts w:hAnsi="宋体" w:hint="eastAsia"/>
          <w:color w:val="auto"/>
        </w:rPr>
        <w:t>）</w:t>
      </w:r>
      <w:r w:rsidRPr="007D173D">
        <w:rPr>
          <w:rFonts w:hAnsi="宋体" w:hint="eastAsia"/>
          <w:color w:val="auto"/>
        </w:rPr>
        <w:t>投资品种：公司生产运营所需原材料精对苯二甲酸（PTA）、乙二醇（MEG），产成品涤纶短</w:t>
      </w:r>
      <w:proofErr w:type="gramStart"/>
      <w:r w:rsidRPr="007D173D">
        <w:rPr>
          <w:rFonts w:hAnsi="宋体" w:hint="eastAsia"/>
          <w:color w:val="auto"/>
        </w:rPr>
        <w:t>纤</w:t>
      </w:r>
      <w:proofErr w:type="gramEnd"/>
      <w:r w:rsidRPr="007D173D">
        <w:rPr>
          <w:rFonts w:hAnsi="宋体" w:hint="eastAsia"/>
          <w:color w:val="auto"/>
        </w:rPr>
        <w:t>（PF）等相关期货上市商品。</w:t>
      </w:r>
    </w:p>
    <w:p w:rsidR="00CE1E16" w:rsidRPr="007D173D" w:rsidRDefault="00CE1E16" w:rsidP="00CE1E1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>
        <w:rPr>
          <w:rFonts w:hAnsi="宋体" w:hint="eastAsia"/>
          <w:color w:val="auto"/>
        </w:rPr>
        <w:t>（</w:t>
      </w:r>
      <w:r w:rsidRPr="007D173D">
        <w:rPr>
          <w:rFonts w:hAnsi="宋体" w:hint="eastAsia"/>
          <w:color w:val="auto"/>
        </w:rPr>
        <w:t>2</w:t>
      </w:r>
      <w:r>
        <w:rPr>
          <w:rFonts w:hAnsi="宋体" w:hint="eastAsia"/>
          <w:color w:val="auto"/>
        </w:rPr>
        <w:t>）</w:t>
      </w:r>
      <w:r w:rsidRPr="007D173D">
        <w:rPr>
          <w:rFonts w:hAnsi="宋体" w:hint="eastAsia"/>
          <w:color w:val="auto"/>
        </w:rPr>
        <w:t>投资市场：郑州商品交易所、大连商品交易所等国内各大商品期货交易所，衍生品交易主要通过资信良好的资本管理公司完成。</w:t>
      </w:r>
    </w:p>
    <w:p w:rsidR="00CE1E16" w:rsidRPr="007D173D" w:rsidRDefault="00CE1E16" w:rsidP="00CE1E1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>
        <w:rPr>
          <w:rFonts w:hAnsi="宋体" w:hint="eastAsia"/>
          <w:color w:val="auto"/>
        </w:rPr>
        <w:t>（</w:t>
      </w:r>
      <w:r w:rsidRPr="007D173D">
        <w:rPr>
          <w:rFonts w:hAnsi="宋体" w:hint="eastAsia"/>
          <w:color w:val="auto"/>
        </w:rPr>
        <w:t>3</w:t>
      </w:r>
      <w:r>
        <w:rPr>
          <w:rFonts w:hAnsi="宋体"/>
          <w:color w:val="auto"/>
        </w:rPr>
        <w:t>）</w:t>
      </w:r>
      <w:r w:rsidRPr="007D173D">
        <w:rPr>
          <w:rFonts w:hAnsi="宋体" w:hint="eastAsia"/>
          <w:color w:val="auto"/>
        </w:rPr>
        <w:t>投资方式：期货、期权等。</w:t>
      </w:r>
    </w:p>
    <w:p w:rsidR="00CE1E16" w:rsidRPr="007D173D" w:rsidRDefault="00CE1E16" w:rsidP="00CE1E1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>
        <w:rPr>
          <w:rFonts w:hAnsi="宋体" w:hint="eastAsia"/>
          <w:color w:val="auto"/>
        </w:rPr>
        <w:t>（4）</w:t>
      </w:r>
      <w:r w:rsidRPr="007D173D">
        <w:rPr>
          <w:rFonts w:hAnsi="宋体" w:hint="eastAsia"/>
          <w:color w:val="auto"/>
        </w:rPr>
        <w:t>履约担保：以期货交易保证金方式担保。</w:t>
      </w:r>
    </w:p>
    <w:p w:rsidR="007D71CA" w:rsidRPr="00CE1E16" w:rsidRDefault="007D71CA" w:rsidP="00CE1E16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</w:p>
    <w:p w:rsidR="007D71CA" w:rsidRPr="00EA0BCF" w:rsidRDefault="007D71CA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A0BCF">
        <w:rPr>
          <w:rFonts w:ascii="宋体" w:hAnsi="宋体" w:hint="eastAsia"/>
          <w:sz w:val="24"/>
        </w:rPr>
        <w:t>4、</w:t>
      </w:r>
      <w:r w:rsidR="00191E91">
        <w:rPr>
          <w:rFonts w:ascii="宋体" w:hAnsi="宋体" w:hint="eastAsia"/>
          <w:sz w:val="24"/>
        </w:rPr>
        <w:t>投资</w:t>
      </w:r>
      <w:r w:rsidRPr="00EA0BCF">
        <w:rPr>
          <w:rFonts w:ascii="宋体" w:hAnsi="宋体" w:hint="eastAsia"/>
          <w:sz w:val="24"/>
        </w:rPr>
        <w:t>期限</w:t>
      </w:r>
    </w:p>
    <w:p w:rsidR="00CC60B7" w:rsidRPr="009E1DEC" w:rsidRDefault="00191E91" w:rsidP="00191E91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  <w:r w:rsidRPr="009E1DEC">
        <w:rPr>
          <w:rFonts w:hAnsi="宋体"/>
          <w:color w:val="auto"/>
        </w:rPr>
        <w:t>投资期限自公司</w:t>
      </w:r>
      <w:r w:rsidRPr="009E1DEC">
        <w:rPr>
          <w:rFonts w:hAnsi="宋体" w:hint="eastAsia"/>
          <w:color w:val="auto"/>
        </w:rPr>
        <w:t>20</w:t>
      </w:r>
      <w:r w:rsidR="004A5A6B" w:rsidRPr="009E1DEC">
        <w:rPr>
          <w:rFonts w:hAnsi="宋体" w:hint="eastAsia"/>
          <w:color w:val="auto"/>
        </w:rPr>
        <w:t>24</w:t>
      </w:r>
      <w:r w:rsidRPr="009E1DEC">
        <w:rPr>
          <w:rFonts w:hAnsi="宋体"/>
          <w:color w:val="auto"/>
        </w:rPr>
        <w:t>年度股东会审议通过之日起至公司</w:t>
      </w:r>
      <w:r w:rsidRPr="009E1DEC">
        <w:rPr>
          <w:rFonts w:hAnsi="宋体" w:hint="eastAsia"/>
          <w:color w:val="auto"/>
        </w:rPr>
        <w:t>20</w:t>
      </w:r>
      <w:r w:rsidR="004A5A6B" w:rsidRPr="009E1DEC">
        <w:rPr>
          <w:rFonts w:hAnsi="宋体" w:hint="eastAsia"/>
          <w:color w:val="auto"/>
        </w:rPr>
        <w:t>25</w:t>
      </w:r>
      <w:r w:rsidRPr="009E1DEC">
        <w:rPr>
          <w:rFonts w:hAnsi="宋体"/>
          <w:color w:val="auto"/>
        </w:rPr>
        <w:t>年度股东会召开之日止。</w:t>
      </w:r>
    </w:p>
    <w:p w:rsidR="00191E91" w:rsidRPr="009E1DEC" w:rsidRDefault="00191E91" w:rsidP="00191E91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  <w:color w:val="auto"/>
        </w:rPr>
      </w:pPr>
    </w:p>
    <w:p w:rsidR="00495320" w:rsidRPr="00EA0BCF" w:rsidRDefault="007D71CA" w:rsidP="00BE000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EA0BCF">
        <w:rPr>
          <w:rFonts w:ascii="宋体" w:hAnsi="宋体" w:hint="eastAsia"/>
          <w:sz w:val="24"/>
        </w:rPr>
        <w:t>5</w:t>
      </w:r>
      <w:r w:rsidR="00CC60B7" w:rsidRPr="00EA0BCF">
        <w:rPr>
          <w:rFonts w:ascii="宋体" w:hAnsi="宋体" w:hint="eastAsia"/>
          <w:sz w:val="24"/>
        </w:rPr>
        <w:t>、资金来源</w:t>
      </w:r>
    </w:p>
    <w:p w:rsidR="00CC60B7" w:rsidRPr="00EA0BCF" w:rsidRDefault="009D7FF7" w:rsidP="00BE000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</w:t>
      </w:r>
      <w:r w:rsidR="00CE1E16">
        <w:rPr>
          <w:rFonts w:ascii="宋体" w:hAnsi="宋体"/>
          <w:sz w:val="24"/>
        </w:rPr>
        <w:t>期货和</w:t>
      </w:r>
      <w:r w:rsidR="00495320" w:rsidRPr="00EA0BCF">
        <w:rPr>
          <w:rFonts w:ascii="宋体" w:hAnsi="宋体"/>
          <w:sz w:val="24"/>
        </w:rPr>
        <w:t>衍生品交易资金来源为公司自有资金，不涉及募集资金。</w:t>
      </w:r>
    </w:p>
    <w:p w:rsidR="00495320" w:rsidRPr="00394F5D" w:rsidRDefault="00495320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415666" w:rsidRDefault="00415666" w:rsidP="00BE000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二、审议程序</w:t>
      </w:r>
    </w:p>
    <w:p w:rsidR="00974FAE" w:rsidRPr="009E1DEC" w:rsidRDefault="00CC60B7" w:rsidP="00974FA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9E1DEC">
        <w:rPr>
          <w:rFonts w:ascii="宋体" w:hAnsi="宋体"/>
          <w:sz w:val="24"/>
        </w:rPr>
        <w:t>公司第</w:t>
      </w:r>
      <w:r w:rsidR="009D7FF7" w:rsidRPr="009E1DEC">
        <w:rPr>
          <w:rFonts w:ascii="宋体" w:hAnsi="宋体"/>
          <w:sz w:val="24"/>
        </w:rPr>
        <w:t>九</w:t>
      </w:r>
      <w:r w:rsidRPr="009E1DEC">
        <w:rPr>
          <w:rFonts w:ascii="宋体" w:hAnsi="宋体"/>
          <w:sz w:val="24"/>
        </w:rPr>
        <w:t>届董事会第</w:t>
      </w:r>
      <w:r w:rsidR="004A5A6B" w:rsidRPr="009E1DEC">
        <w:rPr>
          <w:rFonts w:ascii="宋体" w:hAnsi="宋体"/>
          <w:sz w:val="24"/>
        </w:rPr>
        <w:t>七</w:t>
      </w:r>
      <w:r w:rsidRPr="009E1DEC">
        <w:rPr>
          <w:rFonts w:ascii="宋体" w:hAnsi="宋体"/>
          <w:sz w:val="24"/>
        </w:rPr>
        <w:t>次会议以</w:t>
      </w:r>
      <w:r w:rsidR="009D7FF7" w:rsidRPr="009E1DEC">
        <w:rPr>
          <w:rFonts w:ascii="宋体" w:hAnsi="宋体" w:hint="eastAsia"/>
          <w:sz w:val="24"/>
        </w:rPr>
        <w:t>9</w:t>
      </w:r>
      <w:r w:rsidRPr="009E1DEC">
        <w:rPr>
          <w:rFonts w:ascii="宋体" w:hAnsi="宋体"/>
          <w:sz w:val="24"/>
        </w:rPr>
        <w:t>票同意，0票反对，0票弃权审议通过</w:t>
      </w:r>
      <w:r w:rsidR="006118E9" w:rsidRPr="009E1DEC">
        <w:rPr>
          <w:rFonts w:ascii="宋体" w:hAnsi="宋体"/>
          <w:sz w:val="24"/>
        </w:rPr>
        <w:t>了《</w:t>
      </w:r>
      <w:r w:rsidR="006118E9" w:rsidRPr="009E1DEC">
        <w:rPr>
          <w:rFonts w:ascii="宋体" w:hAnsi="宋体" w:hint="eastAsia"/>
          <w:sz w:val="24"/>
        </w:rPr>
        <w:t>关于开展</w:t>
      </w:r>
      <w:r w:rsidR="00CE1E16" w:rsidRPr="009E1DEC">
        <w:rPr>
          <w:rFonts w:ascii="宋体" w:hAnsi="宋体" w:hint="eastAsia"/>
          <w:sz w:val="24"/>
        </w:rPr>
        <w:t>期货和</w:t>
      </w:r>
      <w:r w:rsidR="006118E9" w:rsidRPr="009E1DEC">
        <w:rPr>
          <w:rFonts w:ascii="宋体" w:hAnsi="宋体" w:hint="eastAsia"/>
          <w:sz w:val="24"/>
        </w:rPr>
        <w:t>衍生品交易的议案》</w:t>
      </w:r>
      <w:r w:rsidR="00D0771C" w:rsidRPr="009E1DEC">
        <w:rPr>
          <w:rFonts w:ascii="宋体" w:hAnsi="宋体"/>
          <w:sz w:val="24"/>
        </w:rPr>
        <w:t>。</w:t>
      </w:r>
      <w:r w:rsidRPr="009E1DEC">
        <w:rPr>
          <w:rFonts w:ascii="宋体" w:hAnsi="宋体"/>
          <w:sz w:val="24"/>
        </w:rPr>
        <w:t>根据</w:t>
      </w:r>
      <w:r w:rsidR="00974FAE" w:rsidRPr="009E1DEC">
        <w:rPr>
          <w:rFonts w:ascii="宋体" w:hAnsi="宋体"/>
          <w:sz w:val="24"/>
        </w:rPr>
        <w:t>《</w:t>
      </w:r>
      <w:r w:rsidR="00974FAE" w:rsidRPr="009E1DEC">
        <w:rPr>
          <w:rFonts w:ascii="宋体" w:hAnsi="宋体" w:hint="eastAsia"/>
          <w:sz w:val="24"/>
        </w:rPr>
        <w:t>深圳证券交易所上市公司自律监管指引第7号——交易与关联交易》</w:t>
      </w:r>
      <w:r w:rsidRPr="009E1DEC">
        <w:rPr>
          <w:rFonts w:ascii="宋体" w:hAnsi="宋体"/>
          <w:sz w:val="24"/>
        </w:rPr>
        <w:t>、《公司章程》等规定，</w:t>
      </w:r>
      <w:r w:rsidR="00247F69" w:rsidRPr="009E1DEC">
        <w:rPr>
          <w:rFonts w:ascii="宋体" w:hAnsi="宋体"/>
          <w:sz w:val="24"/>
        </w:rPr>
        <w:t>本</w:t>
      </w:r>
      <w:r w:rsidR="0083043E" w:rsidRPr="009E1DEC">
        <w:rPr>
          <w:rFonts w:ascii="宋体" w:hAnsi="宋体"/>
          <w:sz w:val="24"/>
        </w:rPr>
        <w:t>议案</w:t>
      </w:r>
      <w:r w:rsidR="00247F69" w:rsidRPr="009E1DEC">
        <w:rPr>
          <w:rFonts w:ascii="宋体" w:hAnsi="宋体"/>
          <w:sz w:val="24"/>
        </w:rPr>
        <w:t>尚需提交公司</w:t>
      </w:r>
      <w:r w:rsidR="004A5A6B" w:rsidRPr="009E1DEC">
        <w:rPr>
          <w:rFonts w:ascii="宋体" w:hAnsi="宋体"/>
          <w:sz w:val="24"/>
        </w:rPr>
        <w:t>股东会</w:t>
      </w:r>
      <w:r w:rsidR="00247F69" w:rsidRPr="009E1DEC">
        <w:rPr>
          <w:rFonts w:ascii="宋体" w:hAnsi="宋体"/>
          <w:sz w:val="24"/>
        </w:rPr>
        <w:t>审议。</w:t>
      </w:r>
    </w:p>
    <w:p w:rsidR="00415666" w:rsidRDefault="00415666" w:rsidP="00BE000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5D3074" w:rsidRPr="00E43543" w:rsidRDefault="00CC60B7" w:rsidP="00BE000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5D3074" w:rsidRPr="00E43543">
        <w:rPr>
          <w:rFonts w:ascii="宋体" w:hAnsi="宋体" w:hint="eastAsia"/>
          <w:b/>
          <w:sz w:val="24"/>
        </w:rPr>
        <w:t>、</w:t>
      </w:r>
      <w:r w:rsidR="006118E9">
        <w:rPr>
          <w:rFonts w:ascii="宋体" w:hAnsi="宋体" w:hint="eastAsia"/>
          <w:b/>
          <w:sz w:val="24"/>
        </w:rPr>
        <w:t>投资</w:t>
      </w:r>
      <w:r>
        <w:rPr>
          <w:rFonts w:ascii="宋体" w:hAnsi="宋体" w:hint="eastAsia"/>
          <w:b/>
          <w:sz w:val="24"/>
        </w:rPr>
        <w:t>风险分析及风控措施</w:t>
      </w:r>
    </w:p>
    <w:p w:rsidR="0037664A" w:rsidRDefault="0037664A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7664A">
        <w:rPr>
          <w:rFonts w:ascii="宋体" w:hAnsi="宋体" w:hint="eastAsia"/>
          <w:sz w:val="24"/>
        </w:rPr>
        <w:t>1、</w:t>
      </w:r>
      <w:r w:rsidR="006118E9">
        <w:rPr>
          <w:rFonts w:ascii="宋体" w:hAnsi="宋体" w:hint="eastAsia"/>
          <w:sz w:val="24"/>
        </w:rPr>
        <w:t>投资</w:t>
      </w:r>
      <w:r w:rsidRPr="0037664A">
        <w:rPr>
          <w:rFonts w:ascii="宋体" w:hAnsi="宋体" w:hint="eastAsia"/>
          <w:sz w:val="24"/>
        </w:rPr>
        <w:t>风险分析</w:t>
      </w:r>
    </w:p>
    <w:p w:rsidR="00AB38A0" w:rsidRPr="00026994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26994">
        <w:rPr>
          <w:rFonts w:ascii="宋体" w:hAnsi="宋体"/>
          <w:color w:val="000000"/>
          <w:sz w:val="24"/>
        </w:rPr>
        <w:t>公司开展商品套期保值业务不以投机为目的，投资品种仅限于与公司生产经 营相关的</w:t>
      </w:r>
      <w:r w:rsidR="00CD1330">
        <w:rPr>
          <w:rFonts w:ascii="宋体" w:hAnsi="宋体"/>
          <w:color w:val="000000"/>
          <w:sz w:val="24"/>
        </w:rPr>
        <w:t>商品</w:t>
      </w:r>
      <w:r w:rsidRPr="00026994">
        <w:rPr>
          <w:rFonts w:ascii="宋体" w:hAnsi="宋体"/>
          <w:color w:val="000000"/>
          <w:sz w:val="24"/>
        </w:rPr>
        <w:t>，以规避价格波动给公司经营带来的不利影响，降低</w:t>
      </w:r>
      <w:r w:rsidR="009E67F2">
        <w:rPr>
          <w:rFonts w:ascii="宋体" w:hAnsi="宋体"/>
          <w:color w:val="000000"/>
          <w:sz w:val="24"/>
        </w:rPr>
        <w:t>公司经营风险。</w:t>
      </w:r>
      <w:r w:rsidRPr="00026994">
        <w:rPr>
          <w:rFonts w:ascii="宋体" w:hAnsi="宋体"/>
          <w:color w:val="000000"/>
          <w:sz w:val="24"/>
        </w:rPr>
        <w:t>但同时也会存在一定的风险。主要风险如下：</w:t>
      </w:r>
    </w:p>
    <w:p w:rsidR="00AB38A0" w:rsidRPr="00026994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26994">
        <w:rPr>
          <w:rFonts w:ascii="宋体" w:hAnsi="宋体"/>
          <w:color w:val="000000"/>
          <w:sz w:val="24"/>
        </w:rPr>
        <w:t>（</w:t>
      </w:r>
      <w:r w:rsidRPr="00026994">
        <w:rPr>
          <w:rFonts w:ascii="宋体" w:hAnsi="宋体" w:hint="eastAsia"/>
          <w:color w:val="000000"/>
          <w:sz w:val="24"/>
        </w:rPr>
        <w:t>1）</w:t>
      </w:r>
      <w:r w:rsidRPr="00026994">
        <w:rPr>
          <w:rFonts w:ascii="宋体" w:hAnsi="宋体"/>
          <w:color w:val="000000"/>
          <w:sz w:val="24"/>
        </w:rPr>
        <w:t>市场风险：受期货等衍生品市场相</w:t>
      </w:r>
      <w:r w:rsidR="009E67F2">
        <w:rPr>
          <w:rFonts w:ascii="宋体" w:hAnsi="宋体"/>
          <w:color w:val="000000"/>
          <w:sz w:val="24"/>
        </w:rPr>
        <w:t>关因素影响，期货价格的波动时间</w:t>
      </w:r>
      <w:r w:rsidR="009E67F2">
        <w:rPr>
          <w:rFonts w:ascii="宋体" w:hAnsi="宋体"/>
          <w:color w:val="000000"/>
          <w:sz w:val="24"/>
        </w:rPr>
        <w:lastRenderedPageBreak/>
        <w:t>与波动幅度与现货价格并非完全一致，</w:t>
      </w:r>
      <w:r w:rsidRPr="00026994">
        <w:rPr>
          <w:rFonts w:ascii="宋体" w:hAnsi="宋体"/>
          <w:color w:val="000000"/>
          <w:sz w:val="24"/>
        </w:rPr>
        <w:t>相关业务在期现损益对冲时，可能获得额</w:t>
      </w:r>
      <w:r w:rsidR="009E67F2">
        <w:rPr>
          <w:rFonts w:ascii="宋体" w:hAnsi="宋体"/>
          <w:color w:val="000000"/>
          <w:sz w:val="24"/>
        </w:rPr>
        <w:t>外的利润或亏损，</w:t>
      </w:r>
      <w:r w:rsidRPr="00026994">
        <w:rPr>
          <w:rFonts w:ascii="宋体" w:hAnsi="宋体"/>
          <w:color w:val="000000"/>
          <w:sz w:val="24"/>
        </w:rPr>
        <w:t>在极端情况下，政策风险或非理性的市场可能出现系统性风险，造成交易损失。</w:t>
      </w:r>
    </w:p>
    <w:p w:rsidR="00AB38A0" w:rsidRPr="00026994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26994">
        <w:rPr>
          <w:rFonts w:ascii="宋体" w:hAnsi="宋体" w:hint="eastAsia"/>
          <w:color w:val="000000"/>
          <w:sz w:val="24"/>
        </w:rPr>
        <w:t>（</w:t>
      </w:r>
      <w:r w:rsidRPr="00026994">
        <w:rPr>
          <w:rFonts w:ascii="宋体" w:hAnsi="宋体"/>
          <w:color w:val="000000"/>
          <w:sz w:val="24"/>
        </w:rPr>
        <w:t>2）流动性风险：衍生品业务根据公司规定权限下达资金调拨和操作指令，如市场价格波动过于激烈，或是在手业务规模过大，均有可能导致因来不及补充 保证金而被强行平仓所产生的损失。</w:t>
      </w:r>
    </w:p>
    <w:p w:rsidR="00AB38A0" w:rsidRPr="0037664A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26994">
        <w:rPr>
          <w:rFonts w:ascii="宋体" w:hAnsi="宋体" w:hint="eastAsia"/>
          <w:color w:val="000000"/>
          <w:sz w:val="24"/>
        </w:rPr>
        <w:t>（</w:t>
      </w:r>
      <w:r w:rsidRPr="00026994">
        <w:rPr>
          <w:rFonts w:ascii="宋体" w:hAnsi="宋体"/>
          <w:color w:val="000000"/>
          <w:sz w:val="24"/>
        </w:rPr>
        <w:t>3）技术及内控风险：由于</w:t>
      </w:r>
      <w:r w:rsidR="00CE1E16">
        <w:rPr>
          <w:rFonts w:ascii="宋体" w:hAnsi="宋体"/>
          <w:color w:val="000000"/>
          <w:sz w:val="24"/>
        </w:rPr>
        <w:t>期货和</w:t>
      </w:r>
      <w:r w:rsidRPr="00026994">
        <w:rPr>
          <w:rFonts w:ascii="宋体" w:hAnsi="宋体"/>
          <w:color w:val="000000"/>
          <w:sz w:val="24"/>
        </w:rPr>
        <w:t>衍生品业务专业性较强，复杂程度较高，会存在因无法控制或不可预测的系统、网络、通讯故障等造成交易系统</w:t>
      </w:r>
      <w:r w:rsidRPr="0037664A">
        <w:rPr>
          <w:rFonts w:ascii="宋体" w:hAnsi="宋体"/>
          <w:sz w:val="24"/>
        </w:rPr>
        <w:t>非正常运行或内部控制方面缺陷而导致意外损失的可能。</w:t>
      </w:r>
    </w:p>
    <w:p w:rsidR="00AB38A0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7664A">
        <w:rPr>
          <w:rFonts w:ascii="宋体" w:hAnsi="宋体" w:hint="eastAsia"/>
          <w:sz w:val="24"/>
        </w:rPr>
        <w:t>（</w:t>
      </w:r>
      <w:r w:rsidRPr="0037664A">
        <w:rPr>
          <w:rFonts w:ascii="宋体" w:hAnsi="宋体"/>
          <w:sz w:val="24"/>
        </w:rPr>
        <w:t>4）政策及法律风险：因相关法律制度发生变化或交易对手违反相关法律制度或合同约定，造成合约无法正常执行而给公司带来损失。</w:t>
      </w:r>
    </w:p>
    <w:p w:rsidR="00AB38A0" w:rsidRDefault="00AB38A0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37664A" w:rsidRPr="0037664A" w:rsidRDefault="0037664A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37664A">
        <w:rPr>
          <w:rFonts w:ascii="宋体" w:hAnsi="宋体"/>
          <w:sz w:val="24"/>
        </w:rPr>
        <w:t>风控措施</w:t>
      </w:r>
    </w:p>
    <w:p w:rsidR="007101D1" w:rsidRPr="007101D1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52B84">
        <w:rPr>
          <w:rFonts w:ascii="宋体" w:hAnsi="宋体"/>
          <w:sz w:val="24"/>
        </w:rPr>
        <w:t>（1）</w:t>
      </w:r>
      <w:r w:rsidR="007101D1" w:rsidRPr="007101D1">
        <w:rPr>
          <w:rFonts w:ascii="宋体" w:hAnsi="宋体"/>
          <w:sz w:val="24"/>
        </w:rPr>
        <w:t>开展商品套期保值业务以规避商品价格风险为目的，</w:t>
      </w:r>
      <w:r w:rsidR="00CE1E16">
        <w:rPr>
          <w:rFonts w:ascii="宋体" w:hAnsi="宋体"/>
          <w:sz w:val="24"/>
        </w:rPr>
        <w:t>将</w:t>
      </w:r>
      <w:r w:rsidR="007101D1" w:rsidRPr="007101D1">
        <w:rPr>
          <w:rFonts w:ascii="宋体" w:hAnsi="宋体"/>
          <w:sz w:val="24"/>
        </w:rPr>
        <w:t>套期保值业务与公司经营业务相匹配，对冲价格波动风险。</w:t>
      </w:r>
    </w:p>
    <w:p w:rsidR="007101D1" w:rsidRDefault="007101D1" w:rsidP="007101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101D1">
        <w:rPr>
          <w:rFonts w:ascii="宋体" w:hAnsi="宋体"/>
          <w:sz w:val="24"/>
        </w:rPr>
        <w:t>（2）制定相关业务规则及流程并严格执行，通过实行授权、岗位牵制和内部审计等措施进行风险控制。</w:t>
      </w:r>
    </w:p>
    <w:p w:rsidR="00AB38A0" w:rsidRPr="00026994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6D7E">
        <w:rPr>
          <w:rFonts w:ascii="宋体" w:hAnsi="宋体"/>
          <w:sz w:val="24"/>
        </w:rPr>
        <w:t>（3）</w:t>
      </w:r>
      <w:r w:rsidRPr="00026994">
        <w:rPr>
          <w:rFonts w:ascii="宋体" w:hAnsi="宋体"/>
          <w:sz w:val="24"/>
        </w:rPr>
        <w:t>公司制定了《商品衍生品交易管理制度》，</w:t>
      </w:r>
      <w:r w:rsidRPr="00026994">
        <w:rPr>
          <w:rFonts w:ascii="宋体" w:hAnsi="宋体" w:hint="eastAsia"/>
          <w:sz w:val="24"/>
        </w:rPr>
        <w:t>对</w:t>
      </w:r>
      <w:r w:rsidR="00CE1E16">
        <w:rPr>
          <w:rFonts w:ascii="宋体" w:hAnsi="宋体" w:hint="eastAsia"/>
          <w:sz w:val="24"/>
        </w:rPr>
        <w:t>期货和</w:t>
      </w:r>
      <w:r w:rsidRPr="00026994">
        <w:rPr>
          <w:rFonts w:ascii="宋体" w:hAnsi="宋体" w:hint="eastAsia"/>
          <w:sz w:val="24"/>
        </w:rPr>
        <w:t>衍生品交易</w:t>
      </w:r>
      <w:r w:rsidRPr="00026994">
        <w:rPr>
          <w:rFonts w:ascii="宋体" w:hAnsi="宋体"/>
          <w:sz w:val="24"/>
        </w:rPr>
        <w:t>操作原则、审批权限、操作流程、信息保密及隔离措施、</w:t>
      </w:r>
      <w:r w:rsidRPr="00026994">
        <w:rPr>
          <w:rFonts w:ascii="宋体" w:hAnsi="宋体" w:hint="eastAsia"/>
          <w:sz w:val="24"/>
        </w:rPr>
        <w:t>内部风险报告流程及风险处理程序</w:t>
      </w:r>
      <w:r w:rsidRPr="00026994">
        <w:rPr>
          <w:rFonts w:ascii="宋体" w:hAnsi="宋体"/>
          <w:sz w:val="24"/>
        </w:rPr>
        <w:t>、信息披露等作出了明确规定。</w:t>
      </w:r>
      <w:r w:rsidRPr="00026994">
        <w:rPr>
          <w:rFonts w:ascii="宋体" w:hAnsi="宋体" w:hint="eastAsia"/>
          <w:sz w:val="24"/>
        </w:rPr>
        <w:t>该制度符合监管部门的有关要求，能满足实际操作的需要。</w:t>
      </w:r>
    </w:p>
    <w:p w:rsidR="00AB38A0" w:rsidRDefault="00AB38A0" w:rsidP="00AB38A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7664A">
        <w:rPr>
          <w:rFonts w:ascii="宋体" w:hAnsi="宋体"/>
          <w:sz w:val="24"/>
        </w:rPr>
        <w:t>（4</w:t>
      </w:r>
      <w:r w:rsidR="0029026E">
        <w:rPr>
          <w:rFonts w:ascii="宋体" w:hAnsi="宋体"/>
          <w:sz w:val="24"/>
        </w:rPr>
        <w:t>）设立符合要求的计算机系统及相关设施，确保交易工作正常开展。</w:t>
      </w:r>
      <w:r w:rsidRPr="0037664A">
        <w:rPr>
          <w:rFonts w:ascii="宋体" w:hAnsi="宋体"/>
          <w:sz w:val="24"/>
        </w:rPr>
        <w:t>当发生故障时，及时采取相应的处理措施以减少损失。</w:t>
      </w:r>
    </w:p>
    <w:p w:rsidR="007101D1" w:rsidRPr="0037664A" w:rsidRDefault="007101D1" w:rsidP="007101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101D1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7101D1">
        <w:rPr>
          <w:rFonts w:ascii="宋体" w:hAnsi="宋体"/>
          <w:sz w:val="24"/>
        </w:rPr>
        <w:t>）加强职业道德教育及业务培训，提高相关人员的综合素质，形成高效的风险处理程序。</w:t>
      </w:r>
    </w:p>
    <w:p w:rsidR="00E43543" w:rsidRPr="007101D1" w:rsidRDefault="00E43543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D3074" w:rsidRDefault="00903294" w:rsidP="00BE000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</w:t>
      </w:r>
      <w:r w:rsidR="005D3074" w:rsidRPr="00E43543">
        <w:rPr>
          <w:rFonts w:ascii="宋体" w:hAnsi="宋体" w:hint="eastAsia"/>
          <w:b/>
          <w:color w:val="000000"/>
          <w:sz w:val="24"/>
        </w:rPr>
        <w:t>、</w:t>
      </w:r>
      <w:r w:rsidR="00974FAE">
        <w:rPr>
          <w:rFonts w:ascii="宋体" w:hAnsi="宋体" w:hint="eastAsia"/>
          <w:b/>
          <w:color w:val="000000"/>
          <w:sz w:val="24"/>
        </w:rPr>
        <w:t>对公司的影响及</w:t>
      </w:r>
      <w:r w:rsidR="009D7FF7">
        <w:rPr>
          <w:rFonts w:ascii="宋体" w:hAnsi="宋体" w:hint="eastAsia"/>
          <w:b/>
          <w:color w:val="000000"/>
          <w:sz w:val="24"/>
        </w:rPr>
        <w:t>相关会计处理</w:t>
      </w:r>
    </w:p>
    <w:p w:rsidR="00974FAE" w:rsidRDefault="0029026E" w:rsidP="00974FAE">
      <w:pPr>
        <w:pStyle w:val="Default"/>
        <w:snapToGrid w:val="0"/>
        <w:spacing w:line="360" w:lineRule="auto"/>
        <w:ind w:firstLineChars="200" w:firstLine="480"/>
        <w:rPr>
          <w:rFonts w:hAnsi="宋体"/>
        </w:rPr>
      </w:pPr>
      <w:r w:rsidRPr="00740974">
        <w:rPr>
          <w:rFonts w:hAnsi="宋体" w:hint="eastAsia"/>
        </w:rPr>
        <w:t>公司通过开展PTA、MEG、PF</w:t>
      </w:r>
      <w:r>
        <w:rPr>
          <w:rFonts w:hAnsi="宋体" w:hint="eastAsia"/>
        </w:rPr>
        <w:t>等相关</w:t>
      </w:r>
      <w:r w:rsidRPr="00740974">
        <w:rPr>
          <w:rFonts w:hAnsi="宋体" w:hint="eastAsia"/>
        </w:rPr>
        <w:t>商品</w:t>
      </w:r>
      <w:r>
        <w:rPr>
          <w:rFonts w:hAnsi="宋体" w:hint="eastAsia"/>
        </w:rPr>
        <w:t>的</w:t>
      </w:r>
      <w:r w:rsidRPr="00740974">
        <w:rPr>
          <w:rFonts w:hAnsi="宋体" w:hint="eastAsia"/>
        </w:rPr>
        <w:t>期货</w:t>
      </w:r>
      <w:r w:rsidR="00A5555D">
        <w:rPr>
          <w:rFonts w:hAnsi="宋体" w:hint="eastAsia"/>
        </w:rPr>
        <w:t>和衍生品</w:t>
      </w:r>
      <w:r w:rsidRPr="00740974">
        <w:rPr>
          <w:rFonts w:hAnsi="宋体" w:hint="eastAsia"/>
        </w:rPr>
        <w:t>套期保值业务，</w:t>
      </w:r>
      <w:r w:rsidR="007101D1">
        <w:rPr>
          <w:rFonts w:hAnsi="宋体" w:hint="eastAsia"/>
        </w:rPr>
        <w:t>可以充分利用期货市场的套期保值功能，</w:t>
      </w:r>
      <w:r w:rsidRPr="00740974">
        <w:rPr>
          <w:rFonts w:hAnsi="宋体" w:hint="eastAsia"/>
        </w:rPr>
        <w:t>更好地规避原材料及产品价格波动带来的风险</w:t>
      </w:r>
      <w:r>
        <w:rPr>
          <w:rFonts w:hAnsi="宋体" w:hint="eastAsia"/>
        </w:rPr>
        <w:t>，</w:t>
      </w:r>
      <w:r w:rsidR="007101D1">
        <w:t>有利于提高公司抵御市场价格波动风险的能力，不会对公司财务及经营状况</w:t>
      </w:r>
      <w:r w:rsidR="007101D1">
        <w:lastRenderedPageBreak/>
        <w:t>产生不利影响，符合公司及全体股东的利益。</w:t>
      </w:r>
    </w:p>
    <w:p w:rsidR="005C1361" w:rsidRPr="001050CF" w:rsidRDefault="00172D50" w:rsidP="00172D50">
      <w:pPr>
        <w:pStyle w:val="Default"/>
        <w:snapToGrid w:val="0"/>
        <w:spacing w:line="360" w:lineRule="auto"/>
        <w:ind w:firstLineChars="200" w:firstLine="480"/>
        <w:rPr>
          <w:rFonts w:hAnsi="宋体"/>
        </w:rPr>
      </w:pPr>
      <w:r>
        <w:t>公司将根据财政部《企业会计准则第22号</w:t>
      </w:r>
      <w:r>
        <w:t>—</w:t>
      </w:r>
      <w:r>
        <w:t>金融工具确认和计量》《企业会计准则第37号</w:t>
      </w:r>
      <w:r>
        <w:t>—</w:t>
      </w:r>
      <w:r>
        <w:t>金融工具列报》等相关规定及其指南，</w:t>
      </w:r>
      <w:r w:rsidRPr="001050CF">
        <w:rPr>
          <w:rFonts w:hAnsi="宋体"/>
        </w:rPr>
        <w:t>对</w:t>
      </w:r>
      <w:r w:rsidR="00CE1E16">
        <w:rPr>
          <w:rFonts w:hAnsi="宋体"/>
        </w:rPr>
        <w:t>期货和</w:t>
      </w:r>
      <w:r w:rsidRPr="001050CF">
        <w:rPr>
          <w:rFonts w:hAnsi="宋体"/>
        </w:rPr>
        <w:t>衍生品</w:t>
      </w:r>
      <w:r w:rsidR="00CE1E16">
        <w:rPr>
          <w:rFonts w:hAnsi="宋体"/>
        </w:rPr>
        <w:t>交易业务</w:t>
      </w:r>
      <w:r w:rsidRPr="001050CF">
        <w:rPr>
          <w:rFonts w:hAnsi="宋体"/>
        </w:rPr>
        <w:t>进行相应核算，并在定期报告中披露公司开展</w:t>
      </w:r>
      <w:r w:rsidR="00CE1E16">
        <w:rPr>
          <w:rFonts w:hAnsi="宋体"/>
        </w:rPr>
        <w:t>衍生品交易</w:t>
      </w:r>
      <w:r w:rsidRPr="001050CF">
        <w:rPr>
          <w:rFonts w:hAnsi="宋体"/>
        </w:rPr>
        <w:t>业务的相关情况。</w:t>
      </w:r>
    </w:p>
    <w:p w:rsidR="00903294" w:rsidRDefault="00903294" w:rsidP="00BE000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 w:val="24"/>
        </w:rPr>
      </w:pPr>
      <w:r w:rsidRPr="00EF5510">
        <w:rPr>
          <w:rFonts w:ascii="宋体" w:hAnsi="宋体"/>
        </w:rPr>
        <w:t>                              </w:t>
      </w:r>
      <w:r>
        <w:rPr>
          <w:rFonts w:ascii="宋体" w:hAnsi="宋体" w:hint="eastAsia"/>
        </w:rPr>
        <w:t xml:space="preserve">      </w:t>
      </w:r>
    </w:p>
    <w:p w:rsidR="005D3074" w:rsidRPr="00E43543" w:rsidRDefault="009D7FF7" w:rsidP="00BE000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5D3074" w:rsidRPr="00E43543">
        <w:rPr>
          <w:rFonts w:ascii="宋体" w:hAnsi="宋体" w:hint="eastAsia"/>
          <w:b/>
          <w:sz w:val="24"/>
        </w:rPr>
        <w:t>、备查文件</w:t>
      </w:r>
    </w:p>
    <w:p w:rsidR="005D3074" w:rsidRPr="007017C5" w:rsidRDefault="005D3074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017C5">
        <w:rPr>
          <w:rFonts w:ascii="宋体" w:hAnsi="宋体" w:hint="eastAsia"/>
          <w:sz w:val="24"/>
        </w:rPr>
        <w:t>1</w:t>
      </w:r>
      <w:r w:rsidR="00E43543" w:rsidRPr="007017C5">
        <w:rPr>
          <w:rFonts w:ascii="宋体" w:hAnsi="宋体" w:hint="eastAsia"/>
          <w:sz w:val="24"/>
        </w:rPr>
        <w:t>、第</w:t>
      </w:r>
      <w:r w:rsidR="009D7FF7">
        <w:rPr>
          <w:rFonts w:ascii="宋体" w:hAnsi="宋体" w:hint="eastAsia"/>
          <w:sz w:val="24"/>
        </w:rPr>
        <w:t>九</w:t>
      </w:r>
      <w:r w:rsidRPr="007017C5">
        <w:rPr>
          <w:rFonts w:ascii="宋体" w:hAnsi="宋体" w:hint="eastAsia"/>
          <w:sz w:val="24"/>
        </w:rPr>
        <w:t>届董事会第</w:t>
      </w:r>
      <w:r w:rsidR="004A5A6B">
        <w:rPr>
          <w:rFonts w:ascii="宋体" w:hAnsi="宋体" w:hint="eastAsia"/>
          <w:sz w:val="24"/>
        </w:rPr>
        <w:t>七</w:t>
      </w:r>
      <w:r w:rsidRPr="007017C5">
        <w:rPr>
          <w:rFonts w:ascii="宋体" w:hAnsi="宋体" w:hint="eastAsia"/>
          <w:sz w:val="24"/>
        </w:rPr>
        <w:t>次会议决议；</w:t>
      </w:r>
    </w:p>
    <w:p w:rsidR="001D0D5D" w:rsidRDefault="009D7FF7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1D0D5D">
        <w:rPr>
          <w:rFonts w:ascii="宋体" w:hAnsi="宋体" w:hint="eastAsia"/>
          <w:sz w:val="24"/>
        </w:rPr>
        <w:t>、关于开展</w:t>
      </w:r>
      <w:r w:rsidR="00983246">
        <w:rPr>
          <w:rFonts w:ascii="宋体" w:hAnsi="宋体" w:hint="eastAsia"/>
          <w:sz w:val="24"/>
        </w:rPr>
        <w:t>商品</w:t>
      </w:r>
      <w:r>
        <w:rPr>
          <w:rFonts w:ascii="宋体" w:hAnsi="宋体" w:hint="eastAsia"/>
          <w:sz w:val="24"/>
        </w:rPr>
        <w:t>衍生品交易的可行性分析报告；</w:t>
      </w:r>
    </w:p>
    <w:p w:rsidR="009D7FF7" w:rsidRDefault="009D7FF7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3、公司</w:t>
      </w:r>
      <w:r>
        <w:rPr>
          <w:rFonts w:ascii="宋体" w:hAnsi="宋体"/>
          <w:sz w:val="24"/>
        </w:rPr>
        <w:t>商品衍生品交易管理制度。</w:t>
      </w:r>
    </w:p>
    <w:p w:rsidR="00E43543" w:rsidRDefault="00E43543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311DBF" w:rsidRPr="00AF5BF2" w:rsidRDefault="00311DBF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D3074" w:rsidRDefault="005D3074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3543">
        <w:rPr>
          <w:rFonts w:ascii="宋体" w:hAnsi="宋体" w:hint="eastAsia"/>
          <w:sz w:val="24"/>
        </w:rPr>
        <w:t>特此公告。</w:t>
      </w:r>
    </w:p>
    <w:p w:rsidR="00CC60B7" w:rsidRDefault="00CC60B7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118E9" w:rsidRDefault="006118E9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311DBF" w:rsidRDefault="00311DBF" w:rsidP="00BE000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D3074" w:rsidRPr="00E43543" w:rsidRDefault="005D3074" w:rsidP="00BE0005">
      <w:pPr>
        <w:adjustRightInd w:val="0"/>
        <w:snapToGrid w:val="0"/>
        <w:spacing w:line="360" w:lineRule="auto"/>
        <w:ind w:firstLineChars="1800" w:firstLine="4320"/>
        <w:jc w:val="left"/>
        <w:rPr>
          <w:rFonts w:ascii="宋体" w:hAnsi="宋体"/>
          <w:bCs/>
          <w:sz w:val="24"/>
        </w:rPr>
      </w:pPr>
      <w:r w:rsidRPr="00E43543">
        <w:rPr>
          <w:rFonts w:ascii="宋体" w:hAnsi="宋体" w:hint="eastAsia"/>
          <w:sz w:val="24"/>
        </w:rPr>
        <w:t>江苏</w:t>
      </w:r>
      <w:r w:rsidR="005848E4" w:rsidRPr="00E43543">
        <w:rPr>
          <w:rFonts w:ascii="宋体" w:hAnsi="宋体" w:hint="eastAsia"/>
          <w:sz w:val="24"/>
        </w:rPr>
        <w:t>华西村</w:t>
      </w:r>
      <w:r w:rsidRPr="00E43543">
        <w:rPr>
          <w:rFonts w:ascii="宋体" w:hAnsi="宋体" w:hint="eastAsia"/>
          <w:sz w:val="24"/>
        </w:rPr>
        <w:t>股份有限公司董事会</w:t>
      </w:r>
    </w:p>
    <w:p w:rsidR="005D3074" w:rsidRPr="00E43543" w:rsidRDefault="00E43543" w:rsidP="009E1DEC">
      <w:pPr>
        <w:pStyle w:val="a9"/>
        <w:tabs>
          <w:tab w:val="left" w:pos="7980"/>
        </w:tabs>
        <w:adjustRightInd w:val="0"/>
        <w:snapToGrid w:val="0"/>
        <w:spacing w:line="360" w:lineRule="auto"/>
        <w:ind w:leftChars="47" w:left="99" w:right="326" w:firstLineChars="2150" w:firstLine="5160"/>
        <w:rPr>
          <w:rFonts w:ascii="宋体" w:eastAsia="宋体" w:hAnsi="宋体"/>
          <w:szCs w:val="24"/>
        </w:rPr>
      </w:pPr>
      <w:bookmarkStart w:id="1" w:name="_GoBack"/>
      <w:bookmarkEnd w:id="1"/>
      <w:r w:rsidRPr="00E43543">
        <w:rPr>
          <w:rFonts w:ascii="宋体" w:eastAsia="宋体" w:hAnsi="宋体" w:hint="eastAsia"/>
          <w:szCs w:val="24"/>
        </w:rPr>
        <w:t>20</w:t>
      </w:r>
      <w:r w:rsidR="004A5A6B">
        <w:rPr>
          <w:rFonts w:ascii="宋体" w:eastAsia="宋体" w:hAnsi="宋体" w:hint="eastAsia"/>
          <w:szCs w:val="24"/>
        </w:rPr>
        <w:t>25</w:t>
      </w:r>
      <w:r w:rsidR="005D3074" w:rsidRPr="00E43543">
        <w:rPr>
          <w:rFonts w:ascii="宋体" w:eastAsia="宋体" w:hAnsi="宋体" w:hint="eastAsia"/>
          <w:szCs w:val="24"/>
        </w:rPr>
        <w:t>年</w:t>
      </w:r>
      <w:r w:rsidR="00BC33DE">
        <w:rPr>
          <w:rFonts w:ascii="宋体" w:eastAsia="宋体" w:hAnsi="宋体" w:hint="eastAsia"/>
          <w:szCs w:val="24"/>
        </w:rPr>
        <w:t>4</w:t>
      </w:r>
      <w:r w:rsidR="005D3074" w:rsidRPr="00E43543">
        <w:rPr>
          <w:rFonts w:ascii="宋体" w:eastAsia="宋体" w:hAnsi="宋体" w:hint="eastAsia"/>
          <w:szCs w:val="24"/>
        </w:rPr>
        <w:t>月</w:t>
      </w:r>
      <w:r w:rsidR="005566C1">
        <w:rPr>
          <w:rFonts w:ascii="宋体" w:eastAsia="宋体" w:hAnsi="宋体" w:hint="eastAsia"/>
          <w:szCs w:val="24"/>
        </w:rPr>
        <w:t>28</w:t>
      </w:r>
      <w:r w:rsidR="005D3074" w:rsidRPr="00E43543">
        <w:rPr>
          <w:rFonts w:ascii="宋体" w:eastAsia="宋体" w:hAnsi="宋体" w:hint="eastAsia"/>
          <w:szCs w:val="24"/>
        </w:rPr>
        <w:t>日</w:t>
      </w:r>
    </w:p>
    <w:sectPr w:rsidR="005D3074" w:rsidRPr="00E4354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D2" w:rsidRDefault="009231D2">
      <w:r>
        <w:separator/>
      </w:r>
    </w:p>
  </w:endnote>
  <w:endnote w:type="continuationSeparator" w:id="0">
    <w:p w:rsidR="009231D2" w:rsidRDefault="0092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74" w:rsidRDefault="005D3074">
    <w:pPr>
      <w:pStyle w:val="a7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D3074" w:rsidRDefault="005D307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74" w:rsidRDefault="00903294" w:rsidP="007017C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6C1" w:rsidRPr="005566C1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D2" w:rsidRDefault="009231D2">
      <w:r>
        <w:separator/>
      </w:r>
    </w:p>
  </w:footnote>
  <w:footnote w:type="continuationSeparator" w:id="0">
    <w:p w:rsidR="009231D2" w:rsidRDefault="0092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74" w:rsidRDefault="005D307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DD"/>
    <w:rsid w:val="00000D1A"/>
    <w:rsid w:val="00000F0C"/>
    <w:rsid w:val="00014665"/>
    <w:rsid w:val="000207B2"/>
    <w:rsid w:val="00021ABD"/>
    <w:rsid w:val="00024B19"/>
    <w:rsid w:val="00025FDD"/>
    <w:rsid w:val="00027160"/>
    <w:rsid w:val="00027AB3"/>
    <w:rsid w:val="00027C30"/>
    <w:rsid w:val="000328A0"/>
    <w:rsid w:val="0003608E"/>
    <w:rsid w:val="00036462"/>
    <w:rsid w:val="00036D76"/>
    <w:rsid w:val="000376AB"/>
    <w:rsid w:val="00040B75"/>
    <w:rsid w:val="00050889"/>
    <w:rsid w:val="00053D9D"/>
    <w:rsid w:val="00057657"/>
    <w:rsid w:val="000620CB"/>
    <w:rsid w:val="00062C80"/>
    <w:rsid w:val="00063318"/>
    <w:rsid w:val="000658ED"/>
    <w:rsid w:val="00072007"/>
    <w:rsid w:val="000730F8"/>
    <w:rsid w:val="000746D5"/>
    <w:rsid w:val="00075325"/>
    <w:rsid w:val="00076C86"/>
    <w:rsid w:val="00076D7E"/>
    <w:rsid w:val="00083116"/>
    <w:rsid w:val="00083765"/>
    <w:rsid w:val="00083A2D"/>
    <w:rsid w:val="00092377"/>
    <w:rsid w:val="000923EA"/>
    <w:rsid w:val="000925D4"/>
    <w:rsid w:val="000953C2"/>
    <w:rsid w:val="000977D4"/>
    <w:rsid w:val="000A51DD"/>
    <w:rsid w:val="000B3FB3"/>
    <w:rsid w:val="000C05A8"/>
    <w:rsid w:val="000C0A4D"/>
    <w:rsid w:val="000C4892"/>
    <w:rsid w:val="000C6B64"/>
    <w:rsid w:val="000D1F7A"/>
    <w:rsid w:val="000D552E"/>
    <w:rsid w:val="000E101C"/>
    <w:rsid w:val="000E37BC"/>
    <w:rsid w:val="000E5BCC"/>
    <w:rsid w:val="000E7B0F"/>
    <w:rsid w:val="000F2CE9"/>
    <w:rsid w:val="000F2E88"/>
    <w:rsid w:val="000F4FAC"/>
    <w:rsid w:val="000F5FF3"/>
    <w:rsid w:val="000F607F"/>
    <w:rsid w:val="000F66F4"/>
    <w:rsid w:val="001011D2"/>
    <w:rsid w:val="00101457"/>
    <w:rsid w:val="00101F57"/>
    <w:rsid w:val="00104E7C"/>
    <w:rsid w:val="00106FDD"/>
    <w:rsid w:val="00110C62"/>
    <w:rsid w:val="00110D90"/>
    <w:rsid w:val="00113AC4"/>
    <w:rsid w:val="00113FF0"/>
    <w:rsid w:val="00116F2D"/>
    <w:rsid w:val="00127452"/>
    <w:rsid w:val="00130745"/>
    <w:rsid w:val="0013143E"/>
    <w:rsid w:val="00140BB1"/>
    <w:rsid w:val="00143203"/>
    <w:rsid w:val="00145CCC"/>
    <w:rsid w:val="001510B9"/>
    <w:rsid w:val="00155DCD"/>
    <w:rsid w:val="00163104"/>
    <w:rsid w:val="00166C7B"/>
    <w:rsid w:val="00172267"/>
    <w:rsid w:val="00172317"/>
    <w:rsid w:val="00172D50"/>
    <w:rsid w:val="001767A8"/>
    <w:rsid w:val="0018669C"/>
    <w:rsid w:val="00191E91"/>
    <w:rsid w:val="00196646"/>
    <w:rsid w:val="00197505"/>
    <w:rsid w:val="001A54E7"/>
    <w:rsid w:val="001A5A68"/>
    <w:rsid w:val="001B1B9D"/>
    <w:rsid w:val="001B2CA5"/>
    <w:rsid w:val="001B4F6C"/>
    <w:rsid w:val="001B6107"/>
    <w:rsid w:val="001B71C9"/>
    <w:rsid w:val="001B7ADA"/>
    <w:rsid w:val="001C28BD"/>
    <w:rsid w:val="001C3EC4"/>
    <w:rsid w:val="001C5373"/>
    <w:rsid w:val="001D0D5D"/>
    <w:rsid w:val="001D64A1"/>
    <w:rsid w:val="001D6713"/>
    <w:rsid w:val="001E1B2D"/>
    <w:rsid w:val="001E25AD"/>
    <w:rsid w:val="001E4002"/>
    <w:rsid w:val="001E4693"/>
    <w:rsid w:val="001F383B"/>
    <w:rsid w:val="001F4678"/>
    <w:rsid w:val="001F713B"/>
    <w:rsid w:val="001F7936"/>
    <w:rsid w:val="002000CE"/>
    <w:rsid w:val="00203779"/>
    <w:rsid w:val="002045CF"/>
    <w:rsid w:val="00207879"/>
    <w:rsid w:val="002102A5"/>
    <w:rsid w:val="00210C48"/>
    <w:rsid w:val="00211816"/>
    <w:rsid w:val="00220586"/>
    <w:rsid w:val="00221BF6"/>
    <w:rsid w:val="0022744B"/>
    <w:rsid w:val="00231B53"/>
    <w:rsid w:val="00231D87"/>
    <w:rsid w:val="00234F89"/>
    <w:rsid w:val="002362CC"/>
    <w:rsid w:val="00237840"/>
    <w:rsid w:val="00241FEE"/>
    <w:rsid w:val="00242F02"/>
    <w:rsid w:val="00246731"/>
    <w:rsid w:val="00247CFD"/>
    <w:rsid w:val="00247F69"/>
    <w:rsid w:val="002503D4"/>
    <w:rsid w:val="00252B2A"/>
    <w:rsid w:val="00253892"/>
    <w:rsid w:val="0026094E"/>
    <w:rsid w:val="0026107B"/>
    <w:rsid w:val="00261722"/>
    <w:rsid w:val="00265B9D"/>
    <w:rsid w:val="00266CE1"/>
    <w:rsid w:val="002711E2"/>
    <w:rsid w:val="00273312"/>
    <w:rsid w:val="00275040"/>
    <w:rsid w:val="002766C3"/>
    <w:rsid w:val="0028241E"/>
    <w:rsid w:val="0029026E"/>
    <w:rsid w:val="00290FCD"/>
    <w:rsid w:val="00293BC4"/>
    <w:rsid w:val="002A07BC"/>
    <w:rsid w:val="002A6731"/>
    <w:rsid w:val="002B2C1B"/>
    <w:rsid w:val="002B3FF6"/>
    <w:rsid w:val="002B680F"/>
    <w:rsid w:val="002C5B62"/>
    <w:rsid w:val="002C7B32"/>
    <w:rsid w:val="002D049C"/>
    <w:rsid w:val="002E00CD"/>
    <w:rsid w:val="002E156C"/>
    <w:rsid w:val="002E1B1D"/>
    <w:rsid w:val="002E26A4"/>
    <w:rsid w:val="002E31EC"/>
    <w:rsid w:val="002E579E"/>
    <w:rsid w:val="002F2BC0"/>
    <w:rsid w:val="002F2BF5"/>
    <w:rsid w:val="002F3375"/>
    <w:rsid w:val="002F3B1E"/>
    <w:rsid w:val="002F580B"/>
    <w:rsid w:val="002F5F34"/>
    <w:rsid w:val="00300996"/>
    <w:rsid w:val="003027AC"/>
    <w:rsid w:val="00303CD9"/>
    <w:rsid w:val="00304E5B"/>
    <w:rsid w:val="00311DBF"/>
    <w:rsid w:val="0031525D"/>
    <w:rsid w:val="00323E8F"/>
    <w:rsid w:val="00325928"/>
    <w:rsid w:val="00325F95"/>
    <w:rsid w:val="0032642A"/>
    <w:rsid w:val="00335FF6"/>
    <w:rsid w:val="00336021"/>
    <w:rsid w:val="00341E8B"/>
    <w:rsid w:val="00342F8C"/>
    <w:rsid w:val="00346BA1"/>
    <w:rsid w:val="003524AF"/>
    <w:rsid w:val="00353C08"/>
    <w:rsid w:val="00353F53"/>
    <w:rsid w:val="003542DC"/>
    <w:rsid w:val="003619B1"/>
    <w:rsid w:val="00363E0D"/>
    <w:rsid w:val="00365E05"/>
    <w:rsid w:val="00366853"/>
    <w:rsid w:val="00372362"/>
    <w:rsid w:val="0037664A"/>
    <w:rsid w:val="00381494"/>
    <w:rsid w:val="00383F52"/>
    <w:rsid w:val="0038709A"/>
    <w:rsid w:val="00394F5D"/>
    <w:rsid w:val="003A0C8A"/>
    <w:rsid w:val="003A2389"/>
    <w:rsid w:val="003A367F"/>
    <w:rsid w:val="003A3C72"/>
    <w:rsid w:val="003A5596"/>
    <w:rsid w:val="003B00A5"/>
    <w:rsid w:val="003B16B3"/>
    <w:rsid w:val="003B2AC7"/>
    <w:rsid w:val="003B38F6"/>
    <w:rsid w:val="003B44C1"/>
    <w:rsid w:val="003B4A7E"/>
    <w:rsid w:val="003C1292"/>
    <w:rsid w:val="003C2A5E"/>
    <w:rsid w:val="003C3E48"/>
    <w:rsid w:val="003C4232"/>
    <w:rsid w:val="003C4D33"/>
    <w:rsid w:val="003C5598"/>
    <w:rsid w:val="003C799C"/>
    <w:rsid w:val="003D063E"/>
    <w:rsid w:val="003D49C6"/>
    <w:rsid w:val="003D749B"/>
    <w:rsid w:val="003F223F"/>
    <w:rsid w:val="00400037"/>
    <w:rsid w:val="00401D77"/>
    <w:rsid w:val="00403B81"/>
    <w:rsid w:val="00405865"/>
    <w:rsid w:val="00405FBD"/>
    <w:rsid w:val="00407313"/>
    <w:rsid w:val="004102E5"/>
    <w:rsid w:val="00410EF7"/>
    <w:rsid w:val="004122BF"/>
    <w:rsid w:val="00412879"/>
    <w:rsid w:val="00413344"/>
    <w:rsid w:val="004136DC"/>
    <w:rsid w:val="00415666"/>
    <w:rsid w:val="00415AC8"/>
    <w:rsid w:val="00416DC3"/>
    <w:rsid w:val="00422F17"/>
    <w:rsid w:val="00423742"/>
    <w:rsid w:val="00424DA6"/>
    <w:rsid w:val="00427AC4"/>
    <w:rsid w:val="00431FF4"/>
    <w:rsid w:val="00442A8D"/>
    <w:rsid w:val="004448F5"/>
    <w:rsid w:val="00454668"/>
    <w:rsid w:val="004555FB"/>
    <w:rsid w:val="00455ED8"/>
    <w:rsid w:val="004566BC"/>
    <w:rsid w:val="00463459"/>
    <w:rsid w:val="0046665E"/>
    <w:rsid w:val="004668A6"/>
    <w:rsid w:val="00470DEA"/>
    <w:rsid w:val="0047564C"/>
    <w:rsid w:val="00480251"/>
    <w:rsid w:val="00483136"/>
    <w:rsid w:val="00485C1A"/>
    <w:rsid w:val="004872A1"/>
    <w:rsid w:val="00492FB8"/>
    <w:rsid w:val="00495320"/>
    <w:rsid w:val="00496D58"/>
    <w:rsid w:val="00497521"/>
    <w:rsid w:val="004A0541"/>
    <w:rsid w:val="004A2282"/>
    <w:rsid w:val="004A4EB0"/>
    <w:rsid w:val="004A5192"/>
    <w:rsid w:val="004A5A6B"/>
    <w:rsid w:val="004B12E0"/>
    <w:rsid w:val="004B1A37"/>
    <w:rsid w:val="004B1BF2"/>
    <w:rsid w:val="004B1FE6"/>
    <w:rsid w:val="004B422C"/>
    <w:rsid w:val="004C17E5"/>
    <w:rsid w:val="004D51CE"/>
    <w:rsid w:val="004D7B3E"/>
    <w:rsid w:val="004E1ADB"/>
    <w:rsid w:val="004E2365"/>
    <w:rsid w:val="004E5AAD"/>
    <w:rsid w:val="004E6EB4"/>
    <w:rsid w:val="004F1780"/>
    <w:rsid w:val="004F742D"/>
    <w:rsid w:val="004F7620"/>
    <w:rsid w:val="00513F44"/>
    <w:rsid w:val="00514185"/>
    <w:rsid w:val="0051474F"/>
    <w:rsid w:val="00520047"/>
    <w:rsid w:val="00521927"/>
    <w:rsid w:val="00524EBA"/>
    <w:rsid w:val="00527621"/>
    <w:rsid w:val="00530BE6"/>
    <w:rsid w:val="00531FAC"/>
    <w:rsid w:val="0053550A"/>
    <w:rsid w:val="00540218"/>
    <w:rsid w:val="005512A7"/>
    <w:rsid w:val="00555BBB"/>
    <w:rsid w:val="005566C1"/>
    <w:rsid w:val="00556B46"/>
    <w:rsid w:val="005576B2"/>
    <w:rsid w:val="0056327D"/>
    <w:rsid w:val="005644C5"/>
    <w:rsid w:val="00572B3A"/>
    <w:rsid w:val="005735A1"/>
    <w:rsid w:val="00573AC0"/>
    <w:rsid w:val="00580DE4"/>
    <w:rsid w:val="005848E4"/>
    <w:rsid w:val="0059005A"/>
    <w:rsid w:val="00596FF9"/>
    <w:rsid w:val="005A0AF1"/>
    <w:rsid w:val="005A0EEB"/>
    <w:rsid w:val="005A363A"/>
    <w:rsid w:val="005A3F17"/>
    <w:rsid w:val="005A462E"/>
    <w:rsid w:val="005B3C10"/>
    <w:rsid w:val="005B4CDB"/>
    <w:rsid w:val="005B6AC8"/>
    <w:rsid w:val="005C1361"/>
    <w:rsid w:val="005C25B8"/>
    <w:rsid w:val="005C48E6"/>
    <w:rsid w:val="005C5246"/>
    <w:rsid w:val="005C7594"/>
    <w:rsid w:val="005D22C0"/>
    <w:rsid w:val="005D3074"/>
    <w:rsid w:val="005D4AA9"/>
    <w:rsid w:val="005E46C7"/>
    <w:rsid w:val="005E77DB"/>
    <w:rsid w:val="005F0351"/>
    <w:rsid w:val="005F0A6E"/>
    <w:rsid w:val="00610443"/>
    <w:rsid w:val="00611816"/>
    <w:rsid w:val="006118E9"/>
    <w:rsid w:val="00621ED4"/>
    <w:rsid w:val="00622D0C"/>
    <w:rsid w:val="0062311C"/>
    <w:rsid w:val="00626263"/>
    <w:rsid w:val="00627B73"/>
    <w:rsid w:val="00630554"/>
    <w:rsid w:val="00630CD5"/>
    <w:rsid w:val="00630E79"/>
    <w:rsid w:val="006327C7"/>
    <w:rsid w:val="00634C88"/>
    <w:rsid w:val="006352A5"/>
    <w:rsid w:val="00644925"/>
    <w:rsid w:val="00647657"/>
    <w:rsid w:val="00655F0C"/>
    <w:rsid w:val="006567A4"/>
    <w:rsid w:val="00657111"/>
    <w:rsid w:val="006622C1"/>
    <w:rsid w:val="00662313"/>
    <w:rsid w:val="00663542"/>
    <w:rsid w:val="00671DCE"/>
    <w:rsid w:val="00672300"/>
    <w:rsid w:val="00675C8B"/>
    <w:rsid w:val="006820A6"/>
    <w:rsid w:val="0068782B"/>
    <w:rsid w:val="00694D78"/>
    <w:rsid w:val="00697F4D"/>
    <w:rsid w:val="006A180B"/>
    <w:rsid w:val="006A6314"/>
    <w:rsid w:val="006B0ED1"/>
    <w:rsid w:val="006B4A19"/>
    <w:rsid w:val="006B4B2A"/>
    <w:rsid w:val="006B6D16"/>
    <w:rsid w:val="006C2247"/>
    <w:rsid w:val="006C3003"/>
    <w:rsid w:val="006C5219"/>
    <w:rsid w:val="006C61CA"/>
    <w:rsid w:val="006D04D6"/>
    <w:rsid w:val="006D1950"/>
    <w:rsid w:val="006D2785"/>
    <w:rsid w:val="006D6ADE"/>
    <w:rsid w:val="006E66EB"/>
    <w:rsid w:val="006E7FC7"/>
    <w:rsid w:val="006F3477"/>
    <w:rsid w:val="00700553"/>
    <w:rsid w:val="007017C5"/>
    <w:rsid w:val="007026D3"/>
    <w:rsid w:val="00707990"/>
    <w:rsid w:val="007101D1"/>
    <w:rsid w:val="00717EAF"/>
    <w:rsid w:val="00730518"/>
    <w:rsid w:val="00742CA1"/>
    <w:rsid w:val="00743755"/>
    <w:rsid w:val="007470DC"/>
    <w:rsid w:val="00752247"/>
    <w:rsid w:val="00752B84"/>
    <w:rsid w:val="00753E5A"/>
    <w:rsid w:val="007543C5"/>
    <w:rsid w:val="0075443D"/>
    <w:rsid w:val="007575A7"/>
    <w:rsid w:val="007646F2"/>
    <w:rsid w:val="00764A49"/>
    <w:rsid w:val="00766D78"/>
    <w:rsid w:val="007676F9"/>
    <w:rsid w:val="00771F7F"/>
    <w:rsid w:val="00772254"/>
    <w:rsid w:val="00772AA2"/>
    <w:rsid w:val="00781ADD"/>
    <w:rsid w:val="0079286F"/>
    <w:rsid w:val="007A709F"/>
    <w:rsid w:val="007B313F"/>
    <w:rsid w:val="007C1435"/>
    <w:rsid w:val="007C39CA"/>
    <w:rsid w:val="007D0E9B"/>
    <w:rsid w:val="007D29A8"/>
    <w:rsid w:val="007D2C3E"/>
    <w:rsid w:val="007D71CA"/>
    <w:rsid w:val="007E48DE"/>
    <w:rsid w:val="007F2B7C"/>
    <w:rsid w:val="007F359B"/>
    <w:rsid w:val="007F5EB3"/>
    <w:rsid w:val="008037B3"/>
    <w:rsid w:val="00804541"/>
    <w:rsid w:val="008047B4"/>
    <w:rsid w:val="0080481D"/>
    <w:rsid w:val="00804DA4"/>
    <w:rsid w:val="008077B0"/>
    <w:rsid w:val="00811906"/>
    <w:rsid w:val="0081757D"/>
    <w:rsid w:val="0082245A"/>
    <w:rsid w:val="008264D0"/>
    <w:rsid w:val="00826960"/>
    <w:rsid w:val="00827F61"/>
    <w:rsid w:val="0083043E"/>
    <w:rsid w:val="0083368A"/>
    <w:rsid w:val="00836C42"/>
    <w:rsid w:val="00837D7E"/>
    <w:rsid w:val="00841CCE"/>
    <w:rsid w:val="008441F0"/>
    <w:rsid w:val="0084769F"/>
    <w:rsid w:val="008508A3"/>
    <w:rsid w:val="00853C4D"/>
    <w:rsid w:val="00856984"/>
    <w:rsid w:val="00861BA7"/>
    <w:rsid w:val="0086293D"/>
    <w:rsid w:val="00870C97"/>
    <w:rsid w:val="008803F4"/>
    <w:rsid w:val="008817E4"/>
    <w:rsid w:val="008827E4"/>
    <w:rsid w:val="00884FC1"/>
    <w:rsid w:val="008877CA"/>
    <w:rsid w:val="0089158D"/>
    <w:rsid w:val="008A0637"/>
    <w:rsid w:val="008B0AE7"/>
    <w:rsid w:val="008B2B51"/>
    <w:rsid w:val="008B6B08"/>
    <w:rsid w:val="008B6CFE"/>
    <w:rsid w:val="008B7BDB"/>
    <w:rsid w:val="008C369F"/>
    <w:rsid w:val="008C5835"/>
    <w:rsid w:val="008C7557"/>
    <w:rsid w:val="008C7684"/>
    <w:rsid w:val="008C7E8B"/>
    <w:rsid w:val="008D28D7"/>
    <w:rsid w:val="008D3112"/>
    <w:rsid w:val="008D41B5"/>
    <w:rsid w:val="008D44E7"/>
    <w:rsid w:val="008D5027"/>
    <w:rsid w:val="008D601C"/>
    <w:rsid w:val="008E2D66"/>
    <w:rsid w:val="008E3145"/>
    <w:rsid w:val="008F1826"/>
    <w:rsid w:val="008F2AE0"/>
    <w:rsid w:val="008F478E"/>
    <w:rsid w:val="00900A32"/>
    <w:rsid w:val="00900F16"/>
    <w:rsid w:val="009020A1"/>
    <w:rsid w:val="00903294"/>
    <w:rsid w:val="00903E97"/>
    <w:rsid w:val="00906816"/>
    <w:rsid w:val="00910752"/>
    <w:rsid w:val="009112AF"/>
    <w:rsid w:val="00912DDD"/>
    <w:rsid w:val="00913018"/>
    <w:rsid w:val="0091659A"/>
    <w:rsid w:val="009170E1"/>
    <w:rsid w:val="009217D0"/>
    <w:rsid w:val="00922796"/>
    <w:rsid w:val="009231D2"/>
    <w:rsid w:val="00925995"/>
    <w:rsid w:val="00931E12"/>
    <w:rsid w:val="00935854"/>
    <w:rsid w:val="00936D6F"/>
    <w:rsid w:val="009445E6"/>
    <w:rsid w:val="00950775"/>
    <w:rsid w:val="009508BB"/>
    <w:rsid w:val="00950FEF"/>
    <w:rsid w:val="00952F5D"/>
    <w:rsid w:val="00954337"/>
    <w:rsid w:val="00960A5C"/>
    <w:rsid w:val="00962BC9"/>
    <w:rsid w:val="009633F3"/>
    <w:rsid w:val="00964A66"/>
    <w:rsid w:val="009651F5"/>
    <w:rsid w:val="00966C49"/>
    <w:rsid w:val="00974FAE"/>
    <w:rsid w:val="00976365"/>
    <w:rsid w:val="00982530"/>
    <w:rsid w:val="00983246"/>
    <w:rsid w:val="009833B5"/>
    <w:rsid w:val="00995083"/>
    <w:rsid w:val="009A089E"/>
    <w:rsid w:val="009A210B"/>
    <w:rsid w:val="009A21E5"/>
    <w:rsid w:val="009A32A9"/>
    <w:rsid w:val="009A3AFC"/>
    <w:rsid w:val="009A5B85"/>
    <w:rsid w:val="009A7973"/>
    <w:rsid w:val="009B29D1"/>
    <w:rsid w:val="009B2DAE"/>
    <w:rsid w:val="009C20AC"/>
    <w:rsid w:val="009C34E0"/>
    <w:rsid w:val="009C7826"/>
    <w:rsid w:val="009D06EF"/>
    <w:rsid w:val="009D30B6"/>
    <w:rsid w:val="009D7FF7"/>
    <w:rsid w:val="009E0F0A"/>
    <w:rsid w:val="009E1DEC"/>
    <w:rsid w:val="009E5474"/>
    <w:rsid w:val="009E67F2"/>
    <w:rsid w:val="009F1392"/>
    <w:rsid w:val="009F1997"/>
    <w:rsid w:val="009F45F1"/>
    <w:rsid w:val="009F763F"/>
    <w:rsid w:val="00A07039"/>
    <w:rsid w:val="00A0761E"/>
    <w:rsid w:val="00A12F9E"/>
    <w:rsid w:val="00A155D6"/>
    <w:rsid w:val="00A21246"/>
    <w:rsid w:val="00A21EFA"/>
    <w:rsid w:val="00A22176"/>
    <w:rsid w:val="00A2636A"/>
    <w:rsid w:val="00A27CAD"/>
    <w:rsid w:val="00A3327D"/>
    <w:rsid w:val="00A41936"/>
    <w:rsid w:val="00A43976"/>
    <w:rsid w:val="00A442C8"/>
    <w:rsid w:val="00A4667C"/>
    <w:rsid w:val="00A4690F"/>
    <w:rsid w:val="00A50889"/>
    <w:rsid w:val="00A53EA5"/>
    <w:rsid w:val="00A55342"/>
    <w:rsid w:val="00A5555D"/>
    <w:rsid w:val="00A57509"/>
    <w:rsid w:val="00A6712D"/>
    <w:rsid w:val="00A67BCD"/>
    <w:rsid w:val="00A70DE2"/>
    <w:rsid w:val="00A73F98"/>
    <w:rsid w:val="00A7618C"/>
    <w:rsid w:val="00A7731C"/>
    <w:rsid w:val="00A810E0"/>
    <w:rsid w:val="00A827F3"/>
    <w:rsid w:val="00A837AD"/>
    <w:rsid w:val="00A901BB"/>
    <w:rsid w:val="00A91043"/>
    <w:rsid w:val="00A94A3F"/>
    <w:rsid w:val="00A9527A"/>
    <w:rsid w:val="00A97989"/>
    <w:rsid w:val="00AA6086"/>
    <w:rsid w:val="00AB38A0"/>
    <w:rsid w:val="00AB72A5"/>
    <w:rsid w:val="00AC2810"/>
    <w:rsid w:val="00AC4882"/>
    <w:rsid w:val="00AC4937"/>
    <w:rsid w:val="00AC647D"/>
    <w:rsid w:val="00AE057B"/>
    <w:rsid w:val="00AE12F0"/>
    <w:rsid w:val="00AE1CAA"/>
    <w:rsid w:val="00AF5BF2"/>
    <w:rsid w:val="00AF65C7"/>
    <w:rsid w:val="00AF77FD"/>
    <w:rsid w:val="00B0359F"/>
    <w:rsid w:val="00B12009"/>
    <w:rsid w:val="00B13A3C"/>
    <w:rsid w:val="00B1739B"/>
    <w:rsid w:val="00B17E4D"/>
    <w:rsid w:val="00B20CAF"/>
    <w:rsid w:val="00B21DE7"/>
    <w:rsid w:val="00B25B83"/>
    <w:rsid w:val="00B352CE"/>
    <w:rsid w:val="00B37A42"/>
    <w:rsid w:val="00B44C40"/>
    <w:rsid w:val="00B45867"/>
    <w:rsid w:val="00B46D36"/>
    <w:rsid w:val="00B547BC"/>
    <w:rsid w:val="00B6566F"/>
    <w:rsid w:val="00B6769C"/>
    <w:rsid w:val="00B8195C"/>
    <w:rsid w:val="00B86D2C"/>
    <w:rsid w:val="00B913CB"/>
    <w:rsid w:val="00B94351"/>
    <w:rsid w:val="00B97C3D"/>
    <w:rsid w:val="00BA06C3"/>
    <w:rsid w:val="00BA24A6"/>
    <w:rsid w:val="00BA68E0"/>
    <w:rsid w:val="00BB1687"/>
    <w:rsid w:val="00BB515A"/>
    <w:rsid w:val="00BB64A3"/>
    <w:rsid w:val="00BC06B3"/>
    <w:rsid w:val="00BC1029"/>
    <w:rsid w:val="00BC33DE"/>
    <w:rsid w:val="00BC59A3"/>
    <w:rsid w:val="00BC5DA1"/>
    <w:rsid w:val="00BC762F"/>
    <w:rsid w:val="00BE0005"/>
    <w:rsid w:val="00BE06E1"/>
    <w:rsid w:val="00BE26DB"/>
    <w:rsid w:val="00BE7668"/>
    <w:rsid w:val="00BF0020"/>
    <w:rsid w:val="00BF0DB7"/>
    <w:rsid w:val="00BF2D63"/>
    <w:rsid w:val="00BF38D7"/>
    <w:rsid w:val="00BF5340"/>
    <w:rsid w:val="00C01416"/>
    <w:rsid w:val="00C0459B"/>
    <w:rsid w:val="00C21F68"/>
    <w:rsid w:val="00C221C3"/>
    <w:rsid w:val="00C224A2"/>
    <w:rsid w:val="00C2359F"/>
    <w:rsid w:val="00C26672"/>
    <w:rsid w:val="00C2702B"/>
    <w:rsid w:val="00C30131"/>
    <w:rsid w:val="00C30237"/>
    <w:rsid w:val="00C3153F"/>
    <w:rsid w:val="00C344CC"/>
    <w:rsid w:val="00C34CAA"/>
    <w:rsid w:val="00C34D24"/>
    <w:rsid w:val="00C36C93"/>
    <w:rsid w:val="00C37966"/>
    <w:rsid w:val="00C41413"/>
    <w:rsid w:val="00C4349D"/>
    <w:rsid w:val="00C43B56"/>
    <w:rsid w:val="00C46CED"/>
    <w:rsid w:val="00C50A6F"/>
    <w:rsid w:val="00C53D0A"/>
    <w:rsid w:val="00C55DAC"/>
    <w:rsid w:val="00C56778"/>
    <w:rsid w:val="00C579FD"/>
    <w:rsid w:val="00C66A55"/>
    <w:rsid w:val="00C676DB"/>
    <w:rsid w:val="00C70264"/>
    <w:rsid w:val="00C76979"/>
    <w:rsid w:val="00C76A0B"/>
    <w:rsid w:val="00C81964"/>
    <w:rsid w:val="00C821AD"/>
    <w:rsid w:val="00C84330"/>
    <w:rsid w:val="00C84CE8"/>
    <w:rsid w:val="00C85ECE"/>
    <w:rsid w:val="00C901FB"/>
    <w:rsid w:val="00C904B6"/>
    <w:rsid w:val="00C91AB1"/>
    <w:rsid w:val="00C92FCB"/>
    <w:rsid w:val="00C95D02"/>
    <w:rsid w:val="00C9785C"/>
    <w:rsid w:val="00CA7CB1"/>
    <w:rsid w:val="00CB1CC1"/>
    <w:rsid w:val="00CB25EE"/>
    <w:rsid w:val="00CB31B8"/>
    <w:rsid w:val="00CC03EF"/>
    <w:rsid w:val="00CC0D8E"/>
    <w:rsid w:val="00CC115B"/>
    <w:rsid w:val="00CC18C7"/>
    <w:rsid w:val="00CC60B7"/>
    <w:rsid w:val="00CD094D"/>
    <w:rsid w:val="00CD1330"/>
    <w:rsid w:val="00CD1862"/>
    <w:rsid w:val="00CD228D"/>
    <w:rsid w:val="00CD314F"/>
    <w:rsid w:val="00CD6F0A"/>
    <w:rsid w:val="00CD7EE7"/>
    <w:rsid w:val="00CE0F7B"/>
    <w:rsid w:val="00CE1E16"/>
    <w:rsid w:val="00CE2E77"/>
    <w:rsid w:val="00CF4C7B"/>
    <w:rsid w:val="00CF6C79"/>
    <w:rsid w:val="00CF6D18"/>
    <w:rsid w:val="00D0771C"/>
    <w:rsid w:val="00D10EE9"/>
    <w:rsid w:val="00D1492B"/>
    <w:rsid w:val="00D15ABD"/>
    <w:rsid w:val="00D20B32"/>
    <w:rsid w:val="00D21E30"/>
    <w:rsid w:val="00D220EB"/>
    <w:rsid w:val="00D22245"/>
    <w:rsid w:val="00D24B8A"/>
    <w:rsid w:val="00D269D4"/>
    <w:rsid w:val="00D26D81"/>
    <w:rsid w:val="00D27F6D"/>
    <w:rsid w:val="00D3421F"/>
    <w:rsid w:val="00D359A4"/>
    <w:rsid w:val="00D35B43"/>
    <w:rsid w:val="00D377CC"/>
    <w:rsid w:val="00D42FD6"/>
    <w:rsid w:val="00D508A1"/>
    <w:rsid w:val="00D54055"/>
    <w:rsid w:val="00D566F3"/>
    <w:rsid w:val="00D609B3"/>
    <w:rsid w:val="00D637CF"/>
    <w:rsid w:val="00D71C20"/>
    <w:rsid w:val="00D82070"/>
    <w:rsid w:val="00D82E2D"/>
    <w:rsid w:val="00D8377E"/>
    <w:rsid w:val="00D907B2"/>
    <w:rsid w:val="00D90BB8"/>
    <w:rsid w:val="00D91A06"/>
    <w:rsid w:val="00D97220"/>
    <w:rsid w:val="00D977DE"/>
    <w:rsid w:val="00D97B3C"/>
    <w:rsid w:val="00D97F56"/>
    <w:rsid w:val="00DA18E8"/>
    <w:rsid w:val="00DA58F9"/>
    <w:rsid w:val="00DB0E58"/>
    <w:rsid w:val="00DB268B"/>
    <w:rsid w:val="00DB7AD3"/>
    <w:rsid w:val="00DC1CDE"/>
    <w:rsid w:val="00DC224B"/>
    <w:rsid w:val="00DC6070"/>
    <w:rsid w:val="00DD08AF"/>
    <w:rsid w:val="00DD403A"/>
    <w:rsid w:val="00DD66A6"/>
    <w:rsid w:val="00DE4392"/>
    <w:rsid w:val="00DE4518"/>
    <w:rsid w:val="00DE55B3"/>
    <w:rsid w:val="00DE7F2B"/>
    <w:rsid w:val="00DF0A28"/>
    <w:rsid w:val="00E040EA"/>
    <w:rsid w:val="00E05DCF"/>
    <w:rsid w:val="00E07F4A"/>
    <w:rsid w:val="00E14120"/>
    <w:rsid w:val="00E16D3B"/>
    <w:rsid w:val="00E211F1"/>
    <w:rsid w:val="00E218B7"/>
    <w:rsid w:val="00E238D7"/>
    <w:rsid w:val="00E2658F"/>
    <w:rsid w:val="00E26F72"/>
    <w:rsid w:val="00E27D63"/>
    <w:rsid w:val="00E32BBA"/>
    <w:rsid w:val="00E34F74"/>
    <w:rsid w:val="00E37995"/>
    <w:rsid w:val="00E419D8"/>
    <w:rsid w:val="00E43543"/>
    <w:rsid w:val="00E449EF"/>
    <w:rsid w:val="00E45FDE"/>
    <w:rsid w:val="00E471AA"/>
    <w:rsid w:val="00E54483"/>
    <w:rsid w:val="00E54EF2"/>
    <w:rsid w:val="00E62BB1"/>
    <w:rsid w:val="00E65CB7"/>
    <w:rsid w:val="00E71594"/>
    <w:rsid w:val="00E73A96"/>
    <w:rsid w:val="00E73BA4"/>
    <w:rsid w:val="00E755E7"/>
    <w:rsid w:val="00E76455"/>
    <w:rsid w:val="00E80DE9"/>
    <w:rsid w:val="00E96468"/>
    <w:rsid w:val="00E96FAC"/>
    <w:rsid w:val="00EA0BCF"/>
    <w:rsid w:val="00EB0FBF"/>
    <w:rsid w:val="00EC010C"/>
    <w:rsid w:val="00EC07AD"/>
    <w:rsid w:val="00EC1869"/>
    <w:rsid w:val="00EC38A3"/>
    <w:rsid w:val="00EC5ACB"/>
    <w:rsid w:val="00ED269C"/>
    <w:rsid w:val="00ED2871"/>
    <w:rsid w:val="00ED4B03"/>
    <w:rsid w:val="00ED79C7"/>
    <w:rsid w:val="00EE0382"/>
    <w:rsid w:val="00EE13F8"/>
    <w:rsid w:val="00EE2AF8"/>
    <w:rsid w:val="00EE443B"/>
    <w:rsid w:val="00EE4912"/>
    <w:rsid w:val="00EF2597"/>
    <w:rsid w:val="00EF5045"/>
    <w:rsid w:val="00EF5F13"/>
    <w:rsid w:val="00EF6311"/>
    <w:rsid w:val="00EF7B5B"/>
    <w:rsid w:val="00F050AD"/>
    <w:rsid w:val="00F05D77"/>
    <w:rsid w:val="00F06D10"/>
    <w:rsid w:val="00F0717D"/>
    <w:rsid w:val="00F1305A"/>
    <w:rsid w:val="00F157AE"/>
    <w:rsid w:val="00F16C75"/>
    <w:rsid w:val="00F203C3"/>
    <w:rsid w:val="00F225AD"/>
    <w:rsid w:val="00F26D2E"/>
    <w:rsid w:val="00F2719C"/>
    <w:rsid w:val="00F27A5B"/>
    <w:rsid w:val="00F30A85"/>
    <w:rsid w:val="00F31567"/>
    <w:rsid w:val="00F32739"/>
    <w:rsid w:val="00F346B2"/>
    <w:rsid w:val="00F3613E"/>
    <w:rsid w:val="00F36BFB"/>
    <w:rsid w:val="00F40F9E"/>
    <w:rsid w:val="00F44796"/>
    <w:rsid w:val="00F5111B"/>
    <w:rsid w:val="00F513CF"/>
    <w:rsid w:val="00F54E05"/>
    <w:rsid w:val="00F55EC0"/>
    <w:rsid w:val="00F601B1"/>
    <w:rsid w:val="00F605C1"/>
    <w:rsid w:val="00F61AE5"/>
    <w:rsid w:val="00F63D4B"/>
    <w:rsid w:val="00F649F4"/>
    <w:rsid w:val="00F6606F"/>
    <w:rsid w:val="00F675FF"/>
    <w:rsid w:val="00F70BF9"/>
    <w:rsid w:val="00F763D9"/>
    <w:rsid w:val="00F81796"/>
    <w:rsid w:val="00F82BA3"/>
    <w:rsid w:val="00F859F4"/>
    <w:rsid w:val="00F90738"/>
    <w:rsid w:val="00F93E48"/>
    <w:rsid w:val="00F944D8"/>
    <w:rsid w:val="00FA1F02"/>
    <w:rsid w:val="00FA2858"/>
    <w:rsid w:val="00FA7CB1"/>
    <w:rsid w:val="00FA7FE5"/>
    <w:rsid w:val="00FB1848"/>
    <w:rsid w:val="00FB1B67"/>
    <w:rsid w:val="00FB1D53"/>
    <w:rsid w:val="00FB3F18"/>
    <w:rsid w:val="00FB4A41"/>
    <w:rsid w:val="00FC560D"/>
    <w:rsid w:val="00FC6432"/>
    <w:rsid w:val="00FC6B2B"/>
    <w:rsid w:val="00FC71F0"/>
    <w:rsid w:val="00FD215D"/>
    <w:rsid w:val="00FD7705"/>
    <w:rsid w:val="00FE0061"/>
    <w:rsid w:val="00FE5A4E"/>
    <w:rsid w:val="00FE66BA"/>
    <w:rsid w:val="00FE7A72"/>
    <w:rsid w:val="00FF01A4"/>
    <w:rsid w:val="00FF7A97"/>
    <w:rsid w:val="1B997E59"/>
    <w:rsid w:val="1FFD46C7"/>
    <w:rsid w:val="30CD3DB9"/>
    <w:rsid w:val="332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  <w:rPr>
      <w:rFonts w:ascii="仿宋_GB2312" w:eastAsia="仿宋_GB2312" w:hAnsi="华文细黑"/>
      <w:bCs/>
      <w:sz w:val="24"/>
      <w:szCs w:val="21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80" w:lineRule="atLeast"/>
      <w:jc w:val="left"/>
    </w:pPr>
    <w:rPr>
      <w:rFonts w:ascii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araChar">
    <w:name w:val="默认段落字体 Para Char"/>
    <w:basedOn w:val="a"/>
    <w:pPr>
      <w:tabs>
        <w:tab w:val="left" w:pos="840"/>
      </w:tabs>
      <w:ind w:left="840" w:hanging="360"/>
    </w:pPr>
    <w:rPr>
      <w:sz w:val="24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7"/>
    <w:uiPriority w:val="99"/>
    <w:rsid w:val="009032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  <w:rPr>
      <w:rFonts w:ascii="仿宋_GB2312" w:eastAsia="仿宋_GB2312" w:hAnsi="华文细黑"/>
      <w:bCs/>
      <w:sz w:val="24"/>
      <w:szCs w:val="21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80" w:lineRule="atLeast"/>
      <w:jc w:val="left"/>
    </w:pPr>
    <w:rPr>
      <w:rFonts w:ascii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araChar">
    <w:name w:val="默认段落字体 Para Char"/>
    <w:basedOn w:val="a"/>
    <w:pPr>
      <w:tabs>
        <w:tab w:val="left" w:pos="840"/>
      </w:tabs>
      <w:ind w:left="840" w:hanging="360"/>
    </w:pPr>
    <w:rPr>
      <w:sz w:val="24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7"/>
    <w:uiPriority w:val="99"/>
    <w:rsid w:val="009032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331</Words>
  <Characters>1889</Characters>
  <Application>Microsoft Office Word</Application>
  <DocSecurity>0</DocSecurity>
  <Lines>15</Lines>
  <Paragraphs>4</Paragraphs>
  <ScaleCrop>false</ScaleCrop>
  <Company>信念技术论坛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39</cp:revision>
  <cp:lastPrinted>2019-01-04T06:21:00Z</cp:lastPrinted>
  <dcterms:created xsi:type="dcterms:W3CDTF">2023-12-25T02:46:00Z</dcterms:created>
  <dcterms:modified xsi:type="dcterms:W3CDTF">2025-04-27T00:39:00Z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