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C80" w:rsidRPr="0054787F" w:rsidRDefault="000E4C80" w:rsidP="000E4C80">
      <w:pPr>
        <w:adjustRightInd w:val="0"/>
        <w:snapToGrid w:val="0"/>
        <w:spacing w:line="360" w:lineRule="auto"/>
        <w:jc w:val="center"/>
        <w:rPr>
          <w:rFonts w:asciiTheme="minorEastAsia" w:eastAsiaTheme="minorEastAsia" w:hAnsiTheme="minorEastAsia"/>
          <w:bCs/>
          <w:sz w:val="24"/>
        </w:rPr>
      </w:pPr>
      <w:r>
        <w:rPr>
          <w:rFonts w:asciiTheme="minorEastAsia" w:eastAsiaTheme="minorEastAsia" w:hAnsiTheme="minorEastAsia"/>
          <w:kern w:val="0"/>
          <w:sz w:val="24"/>
        </w:rPr>
        <w:t>证券</w:t>
      </w:r>
      <w:r>
        <w:rPr>
          <w:rFonts w:asciiTheme="minorEastAsia" w:eastAsiaTheme="minorEastAsia" w:hAnsiTheme="minorEastAsia"/>
          <w:bCs/>
          <w:sz w:val="24"/>
        </w:rPr>
        <w:t>代码：000936         证券简称：华西股份</w:t>
      </w:r>
      <w:r w:rsidR="00AE59DD">
        <w:rPr>
          <w:rFonts w:asciiTheme="minorEastAsia" w:eastAsiaTheme="minorEastAsia" w:hAnsiTheme="minorEastAsia" w:hint="eastAsia"/>
          <w:bCs/>
          <w:sz w:val="24"/>
        </w:rPr>
        <w:t xml:space="preserve">      </w:t>
      </w:r>
      <w:r w:rsidR="00AE59DD" w:rsidRPr="0054787F">
        <w:rPr>
          <w:rFonts w:asciiTheme="minorEastAsia" w:eastAsiaTheme="minorEastAsia" w:hAnsiTheme="minorEastAsia" w:hint="eastAsia"/>
          <w:bCs/>
          <w:sz w:val="24"/>
        </w:rPr>
        <w:t xml:space="preserve"> </w:t>
      </w:r>
      <w:r w:rsidRPr="0054787F">
        <w:rPr>
          <w:rFonts w:asciiTheme="minorEastAsia" w:eastAsiaTheme="minorEastAsia" w:hAnsiTheme="minorEastAsia"/>
          <w:bCs/>
          <w:sz w:val="24"/>
        </w:rPr>
        <w:t>公告编号：20</w:t>
      </w:r>
      <w:r w:rsidRPr="0054787F">
        <w:rPr>
          <w:rFonts w:asciiTheme="minorEastAsia" w:eastAsiaTheme="minorEastAsia" w:hAnsiTheme="minorEastAsia" w:hint="eastAsia"/>
          <w:bCs/>
          <w:sz w:val="24"/>
        </w:rPr>
        <w:t>25</w:t>
      </w:r>
      <w:r w:rsidRPr="0054787F">
        <w:rPr>
          <w:rFonts w:asciiTheme="minorEastAsia" w:eastAsiaTheme="minorEastAsia" w:hAnsiTheme="minorEastAsia"/>
          <w:bCs/>
          <w:sz w:val="24"/>
        </w:rPr>
        <w:t>-</w:t>
      </w:r>
      <w:r w:rsidR="0030667C" w:rsidRPr="0054787F">
        <w:rPr>
          <w:rFonts w:asciiTheme="minorEastAsia" w:eastAsiaTheme="minorEastAsia" w:hAnsiTheme="minorEastAsia" w:hint="eastAsia"/>
          <w:bCs/>
          <w:sz w:val="24"/>
        </w:rPr>
        <w:t>0</w:t>
      </w:r>
      <w:r w:rsidR="0054787F" w:rsidRPr="0054787F">
        <w:rPr>
          <w:rFonts w:asciiTheme="minorEastAsia" w:eastAsiaTheme="minorEastAsia" w:hAnsiTheme="minorEastAsia" w:hint="eastAsia"/>
          <w:bCs/>
          <w:sz w:val="24"/>
        </w:rPr>
        <w:t>23</w:t>
      </w:r>
    </w:p>
    <w:p w:rsidR="000E4C80" w:rsidRPr="0054787F" w:rsidRDefault="000E4C80" w:rsidP="000E4C80">
      <w:pPr>
        <w:adjustRightInd w:val="0"/>
        <w:snapToGrid w:val="0"/>
        <w:spacing w:line="360" w:lineRule="auto"/>
        <w:jc w:val="center"/>
        <w:rPr>
          <w:rFonts w:ascii="Times New Roman" w:eastAsiaTheme="minorEastAsia" w:hAnsi="Times New Roman"/>
          <w:bCs/>
          <w:sz w:val="24"/>
        </w:rPr>
      </w:pPr>
    </w:p>
    <w:p w:rsidR="000E4C80" w:rsidRPr="006B5198" w:rsidRDefault="000E4C80" w:rsidP="000E4C80">
      <w:pPr>
        <w:adjustRightInd w:val="0"/>
        <w:snapToGrid w:val="0"/>
        <w:spacing w:line="360" w:lineRule="auto"/>
        <w:jc w:val="center"/>
        <w:rPr>
          <w:rFonts w:ascii="黑体" w:eastAsia="黑体" w:hAnsi="黑体"/>
          <w:b/>
          <w:sz w:val="30"/>
          <w:szCs w:val="30"/>
        </w:rPr>
      </w:pPr>
      <w:r w:rsidRPr="006B5198">
        <w:rPr>
          <w:rFonts w:ascii="黑体" w:eastAsia="黑体" w:hAnsi="黑体"/>
          <w:b/>
          <w:sz w:val="30"/>
          <w:szCs w:val="30"/>
        </w:rPr>
        <w:t>江苏华西村股份有限公司</w:t>
      </w:r>
    </w:p>
    <w:p w:rsidR="000E4C80" w:rsidRPr="006B5198" w:rsidRDefault="000E4C80" w:rsidP="000E4C80">
      <w:pPr>
        <w:adjustRightInd w:val="0"/>
        <w:snapToGrid w:val="0"/>
        <w:spacing w:line="360" w:lineRule="auto"/>
        <w:jc w:val="center"/>
        <w:rPr>
          <w:rFonts w:ascii="黑体" w:eastAsia="黑体" w:hAnsi="黑体"/>
          <w:b/>
          <w:sz w:val="30"/>
          <w:szCs w:val="30"/>
        </w:rPr>
      </w:pPr>
      <w:r w:rsidRPr="006B5198">
        <w:rPr>
          <w:rFonts w:ascii="黑体" w:eastAsia="黑体" w:hAnsi="黑体"/>
          <w:b/>
          <w:sz w:val="30"/>
          <w:szCs w:val="30"/>
        </w:rPr>
        <w:t>关于</w:t>
      </w:r>
      <w:r w:rsidR="00603C6D">
        <w:rPr>
          <w:rFonts w:ascii="黑体" w:eastAsia="黑体" w:hAnsi="黑体" w:hint="eastAsia"/>
          <w:b/>
          <w:sz w:val="30"/>
          <w:szCs w:val="30"/>
        </w:rPr>
        <w:t>2024年度</w:t>
      </w:r>
      <w:r w:rsidRPr="006B5198">
        <w:rPr>
          <w:rFonts w:ascii="黑体" w:eastAsia="黑体" w:hAnsi="黑体" w:hint="eastAsia"/>
          <w:b/>
          <w:sz w:val="30"/>
          <w:szCs w:val="30"/>
        </w:rPr>
        <w:t>计提资产减值准备</w:t>
      </w:r>
      <w:r w:rsidR="00BE01CB">
        <w:rPr>
          <w:rFonts w:ascii="黑体" w:eastAsia="黑体" w:hAnsi="黑体" w:hint="eastAsia"/>
          <w:b/>
          <w:sz w:val="30"/>
          <w:szCs w:val="30"/>
        </w:rPr>
        <w:t>及</w:t>
      </w:r>
      <w:r w:rsidR="00603C6D">
        <w:rPr>
          <w:rFonts w:ascii="黑体" w:eastAsia="黑体" w:hAnsi="黑体" w:hint="eastAsia"/>
          <w:b/>
          <w:sz w:val="30"/>
          <w:szCs w:val="30"/>
        </w:rPr>
        <w:t>核销资产</w:t>
      </w:r>
      <w:r w:rsidRPr="006B5198">
        <w:rPr>
          <w:rFonts w:ascii="黑体" w:eastAsia="黑体" w:hAnsi="黑体" w:hint="eastAsia"/>
          <w:b/>
          <w:sz w:val="30"/>
          <w:szCs w:val="30"/>
        </w:rPr>
        <w:t>的</w:t>
      </w:r>
      <w:r w:rsidRPr="006B5198">
        <w:rPr>
          <w:rFonts w:ascii="黑体" w:eastAsia="黑体" w:hAnsi="黑体"/>
          <w:b/>
          <w:sz w:val="30"/>
          <w:szCs w:val="30"/>
        </w:rPr>
        <w:t>公告</w:t>
      </w:r>
    </w:p>
    <w:p w:rsidR="000E4C80" w:rsidRDefault="000E4C80" w:rsidP="000E4C80">
      <w:pPr>
        <w:tabs>
          <w:tab w:val="left" w:pos="900"/>
        </w:tabs>
        <w:adjustRightInd w:val="0"/>
        <w:snapToGrid w:val="0"/>
        <w:spacing w:line="360" w:lineRule="auto"/>
        <w:ind w:firstLineChars="200" w:firstLine="480"/>
        <w:rPr>
          <w:rFonts w:ascii="Times New Roman" w:eastAsiaTheme="minorEastAsia" w:hAnsi="Times New Roman"/>
          <w:sz w:val="24"/>
        </w:rPr>
      </w:pPr>
    </w:p>
    <w:p w:rsidR="000E4C80" w:rsidRDefault="000E4C80" w:rsidP="000E4C80">
      <w:pPr>
        <w:tabs>
          <w:tab w:val="left" w:pos="900"/>
        </w:tabs>
        <w:adjustRightInd w:val="0"/>
        <w:snapToGrid w:val="0"/>
        <w:spacing w:line="348" w:lineRule="auto"/>
        <w:ind w:firstLineChars="200" w:firstLine="480"/>
        <w:rPr>
          <w:rFonts w:ascii="Times New Roman" w:eastAsiaTheme="minorEastAsia" w:hAnsi="Times New Roman"/>
          <w:sz w:val="24"/>
        </w:rPr>
      </w:pPr>
      <w:r>
        <w:rPr>
          <w:rFonts w:ascii="Times New Roman" w:eastAsiaTheme="minorEastAsia" w:hAnsi="Times New Roman"/>
          <w:sz w:val="24"/>
        </w:rPr>
        <w:t>本公司及董事会全体成员保证信息披露内容的真实、准确和完整，没有虚假记载、误导性陈述或重大遗漏。</w:t>
      </w:r>
    </w:p>
    <w:p w:rsidR="00BA5580" w:rsidRPr="000E4C80" w:rsidRDefault="00BA5580"/>
    <w:p w:rsidR="00977192" w:rsidRPr="007D33C0" w:rsidRDefault="007C1AC7" w:rsidP="007C1AC7">
      <w:pPr>
        <w:tabs>
          <w:tab w:val="left" w:pos="900"/>
        </w:tabs>
        <w:adjustRightInd w:val="0"/>
        <w:snapToGrid w:val="0"/>
        <w:spacing w:line="348" w:lineRule="auto"/>
        <w:ind w:firstLineChars="200" w:firstLine="480"/>
        <w:rPr>
          <w:rFonts w:asciiTheme="minorEastAsia" w:eastAsiaTheme="minorEastAsia" w:hAnsiTheme="minorEastAsia"/>
          <w:sz w:val="24"/>
        </w:rPr>
      </w:pPr>
      <w:r w:rsidRPr="007C1AC7">
        <w:rPr>
          <w:rFonts w:asciiTheme="minorEastAsia" w:eastAsiaTheme="minorEastAsia" w:hAnsiTheme="minorEastAsia"/>
          <w:sz w:val="24"/>
        </w:rPr>
        <w:t>江苏华西村股份有限公司（以下简称“公司”）根据《企业会计准则》及</w:t>
      </w:r>
      <w:r w:rsidR="00EA6E9D">
        <w:rPr>
          <w:rFonts w:asciiTheme="minorEastAsia" w:eastAsiaTheme="minorEastAsia" w:hAnsiTheme="minorEastAsia"/>
          <w:sz w:val="24"/>
        </w:rPr>
        <w:t>《深圳证券交易所股票上市规则》</w:t>
      </w:r>
      <w:r w:rsidRPr="007C1AC7">
        <w:rPr>
          <w:rFonts w:asciiTheme="minorEastAsia" w:eastAsiaTheme="minorEastAsia" w:hAnsiTheme="minorEastAsia"/>
          <w:sz w:val="24"/>
        </w:rPr>
        <w:t>等相关规定，</w:t>
      </w:r>
      <w:r w:rsidR="001B24AC" w:rsidRPr="007C1AC7">
        <w:rPr>
          <w:rFonts w:asciiTheme="minorEastAsia" w:eastAsiaTheme="minorEastAsia" w:hAnsiTheme="minorEastAsia"/>
          <w:sz w:val="24"/>
        </w:rPr>
        <w:t>为客观</w:t>
      </w:r>
      <w:r w:rsidR="00EA6E9D">
        <w:rPr>
          <w:rFonts w:asciiTheme="minorEastAsia" w:eastAsiaTheme="minorEastAsia" w:hAnsiTheme="minorEastAsia"/>
          <w:sz w:val="24"/>
        </w:rPr>
        <w:t>公允</w:t>
      </w:r>
      <w:r w:rsidR="001B24AC" w:rsidRPr="007C1AC7">
        <w:rPr>
          <w:rFonts w:asciiTheme="minorEastAsia" w:eastAsiaTheme="minorEastAsia" w:hAnsiTheme="minorEastAsia"/>
          <w:sz w:val="24"/>
        </w:rPr>
        <w:t>地反映公司的财务状况</w:t>
      </w:r>
      <w:r w:rsidR="009A112B">
        <w:rPr>
          <w:rFonts w:asciiTheme="minorEastAsia" w:eastAsiaTheme="minorEastAsia" w:hAnsiTheme="minorEastAsia"/>
          <w:sz w:val="24"/>
        </w:rPr>
        <w:t>、</w:t>
      </w:r>
      <w:r w:rsidR="001B24AC" w:rsidRPr="007C1AC7">
        <w:rPr>
          <w:rFonts w:asciiTheme="minorEastAsia" w:eastAsiaTheme="minorEastAsia" w:hAnsiTheme="minorEastAsia"/>
          <w:sz w:val="24"/>
        </w:rPr>
        <w:t>资产价值</w:t>
      </w:r>
      <w:r w:rsidR="009A112B">
        <w:rPr>
          <w:rFonts w:asciiTheme="minorEastAsia" w:eastAsiaTheme="minorEastAsia" w:hAnsiTheme="minorEastAsia"/>
          <w:sz w:val="24"/>
        </w:rPr>
        <w:t>及经营成果</w:t>
      </w:r>
      <w:r w:rsidR="001B24AC" w:rsidRPr="007C1AC7">
        <w:rPr>
          <w:rFonts w:asciiTheme="minorEastAsia" w:eastAsiaTheme="minorEastAsia" w:hAnsiTheme="minorEastAsia"/>
          <w:sz w:val="24"/>
        </w:rPr>
        <w:t>，</w:t>
      </w:r>
      <w:r w:rsidR="009A112B" w:rsidRPr="00483BBA">
        <w:rPr>
          <w:rFonts w:asciiTheme="minorEastAsia" w:eastAsiaTheme="minorEastAsia" w:hAnsiTheme="minorEastAsia" w:hint="eastAsia"/>
          <w:sz w:val="24"/>
        </w:rPr>
        <w:t>对截至2024年12月31日合并报表范围内</w:t>
      </w:r>
      <w:r w:rsidR="009A112B">
        <w:rPr>
          <w:rFonts w:asciiTheme="minorEastAsia" w:eastAsiaTheme="minorEastAsia" w:hAnsiTheme="minorEastAsia" w:hint="eastAsia"/>
          <w:sz w:val="24"/>
        </w:rPr>
        <w:t>会计主体</w:t>
      </w:r>
      <w:r w:rsidR="009A112B" w:rsidRPr="00483BBA">
        <w:rPr>
          <w:rFonts w:asciiTheme="minorEastAsia" w:eastAsiaTheme="minorEastAsia" w:hAnsiTheme="minorEastAsia" w:hint="eastAsia"/>
          <w:sz w:val="24"/>
        </w:rPr>
        <w:t>的各类资产进行了全面核查和减值测试，对存在减值迹象的相关资产计提信用减值损失及资产减值损失，对预计无法收回且已全额计提坏账准备的应收</w:t>
      </w:r>
      <w:r w:rsidR="009A112B">
        <w:rPr>
          <w:rFonts w:asciiTheme="minorEastAsia" w:eastAsiaTheme="minorEastAsia" w:hAnsiTheme="minorEastAsia" w:hint="eastAsia"/>
          <w:sz w:val="24"/>
        </w:rPr>
        <w:t>款项</w:t>
      </w:r>
      <w:r w:rsidR="009A112B" w:rsidRPr="00483BBA">
        <w:rPr>
          <w:rFonts w:asciiTheme="minorEastAsia" w:eastAsiaTheme="minorEastAsia" w:hAnsiTheme="minorEastAsia" w:hint="eastAsia"/>
          <w:sz w:val="24"/>
        </w:rPr>
        <w:t>进行核销。</w:t>
      </w:r>
      <w:r w:rsidRPr="007C1AC7">
        <w:rPr>
          <w:rFonts w:asciiTheme="minorEastAsia" w:eastAsiaTheme="minorEastAsia" w:hAnsiTheme="minorEastAsia"/>
          <w:sz w:val="24"/>
        </w:rPr>
        <w:t>现将</w:t>
      </w:r>
      <w:r w:rsidR="009A112B">
        <w:rPr>
          <w:rFonts w:asciiTheme="minorEastAsia" w:eastAsiaTheme="minorEastAsia" w:hAnsiTheme="minorEastAsia"/>
          <w:sz w:val="24"/>
        </w:rPr>
        <w:t>公司</w:t>
      </w:r>
      <w:r w:rsidRPr="007C1AC7">
        <w:rPr>
          <w:rFonts w:asciiTheme="minorEastAsia" w:eastAsiaTheme="minorEastAsia" w:hAnsiTheme="minorEastAsia"/>
          <w:sz w:val="24"/>
        </w:rPr>
        <w:t>2024年度计提资产减值准备</w:t>
      </w:r>
      <w:r w:rsidR="0030667C">
        <w:rPr>
          <w:rFonts w:asciiTheme="minorEastAsia" w:eastAsiaTheme="minorEastAsia" w:hAnsiTheme="minorEastAsia" w:hint="eastAsia"/>
          <w:sz w:val="24"/>
        </w:rPr>
        <w:t>及核销资产</w:t>
      </w:r>
      <w:r w:rsidRPr="007C1AC7">
        <w:rPr>
          <w:rFonts w:asciiTheme="minorEastAsia" w:eastAsiaTheme="minorEastAsia" w:hAnsiTheme="minorEastAsia"/>
          <w:sz w:val="24"/>
        </w:rPr>
        <w:t>的具体情况公告如下：</w:t>
      </w:r>
    </w:p>
    <w:p w:rsidR="00977192" w:rsidRPr="007D33C0" w:rsidRDefault="00977192" w:rsidP="007D33C0">
      <w:pPr>
        <w:tabs>
          <w:tab w:val="left" w:pos="900"/>
        </w:tabs>
        <w:adjustRightInd w:val="0"/>
        <w:snapToGrid w:val="0"/>
        <w:spacing w:line="348" w:lineRule="auto"/>
        <w:ind w:firstLineChars="200" w:firstLine="480"/>
        <w:rPr>
          <w:rFonts w:ascii="Times New Roman" w:eastAsiaTheme="minorEastAsia" w:hAnsi="Times New Roman"/>
          <w:sz w:val="24"/>
        </w:rPr>
      </w:pPr>
    </w:p>
    <w:p w:rsidR="00977192" w:rsidRDefault="00977192" w:rsidP="007D33C0">
      <w:pPr>
        <w:tabs>
          <w:tab w:val="left" w:pos="900"/>
        </w:tabs>
        <w:adjustRightInd w:val="0"/>
        <w:snapToGrid w:val="0"/>
        <w:spacing w:line="348" w:lineRule="auto"/>
        <w:ind w:firstLineChars="200" w:firstLine="482"/>
        <w:rPr>
          <w:rFonts w:ascii="Times New Roman" w:eastAsiaTheme="minorEastAsia" w:hAnsi="Times New Roman"/>
          <w:b/>
          <w:sz w:val="24"/>
        </w:rPr>
      </w:pPr>
      <w:r w:rsidRPr="007D33C0">
        <w:rPr>
          <w:rFonts w:ascii="Times New Roman" w:eastAsiaTheme="minorEastAsia" w:hAnsi="Times New Roman" w:hint="eastAsia"/>
          <w:b/>
          <w:sz w:val="24"/>
        </w:rPr>
        <w:t>一、</w:t>
      </w:r>
      <w:r w:rsidR="00BE01CB">
        <w:rPr>
          <w:rFonts w:ascii="Times New Roman" w:eastAsiaTheme="minorEastAsia" w:hAnsi="Times New Roman" w:hint="eastAsia"/>
          <w:b/>
          <w:sz w:val="24"/>
        </w:rPr>
        <w:t>本次</w:t>
      </w:r>
      <w:r w:rsidRPr="007D33C0">
        <w:rPr>
          <w:rFonts w:ascii="Times New Roman" w:eastAsiaTheme="minorEastAsia" w:hAnsi="Times New Roman" w:hint="eastAsia"/>
          <w:b/>
          <w:sz w:val="24"/>
        </w:rPr>
        <w:t>计提资产减值准备</w:t>
      </w:r>
      <w:r w:rsidR="0030667C">
        <w:rPr>
          <w:rFonts w:ascii="Times New Roman" w:eastAsiaTheme="minorEastAsia" w:hAnsi="Times New Roman" w:hint="eastAsia"/>
          <w:b/>
          <w:sz w:val="24"/>
        </w:rPr>
        <w:t>及核销资产</w:t>
      </w:r>
      <w:r w:rsidRPr="007D33C0">
        <w:rPr>
          <w:rFonts w:ascii="Times New Roman" w:eastAsiaTheme="minorEastAsia" w:hAnsi="Times New Roman" w:hint="eastAsia"/>
          <w:b/>
          <w:sz w:val="24"/>
        </w:rPr>
        <w:t>情况</w:t>
      </w:r>
      <w:r w:rsidR="007C1AC7">
        <w:rPr>
          <w:rFonts w:ascii="Times New Roman" w:eastAsiaTheme="minorEastAsia" w:hAnsi="Times New Roman" w:hint="eastAsia"/>
          <w:b/>
          <w:sz w:val="24"/>
        </w:rPr>
        <w:t>概述</w:t>
      </w:r>
    </w:p>
    <w:p w:rsidR="007C1AC7" w:rsidRPr="00F073F1" w:rsidRDefault="00B13740" w:rsidP="00D17FC4">
      <w:pPr>
        <w:tabs>
          <w:tab w:val="left" w:pos="900"/>
        </w:tabs>
        <w:adjustRightInd w:val="0"/>
        <w:snapToGrid w:val="0"/>
        <w:spacing w:line="348" w:lineRule="auto"/>
        <w:ind w:firstLineChars="200" w:firstLine="480"/>
        <w:rPr>
          <w:rFonts w:asciiTheme="minorEastAsia" w:eastAsiaTheme="minorEastAsia" w:hAnsiTheme="minorEastAsia"/>
          <w:sz w:val="24"/>
          <w:szCs w:val="24"/>
        </w:rPr>
      </w:pPr>
      <w:r w:rsidRPr="00F073F1">
        <w:rPr>
          <w:rFonts w:asciiTheme="minorEastAsia" w:eastAsiaTheme="minorEastAsia" w:hAnsiTheme="minorEastAsia" w:hint="eastAsia"/>
          <w:sz w:val="24"/>
          <w:szCs w:val="24"/>
        </w:rPr>
        <w:t>1、</w:t>
      </w:r>
      <w:r w:rsidR="007C1AC7" w:rsidRPr="00F073F1">
        <w:rPr>
          <w:rFonts w:asciiTheme="minorEastAsia" w:eastAsiaTheme="minorEastAsia" w:hAnsiTheme="minorEastAsia" w:hint="eastAsia"/>
          <w:sz w:val="24"/>
          <w:szCs w:val="24"/>
        </w:rPr>
        <w:t>计提资产减值准备</w:t>
      </w:r>
      <w:r w:rsidR="0030667C" w:rsidRPr="00F073F1">
        <w:rPr>
          <w:rFonts w:asciiTheme="minorEastAsia" w:eastAsiaTheme="minorEastAsia" w:hAnsiTheme="minorEastAsia" w:hint="eastAsia"/>
          <w:sz w:val="24"/>
          <w:szCs w:val="24"/>
        </w:rPr>
        <w:t>及核销资产</w:t>
      </w:r>
      <w:r w:rsidR="007C1AC7" w:rsidRPr="00F073F1">
        <w:rPr>
          <w:rFonts w:asciiTheme="minorEastAsia" w:eastAsiaTheme="minorEastAsia" w:hAnsiTheme="minorEastAsia" w:hint="eastAsia"/>
          <w:sz w:val="24"/>
          <w:szCs w:val="24"/>
        </w:rPr>
        <w:t>原因</w:t>
      </w:r>
    </w:p>
    <w:p w:rsidR="00603C6D" w:rsidRPr="00F073F1" w:rsidRDefault="00977192" w:rsidP="00603C6D">
      <w:pPr>
        <w:tabs>
          <w:tab w:val="left" w:pos="900"/>
        </w:tabs>
        <w:adjustRightInd w:val="0"/>
        <w:snapToGrid w:val="0"/>
        <w:spacing w:line="348" w:lineRule="auto"/>
        <w:ind w:firstLineChars="200" w:firstLine="480"/>
        <w:rPr>
          <w:rFonts w:asciiTheme="minorEastAsia" w:eastAsiaTheme="minorEastAsia" w:hAnsiTheme="minorEastAsia"/>
          <w:sz w:val="24"/>
          <w:szCs w:val="24"/>
        </w:rPr>
      </w:pPr>
      <w:r w:rsidRPr="00F073F1">
        <w:rPr>
          <w:rFonts w:asciiTheme="minorEastAsia" w:eastAsiaTheme="minorEastAsia" w:hAnsiTheme="minorEastAsia" w:hint="eastAsia"/>
          <w:sz w:val="24"/>
          <w:szCs w:val="24"/>
        </w:rPr>
        <w:t>为</w:t>
      </w:r>
      <w:r w:rsidR="00EA6E9D" w:rsidRPr="00F073F1">
        <w:rPr>
          <w:rFonts w:asciiTheme="minorEastAsia" w:eastAsiaTheme="minorEastAsia" w:hAnsiTheme="minorEastAsia" w:hint="eastAsia"/>
          <w:sz w:val="24"/>
          <w:szCs w:val="24"/>
        </w:rPr>
        <w:t>客观公允</w:t>
      </w:r>
      <w:r w:rsidRPr="00F073F1">
        <w:rPr>
          <w:rFonts w:asciiTheme="minorEastAsia" w:eastAsiaTheme="minorEastAsia" w:hAnsiTheme="minorEastAsia" w:hint="eastAsia"/>
          <w:sz w:val="24"/>
          <w:szCs w:val="24"/>
        </w:rPr>
        <w:t>地反映公司</w:t>
      </w:r>
      <w:r w:rsidR="007D33C0" w:rsidRPr="00F073F1">
        <w:rPr>
          <w:rFonts w:asciiTheme="minorEastAsia" w:eastAsiaTheme="minorEastAsia" w:hAnsiTheme="minorEastAsia" w:hint="eastAsia"/>
          <w:sz w:val="24"/>
          <w:szCs w:val="24"/>
        </w:rPr>
        <w:t>2024</w:t>
      </w:r>
      <w:r w:rsidRPr="00F073F1">
        <w:rPr>
          <w:rFonts w:asciiTheme="minorEastAsia" w:eastAsiaTheme="minorEastAsia" w:hAnsiTheme="minorEastAsia" w:hint="eastAsia"/>
          <w:sz w:val="24"/>
          <w:szCs w:val="24"/>
        </w:rPr>
        <w:t>年度的财务状况和经营成果，依据《企业会计准则》以及公司相关会计政策的规定，</w:t>
      </w:r>
      <w:r w:rsidR="00603C6D" w:rsidRPr="00F073F1">
        <w:rPr>
          <w:rFonts w:asciiTheme="minorEastAsia" w:eastAsiaTheme="minorEastAsia" w:hAnsiTheme="minorEastAsia"/>
          <w:sz w:val="24"/>
          <w:szCs w:val="24"/>
        </w:rPr>
        <w:t>公司对合并范围内</w:t>
      </w:r>
      <w:r w:rsidR="00262A37">
        <w:rPr>
          <w:rFonts w:asciiTheme="minorEastAsia" w:eastAsiaTheme="minorEastAsia" w:hAnsiTheme="minorEastAsia"/>
          <w:sz w:val="24"/>
          <w:szCs w:val="24"/>
        </w:rPr>
        <w:t>会计主体的</w:t>
      </w:r>
      <w:r w:rsidR="00603C6D" w:rsidRPr="00F073F1">
        <w:rPr>
          <w:rFonts w:asciiTheme="minorEastAsia" w:eastAsiaTheme="minorEastAsia" w:hAnsiTheme="minorEastAsia"/>
          <w:sz w:val="24"/>
          <w:szCs w:val="24"/>
        </w:rPr>
        <w:t>应收票据、应收账款、其他应收款、预付款项、存货、固定资产、无形资产、长期</w:t>
      </w:r>
      <w:bookmarkStart w:id="0" w:name="OLE_LINK11"/>
      <w:bookmarkStart w:id="1" w:name="OLE_LINK12"/>
      <w:r w:rsidR="00603C6D" w:rsidRPr="00F073F1">
        <w:rPr>
          <w:rFonts w:asciiTheme="minorEastAsia" w:eastAsiaTheme="minorEastAsia" w:hAnsiTheme="minorEastAsia"/>
          <w:sz w:val="24"/>
          <w:szCs w:val="24"/>
        </w:rPr>
        <w:t>股权投资、商誉等相关资产进行了减值测试。根据减值测试结果，公司管理层基于</w:t>
      </w:r>
      <w:r w:rsidR="00262A37">
        <w:rPr>
          <w:rFonts w:asciiTheme="minorEastAsia" w:eastAsiaTheme="minorEastAsia" w:hAnsiTheme="minorEastAsia"/>
          <w:sz w:val="24"/>
          <w:szCs w:val="24"/>
        </w:rPr>
        <w:t>谨慎</w:t>
      </w:r>
      <w:r w:rsidR="00603C6D" w:rsidRPr="00F073F1">
        <w:rPr>
          <w:rFonts w:asciiTheme="minorEastAsia" w:eastAsiaTheme="minorEastAsia" w:hAnsiTheme="minorEastAsia"/>
          <w:sz w:val="24"/>
          <w:szCs w:val="24"/>
        </w:rPr>
        <w:t>性原则，对可能发生减值损失的相关资产计提减值准备，对</w:t>
      </w:r>
      <w:bookmarkEnd w:id="0"/>
      <w:bookmarkEnd w:id="1"/>
      <w:r w:rsidR="00603C6D" w:rsidRPr="00F073F1">
        <w:rPr>
          <w:rFonts w:asciiTheme="minorEastAsia" w:eastAsiaTheme="minorEastAsia" w:hAnsiTheme="minorEastAsia"/>
          <w:sz w:val="24"/>
          <w:szCs w:val="24"/>
        </w:rPr>
        <w:t>预期无法收回且已</w:t>
      </w:r>
      <w:r w:rsidR="009A112B">
        <w:rPr>
          <w:rFonts w:asciiTheme="minorEastAsia" w:eastAsiaTheme="minorEastAsia" w:hAnsiTheme="minorEastAsia"/>
          <w:sz w:val="24"/>
          <w:szCs w:val="24"/>
        </w:rPr>
        <w:t>全额</w:t>
      </w:r>
      <w:r w:rsidR="00603C6D" w:rsidRPr="00F073F1">
        <w:rPr>
          <w:rFonts w:asciiTheme="minorEastAsia" w:eastAsiaTheme="minorEastAsia" w:hAnsiTheme="minorEastAsia"/>
          <w:sz w:val="24"/>
          <w:szCs w:val="24"/>
        </w:rPr>
        <w:t>计提坏账准备的应收</w:t>
      </w:r>
      <w:r w:rsidR="00EA6E9D" w:rsidRPr="00F073F1">
        <w:rPr>
          <w:rFonts w:asciiTheme="minorEastAsia" w:eastAsiaTheme="minorEastAsia" w:hAnsiTheme="minorEastAsia" w:hint="eastAsia"/>
          <w:sz w:val="24"/>
          <w:szCs w:val="24"/>
        </w:rPr>
        <w:t>款项</w:t>
      </w:r>
      <w:r w:rsidR="00603C6D" w:rsidRPr="00F073F1">
        <w:rPr>
          <w:rFonts w:asciiTheme="minorEastAsia" w:eastAsiaTheme="minorEastAsia" w:hAnsiTheme="minorEastAsia"/>
          <w:sz w:val="24"/>
          <w:szCs w:val="24"/>
        </w:rPr>
        <w:t>进行核销。</w:t>
      </w:r>
    </w:p>
    <w:p w:rsidR="002751EF" w:rsidRPr="00F073F1" w:rsidRDefault="002751EF" w:rsidP="002751EF">
      <w:pPr>
        <w:tabs>
          <w:tab w:val="left" w:pos="900"/>
        </w:tabs>
        <w:adjustRightInd w:val="0"/>
        <w:snapToGrid w:val="0"/>
        <w:spacing w:line="348" w:lineRule="auto"/>
        <w:ind w:firstLineChars="200" w:firstLine="480"/>
        <w:rPr>
          <w:rFonts w:asciiTheme="minorEastAsia" w:eastAsiaTheme="minorEastAsia" w:hAnsiTheme="minorEastAsia"/>
          <w:sz w:val="24"/>
          <w:szCs w:val="24"/>
        </w:rPr>
      </w:pPr>
      <w:r w:rsidRPr="00F073F1">
        <w:rPr>
          <w:rFonts w:asciiTheme="minorEastAsia" w:eastAsiaTheme="minorEastAsia" w:hAnsiTheme="minorEastAsia"/>
          <w:sz w:val="24"/>
          <w:szCs w:val="24"/>
        </w:rPr>
        <w:t>经中兴华会计师事务所（特殊普通合伙）审计，202</w:t>
      </w:r>
      <w:r w:rsidRPr="00F073F1">
        <w:rPr>
          <w:rFonts w:asciiTheme="minorEastAsia" w:eastAsiaTheme="minorEastAsia" w:hAnsiTheme="minorEastAsia" w:hint="eastAsia"/>
          <w:sz w:val="24"/>
          <w:szCs w:val="24"/>
        </w:rPr>
        <w:t>4</w:t>
      </w:r>
      <w:r w:rsidR="00176191">
        <w:rPr>
          <w:rFonts w:asciiTheme="minorEastAsia" w:eastAsiaTheme="minorEastAsia" w:hAnsiTheme="minorEastAsia"/>
          <w:sz w:val="24"/>
          <w:szCs w:val="24"/>
        </w:rPr>
        <w:t>年，</w:t>
      </w:r>
      <w:r w:rsidRPr="00F073F1">
        <w:rPr>
          <w:rFonts w:asciiTheme="minorEastAsia" w:eastAsiaTheme="minorEastAsia" w:hAnsiTheme="minorEastAsia"/>
          <w:sz w:val="24"/>
          <w:szCs w:val="24"/>
        </w:rPr>
        <w:t>公司及合并范围内</w:t>
      </w:r>
      <w:r w:rsidR="00EA6E9D" w:rsidRPr="00F073F1">
        <w:rPr>
          <w:rFonts w:asciiTheme="minorEastAsia" w:eastAsiaTheme="minorEastAsia" w:hAnsiTheme="minorEastAsia" w:hint="eastAsia"/>
          <w:sz w:val="24"/>
          <w:szCs w:val="24"/>
        </w:rPr>
        <w:t>会计主体</w:t>
      </w:r>
      <w:r w:rsidRPr="00F073F1">
        <w:rPr>
          <w:rFonts w:asciiTheme="minorEastAsia" w:eastAsiaTheme="minorEastAsia" w:hAnsiTheme="minorEastAsia"/>
          <w:sz w:val="24"/>
          <w:szCs w:val="24"/>
        </w:rPr>
        <w:t>合计计提各类减值</w:t>
      </w:r>
      <w:r w:rsidR="00EA6E9D" w:rsidRPr="00F073F1">
        <w:rPr>
          <w:rFonts w:asciiTheme="minorEastAsia" w:eastAsiaTheme="minorEastAsia" w:hAnsiTheme="minorEastAsia" w:hint="eastAsia"/>
          <w:sz w:val="24"/>
          <w:szCs w:val="24"/>
        </w:rPr>
        <w:t>准备</w:t>
      </w:r>
      <w:r w:rsidR="001A1FCF">
        <w:rPr>
          <w:rFonts w:asciiTheme="minorEastAsia" w:eastAsiaTheme="minorEastAsia" w:hAnsiTheme="minorEastAsia" w:hint="eastAsia"/>
          <w:sz w:val="24"/>
          <w:szCs w:val="24"/>
        </w:rPr>
        <w:t>62</w:t>
      </w:r>
      <w:r w:rsidRPr="00F073F1">
        <w:rPr>
          <w:rFonts w:asciiTheme="minorEastAsia" w:eastAsiaTheme="minorEastAsia" w:hAnsiTheme="minorEastAsia"/>
          <w:sz w:val="24"/>
          <w:szCs w:val="24"/>
        </w:rPr>
        <w:t>,</w:t>
      </w:r>
      <w:r w:rsidR="001A1FCF">
        <w:rPr>
          <w:rFonts w:asciiTheme="minorEastAsia" w:eastAsiaTheme="minorEastAsia" w:hAnsiTheme="minorEastAsia" w:hint="eastAsia"/>
          <w:sz w:val="24"/>
          <w:szCs w:val="24"/>
        </w:rPr>
        <w:t>336</w:t>
      </w:r>
      <w:r w:rsidRPr="00F073F1">
        <w:rPr>
          <w:rFonts w:asciiTheme="minorEastAsia" w:eastAsiaTheme="minorEastAsia" w:hAnsiTheme="minorEastAsia"/>
          <w:sz w:val="24"/>
          <w:szCs w:val="24"/>
        </w:rPr>
        <w:t>,</w:t>
      </w:r>
      <w:r w:rsidR="001A1FCF">
        <w:rPr>
          <w:rFonts w:asciiTheme="minorEastAsia" w:eastAsiaTheme="minorEastAsia" w:hAnsiTheme="minorEastAsia" w:hint="eastAsia"/>
          <w:sz w:val="24"/>
          <w:szCs w:val="24"/>
        </w:rPr>
        <w:t>583</w:t>
      </w:r>
      <w:r w:rsidRPr="00F073F1">
        <w:rPr>
          <w:rFonts w:asciiTheme="minorEastAsia" w:eastAsiaTheme="minorEastAsia" w:hAnsiTheme="minorEastAsia"/>
          <w:sz w:val="24"/>
          <w:szCs w:val="24"/>
        </w:rPr>
        <w:t>.</w:t>
      </w:r>
      <w:r w:rsidR="001A1FCF">
        <w:rPr>
          <w:rFonts w:asciiTheme="minorEastAsia" w:eastAsiaTheme="minorEastAsia" w:hAnsiTheme="minorEastAsia" w:hint="eastAsia"/>
          <w:sz w:val="24"/>
          <w:szCs w:val="24"/>
        </w:rPr>
        <w:t>39</w:t>
      </w:r>
      <w:r w:rsidRPr="00F073F1">
        <w:rPr>
          <w:rFonts w:asciiTheme="minorEastAsia" w:eastAsiaTheme="minorEastAsia" w:hAnsiTheme="minorEastAsia"/>
          <w:sz w:val="24"/>
          <w:szCs w:val="24"/>
        </w:rPr>
        <w:t>元，其中计提信用减值损失 2,</w:t>
      </w:r>
      <w:r w:rsidRPr="00F073F1">
        <w:rPr>
          <w:rFonts w:asciiTheme="minorEastAsia" w:eastAsiaTheme="minorEastAsia" w:hAnsiTheme="minorEastAsia" w:hint="eastAsia"/>
          <w:sz w:val="24"/>
          <w:szCs w:val="24"/>
        </w:rPr>
        <w:t>234</w:t>
      </w:r>
      <w:r w:rsidRPr="00F073F1">
        <w:rPr>
          <w:rFonts w:asciiTheme="minorEastAsia" w:eastAsiaTheme="minorEastAsia" w:hAnsiTheme="minorEastAsia"/>
          <w:sz w:val="24"/>
          <w:szCs w:val="24"/>
        </w:rPr>
        <w:t>,</w:t>
      </w:r>
      <w:r w:rsidRPr="00F073F1">
        <w:rPr>
          <w:rFonts w:asciiTheme="minorEastAsia" w:eastAsiaTheme="minorEastAsia" w:hAnsiTheme="minorEastAsia" w:hint="eastAsia"/>
          <w:sz w:val="24"/>
          <w:szCs w:val="24"/>
        </w:rPr>
        <w:t>374</w:t>
      </w:r>
      <w:r w:rsidRPr="00F073F1">
        <w:rPr>
          <w:rFonts w:asciiTheme="minorEastAsia" w:eastAsiaTheme="minorEastAsia" w:hAnsiTheme="minorEastAsia"/>
          <w:sz w:val="24"/>
          <w:szCs w:val="24"/>
        </w:rPr>
        <w:t>.</w:t>
      </w:r>
      <w:r w:rsidRPr="00F073F1">
        <w:rPr>
          <w:rFonts w:asciiTheme="minorEastAsia" w:eastAsiaTheme="minorEastAsia" w:hAnsiTheme="minorEastAsia" w:hint="eastAsia"/>
          <w:sz w:val="24"/>
          <w:szCs w:val="24"/>
        </w:rPr>
        <w:t>84</w:t>
      </w:r>
      <w:r w:rsidRPr="00F073F1">
        <w:rPr>
          <w:rFonts w:asciiTheme="minorEastAsia" w:eastAsiaTheme="minorEastAsia" w:hAnsiTheme="minorEastAsia"/>
          <w:sz w:val="24"/>
          <w:szCs w:val="24"/>
        </w:rPr>
        <w:t>元、资产减值损失</w:t>
      </w:r>
      <w:r w:rsidR="001A1FCF">
        <w:rPr>
          <w:rFonts w:asciiTheme="minorEastAsia" w:eastAsiaTheme="minorEastAsia" w:hAnsiTheme="minorEastAsia" w:hint="eastAsia"/>
          <w:sz w:val="24"/>
          <w:szCs w:val="24"/>
        </w:rPr>
        <w:t>60</w:t>
      </w:r>
      <w:r w:rsidRPr="00F073F1">
        <w:rPr>
          <w:rFonts w:asciiTheme="minorEastAsia" w:eastAsiaTheme="minorEastAsia" w:hAnsiTheme="minorEastAsia"/>
          <w:sz w:val="24"/>
          <w:szCs w:val="24"/>
        </w:rPr>
        <w:t>,</w:t>
      </w:r>
      <w:r w:rsidRPr="00F073F1">
        <w:rPr>
          <w:rFonts w:asciiTheme="minorEastAsia" w:eastAsiaTheme="minorEastAsia" w:hAnsiTheme="minorEastAsia" w:hint="eastAsia"/>
          <w:sz w:val="24"/>
          <w:szCs w:val="24"/>
        </w:rPr>
        <w:t>1</w:t>
      </w:r>
      <w:r w:rsidR="001A1FCF">
        <w:rPr>
          <w:rFonts w:asciiTheme="minorEastAsia" w:eastAsiaTheme="minorEastAsia" w:hAnsiTheme="minorEastAsia" w:hint="eastAsia"/>
          <w:sz w:val="24"/>
          <w:szCs w:val="24"/>
        </w:rPr>
        <w:t>02</w:t>
      </w:r>
      <w:r w:rsidRPr="00F073F1">
        <w:rPr>
          <w:rFonts w:asciiTheme="minorEastAsia" w:eastAsiaTheme="minorEastAsia" w:hAnsiTheme="minorEastAsia"/>
          <w:sz w:val="24"/>
          <w:szCs w:val="24"/>
        </w:rPr>
        <w:t>,</w:t>
      </w:r>
      <w:r w:rsidR="001A1FCF">
        <w:rPr>
          <w:rFonts w:asciiTheme="minorEastAsia" w:eastAsiaTheme="minorEastAsia" w:hAnsiTheme="minorEastAsia" w:hint="eastAsia"/>
          <w:sz w:val="24"/>
          <w:szCs w:val="24"/>
        </w:rPr>
        <w:t>208</w:t>
      </w:r>
      <w:r w:rsidRPr="00F073F1">
        <w:rPr>
          <w:rFonts w:asciiTheme="minorEastAsia" w:eastAsiaTheme="minorEastAsia" w:hAnsiTheme="minorEastAsia"/>
          <w:sz w:val="24"/>
          <w:szCs w:val="24"/>
        </w:rPr>
        <w:t>.</w:t>
      </w:r>
      <w:r w:rsidR="001A1FCF">
        <w:rPr>
          <w:rFonts w:asciiTheme="minorEastAsia" w:eastAsiaTheme="minorEastAsia" w:hAnsiTheme="minorEastAsia" w:hint="eastAsia"/>
          <w:sz w:val="24"/>
          <w:szCs w:val="24"/>
        </w:rPr>
        <w:t>55</w:t>
      </w:r>
      <w:r w:rsidR="00F073F1" w:rsidRPr="00F073F1">
        <w:rPr>
          <w:rFonts w:asciiTheme="minorEastAsia" w:eastAsiaTheme="minorEastAsia" w:hAnsiTheme="minorEastAsia"/>
          <w:sz w:val="24"/>
          <w:szCs w:val="24"/>
        </w:rPr>
        <w:t>元。</w:t>
      </w:r>
      <w:r w:rsidRPr="00F073F1">
        <w:rPr>
          <w:rFonts w:asciiTheme="minorEastAsia" w:eastAsiaTheme="minorEastAsia" w:hAnsiTheme="minorEastAsia"/>
          <w:sz w:val="24"/>
          <w:szCs w:val="24"/>
        </w:rPr>
        <w:t>核销应收账款4,</w:t>
      </w:r>
      <w:r w:rsidRPr="00F073F1">
        <w:rPr>
          <w:rFonts w:asciiTheme="minorEastAsia" w:eastAsiaTheme="minorEastAsia" w:hAnsiTheme="minorEastAsia" w:hint="eastAsia"/>
          <w:sz w:val="24"/>
          <w:szCs w:val="24"/>
        </w:rPr>
        <w:t>556</w:t>
      </w:r>
      <w:r w:rsidRPr="00F073F1">
        <w:rPr>
          <w:rFonts w:asciiTheme="minorEastAsia" w:eastAsiaTheme="minorEastAsia" w:hAnsiTheme="minorEastAsia"/>
          <w:sz w:val="24"/>
          <w:szCs w:val="24"/>
        </w:rPr>
        <w:t>,</w:t>
      </w:r>
      <w:r w:rsidRPr="00F073F1">
        <w:rPr>
          <w:rFonts w:asciiTheme="minorEastAsia" w:eastAsiaTheme="minorEastAsia" w:hAnsiTheme="minorEastAsia" w:hint="eastAsia"/>
          <w:sz w:val="24"/>
          <w:szCs w:val="24"/>
        </w:rPr>
        <w:t>628</w:t>
      </w:r>
      <w:r w:rsidRPr="00F073F1">
        <w:rPr>
          <w:rFonts w:asciiTheme="minorEastAsia" w:eastAsiaTheme="minorEastAsia" w:hAnsiTheme="minorEastAsia"/>
          <w:sz w:val="24"/>
          <w:szCs w:val="24"/>
        </w:rPr>
        <w:t>.</w:t>
      </w:r>
      <w:r w:rsidRPr="00F073F1">
        <w:rPr>
          <w:rFonts w:asciiTheme="minorEastAsia" w:eastAsiaTheme="minorEastAsia" w:hAnsiTheme="minorEastAsia" w:hint="eastAsia"/>
          <w:sz w:val="24"/>
          <w:szCs w:val="24"/>
        </w:rPr>
        <w:t>61</w:t>
      </w:r>
      <w:r w:rsidRPr="00F073F1">
        <w:rPr>
          <w:rFonts w:asciiTheme="minorEastAsia" w:eastAsiaTheme="minorEastAsia" w:hAnsiTheme="minorEastAsia"/>
          <w:sz w:val="24"/>
          <w:szCs w:val="24"/>
        </w:rPr>
        <w:t xml:space="preserve"> 元，核销其他应收款2</w:t>
      </w:r>
      <w:r w:rsidRPr="00F073F1">
        <w:rPr>
          <w:rFonts w:asciiTheme="minorEastAsia" w:eastAsiaTheme="minorEastAsia" w:hAnsiTheme="minorEastAsia" w:hint="eastAsia"/>
          <w:sz w:val="24"/>
          <w:szCs w:val="24"/>
        </w:rPr>
        <w:t>9</w:t>
      </w:r>
      <w:r w:rsidRPr="00F073F1">
        <w:rPr>
          <w:rFonts w:asciiTheme="minorEastAsia" w:eastAsiaTheme="minorEastAsia" w:hAnsiTheme="minorEastAsia"/>
          <w:sz w:val="24"/>
          <w:szCs w:val="24"/>
        </w:rPr>
        <w:t>,</w:t>
      </w:r>
      <w:r w:rsidRPr="00F073F1">
        <w:rPr>
          <w:rFonts w:asciiTheme="minorEastAsia" w:eastAsiaTheme="minorEastAsia" w:hAnsiTheme="minorEastAsia" w:hint="eastAsia"/>
          <w:sz w:val="24"/>
          <w:szCs w:val="24"/>
        </w:rPr>
        <w:t>819</w:t>
      </w:r>
      <w:r w:rsidRPr="00F073F1">
        <w:rPr>
          <w:rFonts w:asciiTheme="minorEastAsia" w:eastAsiaTheme="minorEastAsia" w:hAnsiTheme="minorEastAsia"/>
          <w:sz w:val="24"/>
          <w:szCs w:val="24"/>
        </w:rPr>
        <w:t>,</w:t>
      </w:r>
      <w:r w:rsidRPr="00F073F1">
        <w:rPr>
          <w:rFonts w:asciiTheme="minorEastAsia" w:eastAsiaTheme="minorEastAsia" w:hAnsiTheme="minorEastAsia" w:hint="eastAsia"/>
          <w:sz w:val="24"/>
          <w:szCs w:val="24"/>
        </w:rPr>
        <w:t>116</w:t>
      </w:r>
      <w:r w:rsidRPr="00F073F1">
        <w:rPr>
          <w:rFonts w:asciiTheme="minorEastAsia" w:eastAsiaTheme="minorEastAsia" w:hAnsiTheme="minorEastAsia"/>
          <w:sz w:val="24"/>
          <w:szCs w:val="24"/>
        </w:rPr>
        <w:t>.</w:t>
      </w:r>
      <w:r w:rsidRPr="00F073F1">
        <w:rPr>
          <w:rFonts w:asciiTheme="minorEastAsia" w:eastAsiaTheme="minorEastAsia" w:hAnsiTheme="minorEastAsia" w:hint="eastAsia"/>
          <w:sz w:val="24"/>
          <w:szCs w:val="24"/>
        </w:rPr>
        <w:t>16</w:t>
      </w:r>
      <w:r w:rsidRPr="00F073F1">
        <w:rPr>
          <w:rFonts w:asciiTheme="minorEastAsia" w:eastAsiaTheme="minorEastAsia" w:hAnsiTheme="minorEastAsia"/>
          <w:sz w:val="24"/>
          <w:szCs w:val="24"/>
        </w:rPr>
        <w:t>元。</w:t>
      </w:r>
    </w:p>
    <w:p w:rsidR="00325419" w:rsidRPr="00F073F1" w:rsidRDefault="00325419" w:rsidP="002751EF">
      <w:pPr>
        <w:tabs>
          <w:tab w:val="left" w:pos="900"/>
        </w:tabs>
        <w:adjustRightInd w:val="0"/>
        <w:snapToGrid w:val="0"/>
        <w:spacing w:line="348" w:lineRule="auto"/>
        <w:ind w:firstLineChars="200" w:firstLine="480"/>
        <w:rPr>
          <w:rFonts w:asciiTheme="minorEastAsia" w:eastAsiaTheme="minorEastAsia" w:hAnsiTheme="minorEastAsia"/>
          <w:sz w:val="24"/>
          <w:szCs w:val="24"/>
        </w:rPr>
      </w:pPr>
    </w:p>
    <w:p w:rsidR="00977192" w:rsidRPr="00F073F1" w:rsidRDefault="00B13740" w:rsidP="00D17FC4">
      <w:pPr>
        <w:tabs>
          <w:tab w:val="left" w:pos="900"/>
        </w:tabs>
        <w:adjustRightInd w:val="0"/>
        <w:snapToGrid w:val="0"/>
        <w:spacing w:line="348" w:lineRule="auto"/>
        <w:ind w:firstLineChars="200" w:firstLine="480"/>
        <w:rPr>
          <w:rFonts w:asciiTheme="minorEastAsia" w:eastAsiaTheme="minorEastAsia" w:hAnsiTheme="minorEastAsia"/>
          <w:sz w:val="24"/>
          <w:szCs w:val="24"/>
        </w:rPr>
      </w:pPr>
      <w:r w:rsidRPr="00F073F1">
        <w:rPr>
          <w:rFonts w:asciiTheme="minorEastAsia" w:eastAsiaTheme="minorEastAsia" w:hAnsiTheme="minorEastAsia" w:hint="eastAsia"/>
          <w:sz w:val="24"/>
          <w:szCs w:val="24"/>
        </w:rPr>
        <w:t>2、</w:t>
      </w:r>
      <w:r w:rsidR="007C1AC7" w:rsidRPr="00F073F1">
        <w:rPr>
          <w:rFonts w:asciiTheme="minorEastAsia" w:eastAsiaTheme="minorEastAsia" w:hAnsiTheme="minorEastAsia" w:hint="eastAsia"/>
          <w:sz w:val="24"/>
          <w:szCs w:val="24"/>
        </w:rPr>
        <w:t>本次</w:t>
      </w:r>
      <w:r w:rsidR="00977192" w:rsidRPr="00F073F1">
        <w:rPr>
          <w:rFonts w:asciiTheme="minorEastAsia" w:eastAsiaTheme="minorEastAsia" w:hAnsiTheme="minorEastAsia" w:hint="eastAsia"/>
          <w:sz w:val="24"/>
          <w:szCs w:val="24"/>
        </w:rPr>
        <w:t>计提资产减值准备</w:t>
      </w:r>
      <w:r w:rsidR="0030667C" w:rsidRPr="00F073F1">
        <w:rPr>
          <w:rFonts w:asciiTheme="minorEastAsia" w:eastAsiaTheme="minorEastAsia" w:hAnsiTheme="minorEastAsia" w:hint="eastAsia"/>
          <w:sz w:val="24"/>
          <w:szCs w:val="24"/>
        </w:rPr>
        <w:t>及核销资产</w:t>
      </w:r>
      <w:r w:rsidR="007C1AC7" w:rsidRPr="00F073F1">
        <w:rPr>
          <w:rFonts w:asciiTheme="minorEastAsia" w:eastAsiaTheme="minorEastAsia" w:hAnsiTheme="minorEastAsia" w:hint="eastAsia"/>
          <w:sz w:val="24"/>
          <w:szCs w:val="24"/>
        </w:rPr>
        <w:t>明细情况</w:t>
      </w:r>
    </w:p>
    <w:p w:rsidR="00977192" w:rsidRPr="00F073F1" w:rsidRDefault="00B13740" w:rsidP="007D33C0">
      <w:pPr>
        <w:tabs>
          <w:tab w:val="left" w:pos="900"/>
        </w:tabs>
        <w:adjustRightInd w:val="0"/>
        <w:snapToGrid w:val="0"/>
        <w:spacing w:line="348" w:lineRule="auto"/>
        <w:ind w:firstLineChars="200" w:firstLine="480"/>
        <w:rPr>
          <w:rFonts w:ascii="Times New Roman" w:eastAsiaTheme="minorEastAsia" w:hAnsi="Times New Roman"/>
          <w:sz w:val="24"/>
          <w:szCs w:val="24"/>
        </w:rPr>
      </w:pPr>
      <w:r w:rsidRPr="00F073F1">
        <w:rPr>
          <w:rFonts w:ascii="Times New Roman" w:eastAsiaTheme="minorEastAsia" w:hAnsi="Times New Roman" w:hint="eastAsia"/>
          <w:sz w:val="24"/>
          <w:szCs w:val="24"/>
        </w:rPr>
        <w:t>（</w:t>
      </w:r>
      <w:r w:rsidRPr="00F073F1">
        <w:rPr>
          <w:rFonts w:ascii="Times New Roman" w:eastAsiaTheme="minorEastAsia" w:hAnsi="Times New Roman" w:hint="eastAsia"/>
          <w:sz w:val="24"/>
          <w:szCs w:val="24"/>
        </w:rPr>
        <w:t>1</w:t>
      </w:r>
      <w:r w:rsidRPr="00F073F1">
        <w:rPr>
          <w:rFonts w:ascii="Times New Roman" w:eastAsiaTheme="minorEastAsia" w:hAnsi="Times New Roman" w:hint="eastAsia"/>
          <w:sz w:val="24"/>
          <w:szCs w:val="24"/>
        </w:rPr>
        <w:t>）</w:t>
      </w:r>
      <w:r w:rsidR="00977192" w:rsidRPr="00F073F1">
        <w:rPr>
          <w:rFonts w:ascii="Times New Roman" w:eastAsiaTheme="minorEastAsia" w:hAnsi="Times New Roman" w:hint="eastAsia"/>
          <w:sz w:val="24"/>
          <w:szCs w:val="24"/>
        </w:rPr>
        <w:t>计提</w:t>
      </w:r>
      <w:r w:rsidRPr="00F073F1">
        <w:rPr>
          <w:rFonts w:ascii="Times New Roman" w:eastAsiaTheme="minorEastAsia" w:hAnsi="Times New Roman" w:hint="eastAsia"/>
          <w:sz w:val="24"/>
          <w:szCs w:val="24"/>
        </w:rPr>
        <w:t>资产减值</w:t>
      </w:r>
      <w:r w:rsidR="00752A30" w:rsidRPr="00F073F1">
        <w:rPr>
          <w:rFonts w:ascii="Times New Roman" w:eastAsiaTheme="minorEastAsia" w:hAnsi="Times New Roman" w:hint="eastAsia"/>
          <w:sz w:val="24"/>
          <w:szCs w:val="24"/>
        </w:rPr>
        <w:t>准备</w:t>
      </w:r>
      <w:r w:rsidR="00977192" w:rsidRPr="00F073F1">
        <w:rPr>
          <w:rFonts w:ascii="Times New Roman" w:eastAsiaTheme="minorEastAsia" w:hAnsi="Times New Roman" w:hint="eastAsia"/>
          <w:sz w:val="24"/>
          <w:szCs w:val="24"/>
        </w:rPr>
        <w:t>情况如下：</w:t>
      </w:r>
    </w:p>
    <w:p w:rsidR="007D33C0" w:rsidRPr="00F073F1" w:rsidRDefault="007D33C0" w:rsidP="00B13740">
      <w:pPr>
        <w:tabs>
          <w:tab w:val="left" w:pos="900"/>
        </w:tabs>
        <w:adjustRightInd w:val="0"/>
        <w:snapToGrid w:val="0"/>
        <w:spacing w:line="348" w:lineRule="auto"/>
        <w:ind w:firstLineChars="2550" w:firstLine="6120"/>
        <w:rPr>
          <w:rFonts w:ascii="Times New Roman" w:eastAsiaTheme="minorEastAsia" w:hAnsi="Times New Roman"/>
          <w:sz w:val="24"/>
          <w:szCs w:val="24"/>
        </w:rPr>
      </w:pPr>
      <w:r w:rsidRPr="00F073F1">
        <w:rPr>
          <w:rFonts w:ascii="Times New Roman" w:eastAsiaTheme="minorEastAsia" w:hAnsi="Times New Roman" w:hint="eastAsia"/>
          <w:sz w:val="24"/>
          <w:szCs w:val="24"/>
        </w:rPr>
        <w:t>单位：人民币元</w:t>
      </w:r>
    </w:p>
    <w:p w:rsidR="00B13740" w:rsidRDefault="00B13740" w:rsidP="00B13740">
      <w:pPr>
        <w:tabs>
          <w:tab w:val="left" w:pos="900"/>
        </w:tabs>
        <w:adjustRightInd w:val="0"/>
        <w:snapToGrid w:val="0"/>
        <w:spacing w:line="348" w:lineRule="auto"/>
        <w:ind w:firstLineChars="2550" w:firstLine="6120"/>
        <w:jc w:val="left"/>
        <w:rPr>
          <w:rFonts w:ascii="Times New Roman" w:eastAsiaTheme="minorEastAsia" w:hAnsi="Times New Roman"/>
          <w:sz w:val="24"/>
        </w:rPr>
      </w:pPr>
    </w:p>
    <w:tbl>
      <w:tblPr>
        <w:tblW w:w="8377" w:type="dxa"/>
        <w:tblInd w:w="95" w:type="dxa"/>
        <w:tblLook w:val="04A0" w:firstRow="1" w:lastRow="0" w:firstColumn="1" w:lastColumn="0" w:noHBand="0" w:noVBand="1"/>
      </w:tblPr>
      <w:tblGrid>
        <w:gridCol w:w="3240"/>
        <w:gridCol w:w="2443"/>
        <w:gridCol w:w="2694"/>
      </w:tblGrid>
      <w:tr w:rsidR="00B13740" w:rsidRPr="00982963" w:rsidTr="00345087">
        <w:trPr>
          <w:trHeight w:val="567"/>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740" w:rsidRPr="00F073F1" w:rsidRDefault="00B13740" w:rsidP="00982963">
            <w:pPr>
              <w:widowControl/>
              <w:jc w:val="center"/>
              <w:rPr>
                <w:rFonts w:ascii="宋体" w:hAnsi="宋体" w:cs="宋体"/>
                <w:color w:val="000000"/>
                <w:kern w:val="0"/>
                <w:szCs w:val="21"/>
              </w:rPr>
            </w:pPr>
            <w:r w:rsidRPr="00F073F1">
              <w:rPr>
                <w:rFonts w:ascii="宋体" w:hAnsi="宋体" w:cs="宋体" w:hint="eastAsia"/>
                <w:color w:val="000000"/>
                <w:kern w:val="0"/>
                <w:szCs w:val="21"/>
              </w:rPr>
              <w:t>资产名称</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rsidR="00982963" w:rsidRPr="00F073F1" w:rsidRDefault="00752A30" w:rsidP="00982963">
            <w:pPr>
              <w:widowControl/>
              <w:jc w:val="center"/>
              <w:rPr>
                <w:rFonts w:ascii="宋体" w:hAnsi="宋体" w:cs="宋体"/>
                <w:color w:val="000000"/>
                <w:kern w:val="0"/>
                <w:szCs w:val="21"/>
              </w:rPr>
            </w:pPr>
            <w:r w:rsidRPr="00F073F1">
              <w:rPr>
                <w:rFonts w:ascii="宋体" w:hAnsi="宋体" w:cs="宋体" w:hint="eastAsia"/>
                <w:color w:val="000000"/>
                <w:kern w:val="0"/>
                <w:szCs w:val="21"/>
              </w:rPr>
              <w:t>本期计提资产</w:t>
            </w:r>
          </w:p>
          <w:p w:rsidR="00B13740" w:rsidRPr="00F073F1" w:rsidRDefault="00752A30" w:rsidP="00982963">
            <w:pPr>
              <w:widowControl/>
              <w:jc w:val="center"/>
              <w:rPr>
                <w:rFonts w:ascii="宋体" w:hAnsi="宋体" w:cs="宋体"/>
                <w:color w:val="000000"/>
                <w:kern w:val="0"/>
                <w:szCs w:val="21"/>
              </w:rPr>
            </w:pPr>
            <w:r w:rsidRPr="00F073F1">
              <w:rPr>
                <w:rFonts w:ascii="宋体" w:hAnsi="宋体" w:cs="宋体" w:hint="eastAsia"/>
                <w:color w:val="000000"/>
                <w:kern w:val="0"/>
                <w:szCs w:val="21"/>
              </w:rPr>
              <w:t>减值准备</w:t>
            </w:r>
            <w:r w:rsidR="00B13740" w:rsidRPr="00F073F1">
              <w:rPr>
                <w:rFonts w:ascii="宋体" w:hAnsi="宋体" w:cs="宋体" w:hint="eastAsia"/>
                <w:color w:val="000000"/>
                <w:kern w:val="0"/>
                <w:szCs w:val="21"/>
              </w:rPr>
              <w:t>金额</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982963" w:rsidRPr="00F073F1" w:rsidRDefault="00B13740" w:rsidP="00982963">
            <w:pPr>
              <w:widowControl/>
              <w:jc w:val="center"/>
              <w:rPr>
                <w:rFonts w:ascii="宋体" w:hAnsi="宋体" w:cs="宋体"/>
                <w:color w:val="000000"/>
                <w:kern w:val="0"/>
                <w:szCs w:val="21"/>
              </w:rPr>
            </w:pPr>
            <w:r w:rsidRPr="00F073F1">
              <w:rPr>
                <w:rFonts w:ascii="宋体" w:hAnsi="宋体" w:cs="宋体" w:hint="eastAsia"/>
                <w:color w:val="000000"/>
                <w:kern w:val="0"/>
                <w:szCs w:val="21"/>
              </w:rPr>
              <w:t>占2024年</w:t>
            </w:r>
            <w:r w:rsidR="0030667C" w:rsidRPr="00F073F1">
              <w:rPr>
                <w:rFonts w:ascii="宋体" w:hAnsi="宋体" w:cs="宋体" w:hint="eastAsia"/>
                <w:color w:val="000000"/>
                <w:kern w:val="0"/>
                <w:szCs w:val="21"/>
              </w:rPr>
              <w:t>度</w:t>
            </w:r>
            <w:r w:rsidRPr="00F073F1">
              <w:rPr>
                <w:rFonts w:ascii="宋体" w:hAnsi="宋体" w:cs="宋体" w:hint="eastAsia"/>
                <w:color w:val="000000"/>
                <w:kern w:val="0"/>
                <w:szCs w:val="21"/>
              </w:rPr>
              <w:t>经审计归属于</w:t>
            </w:r>
          </w:p>
          <w:p w:rsidR="00B13740" w:rsidRPr="00F073F1" w:rsidRDefault="00B13740" w:rsidP="00982963">
            <w:pPr>
              <w:widowControl/>
              <w:jc w:val="center"/>
              <w:rPr>
                <w:rFonts w:ascii="宋体" w:hAnsi="宋体" w:cs="宋体"/>
                <w:color w:val="000000"/>
                <w:kern w:val="0"/>
                <w:szCs w:val="21"/>
              </w:rPr>
            </w:pPr>
            <w:r w:rsidRPr="00F073F1">
              <w:rPr>
                <w:rFonts w:ascii="宋体" w:hAnsi="宋体" w:cs="宋体" w:hint="eastAsia"/>
                <w:color w:val="000000"/>
                <w:kern w:val="0"/>
                <w:szCs w:val="21"/>
              </w:rPr>
              <w:t>母公司股东的净利润比例</w:t>
            </w:r>
          </w:p>
        </w:tc>
      </w:tr>
      <w:tr w:rsidR="001A1FCF" w:rsidRPr="00982963" w:rsidTr="00345087">
        <w:trPr>
          <w:trHeight w:val="567"/>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1A1FCF" w:rsidRPr="00F073F1" w:rsidRDefault="001A1FCF" w:rsidP="00982963">
            <w:pPr>
              <w:widowControl/>
              <w:jc w:val="left"/>
              <w:rPr>
                <w:rFonts w:ascii="宋体" w:hAnsi="宋体" w:cs="宋体"/>
                <w:color w:val="000000"/>
                <w:kern w:val="0"/>
                <w:szCs w:val="21"/>
              </w:rPr>
            </w:pPr>
            <w:r w:rsidRPr="00F073F1">
              <w:rPr>
                <w:rFonts w:ascii="宋体" w:hAnsi="宋体" w:cs="宋体" w:hint="eastAsia"/>
                <w:color w:val="000000"/>
                <w:kern w:val="0"/>
                <w:szCs w:val="21"/>
              </w:rPr>
              <w:t>信用减值损失</w:t>
            </w:r>
          </w:p>
        </w:tc>
        <w:tc>
          <w:tcPr>
            <w:tcW w:w="2443" w:type="dxa"/>
            <w:tcBorders>
              <w:top w:val="nil"/>
              <w:left w:val="nil"/>
              <w:bottom w:val="single" w:sz="4" w:space="0" w:color="auto"/>
              <w:right w:val="single" w:sz="4" w:space="0" w:color="auto"/>
            </w:tcBorders>
            <w:shd w:val="clear" w:color="auto" w:fill="auto"/>
            <w:vAlign w:val="center"/>
            <w:hideMark/>
          </w:tcPr>
          <w:p w:rsidR="001A1FCF" w:rsidRPr="001A1FCF" w:rsidRDefault="001A1FCF" w:rsidP="001A1FCF">
            <w:pPr>
              <w:widowControl/>
              <w:jc w:val="right"/>
              <w:rPr>
                <w:rFonts w:ascii="宋体" w:hAnsi="宋体" w:cs="宋体"/>
                <w:color w:val="000000"/>
                <w:kern w:val="0"/>
                <w:szCs w:val="21"/>
              </w:rPr>
            </w:pPr>
            <w:r w:rsidRPr="001A1FCF">
              <w:rPr>
                <w:rFonts w:ascii="宋体" w:hAnsi="宋体" w:cs="宋体" w:hint="eastAsia"/>
                <w:color w:val="000000"/>
                <w:kern w:val="0"/>
                <w:szCs w:val="21"/>
              </w:rPr>
              <w:t>2,234,374.84</w:t>
            </w:r>
          </w:p>
        </w:tc>
        <w:tc>
          <w:tcPr>
            <w:tcW w:w="2694" w:type="dxa"/>
            <w:tcBorders>
              <w:top w:val="nil"/>
              <w:left w:val="nil"/>
              <w:bottom w:val="single" w:sz="4" w:space="0" w:color="auto"/>
              <w:right w:val="single" w:sz="4" w:space="0" w:color="auto"/>
            </w:tcBorders>
            <w:shd w:val="clear" w:color="auto" w:fill="auto"/>
            <w:vAlign w:val="center"/>
            <w:hideMark/>
          </w:tcPr>
          <w:p w:rsidR="001A1FCF" w:rsidRPr="001A1FCF" w:rsidRDefault="001A1FCF" w:rsidP="001A1FCF">
            <w:pPr>
              <w:widowControl/>
              <w:jc w:val="right"/>
              <w:rPr>
                <w:rFonts w:ascii="宋体" w:hAnsi="宋体" w:cs="宋体"/>
                <w:color w:val="000000"/>
                <w:kern w:val="0"/>
                <w:szCs w:val="21"/>
              </w:rPr>
            </w:pPr>
            <w:r w:rsidRPr="001A1FCF">
              <w:rPr>
                <w:rFonts w:ascii="宋体" w:hAnsi="宋体" w:cs="宋体" w:hint="eastAsia"/>
                <w:color w:val="000000"/>
                <w:kern w:val="0"/>
                <w:szCs w:val="21"/>
              </w:rPr>
              <w:t>1.90%</w:t>
            </w:r>
          </w:p>
        </w:tc>
      </w:tr>
      <w:tr w:rsidR="001A1FCF" w:rsidRPr="00982963" w:rsidTr="00345087">
        <w:trPr>
          <w:trHeight w:val="567"/>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1A1FCF" w:rsidRPr="00F073F1" w:rsidRDefault="001A1FCF" w:rsidP="00982963">
            <w:pPr>
              <w:widowControl/>
              <w:jc w:val="left"/>
              <w:rPr>
                <w:rFonts w:ascii="宋体" w:hAnsi="宋体" w:cs="宋体"/>
                <w:color w:val="000000"/>
                <w:kern w:val="0"/>
                <w:szCs w:val="21"/>
              </w:rPr>
            </w:pPr>
            <w:r w:rsidRPr="00F073F1">
              <w:rPr>
                <w:rFonts w:ascii="宋体" w:hAnsi="宋体" w:cs="宋体" w:hint="eastAsia"/>
                <w:color w:val="000000"/>
                <w:kern w:val="0"/>
                <w:szCs w:val="21"/>
              </w:rPr>
              <w:t>其中：应收账款坏账</w:t>
            </w:r>
            <w:bookmarkStart w:id="2" w:name="OLE_LINK32"/>
            <w:bookmarkStart w:id="3" w:name="OLE_LINK33"/>
            <w:r w:rsidRPr="00F073F1">
              <w:rPr>
                <w:rFonts w:ascii="宋体" w:hAnsi="宋体" w:cs="宋体" w:hint="eastAsia"/>
                <w:color w:val="000000"/>
                <w:kern w:val="0"/>
                <w:szCs w:val="21"/>
              </w:rPr>
              <w:t>准备</w:t>
            </w:r>
            <w:bookmarkEnd w:id="2"/>
            <w:bookmarkEnd w:id="3"/>
          </w:p>
        </w:tc>
        <w:tc>
          <w:tcPr>
            <w:tcW w:w="2443" w:type="dxa"/>
            <w:tcBorders>
              <w:top w:val="nil"/>
              <w:left w:val="nil"/>
              <w:bottom w:val="single" w:sz="4" w:space="0" w:color="auto"/>
              <w:right w:val="single" w:sz="4" w:space="0" w:color="auto"/>
            </w:tcBorders>
            <w:shd w:val="clear" w:color="auto" w:fill="auto"/>
            <w:vAlign w:val="center"/>
            <w:hideMark/>
          </w:tcPr>
          <w:p w:rsidR="001A1FCF" w:rsidRPr="001A1FCF" w:rsidRDefault="001A1FCF" w:rsidP="001A1FCF">
            <w:pPr>
              <w:widowControl/>
              <w:jc w:val="right"/>
              <w:rPr>
                <w:rFonts w:ascii="宋体" w:hAnsi="宋体" w:cs="宋体"/>
                <w:color w:val="000000"/>
                <w:kern w:val="0"/>
                <w:szCs w:val="21"/>
              </w:rPr>
            </w:pPr>
            <w:r w:rsidRPr="001A1FCF">
              <w:rPr>
                <w:rFonts w:ascii="宋体" w:hAnsi="宋体" w:cs="宋体" w:hint="eastAsia"/>
                <w:color w:val="000000"/>
                <w:kern w:val="0"/>
                <w:szCs w:val="21"/>
              </w:rPr>
              <w:t>2,184,469.73</w:t>
            </w:r>
          </w:p>
        </w:tc>
        <w:tc>
          <w:tcPr>
            <w:tcW w:w="2694" w:type="dxa"/>
            <w:tcBorders>
              <w:top w:val="nil"/>
              <w:left w:val="nil"/>
              <w:bottom w:val="single" w:sz="4" w:space="0" w:color="auto"/>
              <w:right w:val="single" w:sz="4" w:space="0" w:color="auto"/>
            </w:tcBorders>
            <w:shd w:val="clear" w:color="auto" w:fill="auto"/>
            <w:vAlign w:val="center"/>
            <w:hideMark/>
          </w:tcPr>
          <w:p w:rsidR="001A1FCF" w:rsidRPr="001A1FCF" w:rsidRDefault="001A1FCF" w:rsidP="001A1FCF">
            <w:pPr>
              <w:widowControl/>
              <w:jc w:val="right"/>
              <w:rPr>
                <w:rFonts w:ascii="宋体" w:hAnsi="宋体" w:cs="宋体"/>
                <w:color w:val="000000"/>
                <w:kern w:val="0"/>
                <w:szCs w:val="21"/>
              </w:rPr>
            </w:pPr>
            <w:r w:rsidRPr="001A1FCF">
              <w:rPr>
                <w:rFonts w:ascii="宋体" w:hAnsi="宋体" w:cs="宋体" w:hint="eastAsia"/>
                <w:color w:val="000000"/>
                <w:kern w:val="0"/>
                <w:szCs w:val="21"/>
              </w:rPr>
              <w:t>1.86%</w:t>
            </w:r>
          </w:p>
        </w:tc>
      </w:tr>
      <w:tr w:rsidR="001A1FCF" w:rsidRPr="00982963" w:rsidTr="00345087">
        <w:trPr>
          <w:trHeight w:val="567"/>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1A1FCF" w:rsidRPr="00F073F1" w:rsidRDefault="001A1FCF" w:rsidP="00982963">
            <w:pPr>
              <w:widowControl/>
              <w:jc w:val="left"/>
              <w:rPr>
                <w:rFonts w:ascii="宋体" w:hAnsi="宋体" w:cs="宋体"/>
                <w:color w:val="000000"/>
                <w:kern w:val="0"/>
                <w:szCs w:val="21"/>
              </w:rPr>
            </w:pPr>
            <w:r w:rsidRPr="00F073F1">
              <w:rPr>
                <w:rFonts w:ascii="宋体" w:hAnsi="宋体" w:cs="宋体" w:hint="eastAsia"/>
                <w:color w:val="000000"/>
                <w:kern w:val="0"/>
                <w:szCs w:val="21"/>
              </w:rPr>
              <w:t xml:space="preserve">      其他应收款坏账准备</w:t>
            </w:r>
          </w:p>
        </w:tc>
        <w:tc>
          <w:tcPr>
            <w:tcW w:w="2443" w:type="dxa"/>
            <w:tcBorders>
              <w:top w:val="nil"/>
              <w:left w:val="nil"/>
              <w:bottom w:val="single" w:sz="4" w:space="0" w:color="auto"/>
              <w:right w:val="single" w:sz="4" w:space="0" w:color="auto"/>
            </w:tcBorders>
            <w:shd w:val="clear" w:color="auto" w:fill="auto"/>
            <w:vAlign w:val="center"/>
            <w:hideMark/>
          </w:tcPr>
          <w:p w:rsidR="001A1FCF" w:rsidRPr="001A1FCF" w:rsidRDefault="001A1FCF" w:rsidP="001A1FCF">
            <w:pPr>
              <w:widowControl/>
              <w:jc w:val="right"/>
              <w:rPr>
                <w:rFonts w:ascii="宋体" w:hAnsi="宋体" w:cs="宋体"/>
                <w:color w:val="000000"/>
                <w:kern w:val="0"/>
                <w:szCs w:val="21"/>
              </w:rPr>
            </w:pPr>
            <w:r w:rsidRPr="001A1FCF">
              <w:rPr>
                <w:rFonts w:ascii="宋体" w:hAnsi="宋体" w:cs="宋体" w:hint="eastAsia"/>
                <w:color w:val="000000"/>
                <w:kern w:val="0"/>
                <w:szCs w:val="21"/>
              </w:rPr>
              <w:t>49,905.11</w:t>
            </w:r>
          </w:p>
        </w:tc>
        <w:tc>
          <w:tcPr>
            <w:tcW w:w="2694" w:type="dxa"/>
            <w:tcBorders>
              <w:top w:val="nil"/>
              <w:left w:val="nil"/>
              <w:bottom w:val="single" w:sz="4" w:space="0" w:color="auto"/>
              <w:right w:val="single" w:sz="4" w:space="0" w:color="auto"/>
            </w:tcBorders>
            <w:shd w:val="clear" w:color="auto" w:fill="auto"/>
            <w:vAlign w:val="center"/>
            <w:hideMark/>
          </w:tcPr>
          <w:p w:rsidR="001A1FCF" w:rsidRPr="001A1FCF" w:rsidRDefault="001A1FCF" w:rsidP="001A1FCF">
            <w:pPr>
              <w:widowControl/>
              <w:jc w:val="right"/>
              <w:rPr>
                <w:rFonts w:ascii="宋体" w:hAnsi="宋体" w:cs="宋体"/>
                <w:color w:val="000000"/>
                <w:kern w:val="0"/>
                <w:szCs w:val="21"/>
              </w:rPr>
            </w:pPr>
            <w:r w:rsidRPr="001A1FCF">
              <w:rPr>
                <w:rFonts w:ascii="宋体" w:hAnsi="宋体" w:cs="宋体" w:hint="eastAsia"/>
                <w:color w:val="000000"/>
                <w:kern w:val="0"/>
                <w:szCs w:val="21"/>
              </w:rPr>
              <w:t>0.04%</w:t>
            </w:r>
          </w:p>
        </w:tc>
      </w:tr>
      <w:tr w:rsidR="001A1FCF" w:rsidRPr="00982963" w:rsidTr="00345087">
        <w:trPr>
          <w:trHeight w:val="567"/>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1A1FCF" w:rsidRPr="00F073F1" w:rsidRDefault="001A1FCF" w:rsidP="00982963">
            <w:pPr>
              <w:widowControl/>
              <w:jc w:val="left"/>
              <w:rPr>
                <w:rFonts w:ascii="宋体" w:hAnsi="宋体" w:cs="宋体"/>
                <w:color w:val="000000"/>
                <w:kern w:val="0"/>
                <w:szCs w:val="21"/>
              </w:rPr>
            </w:pPr>
            <w:r w:rsidRPr="00F073F1">
              <w:rPr>
                <w:rFonts w:ascii="宋体" w:hAnsi="宋体" w:cs="宋体" w:hint="eastAsia"/>
                <w:color w:val="000000"/>
                <w:kern w:val="0"/>
                <w:szCs w:val="21"/>
              </w:rPr>
              <w:t>资产减值损失</w:t>
            </w:r>
          </w:p>
        </w:tc>
        <w:tc>
          <w:tcPr>
            <w:tcW w:w="2443" w:type="dxa"/>
            <w:tcBorders>
              <w:top w:val="nil"/>
              <w:left w:val="nil"/>
              <w:bottom w:val="single" w:sz="4" w:space="0" w:color="auto"/>
              <w:right w:val="single" w:sz="4" w:space="0" w:color="auto"/>
            </w:tcBorders>
            <w:shd w:val="clear" w:color="auto" w:fill="auto"/>
            <w:vAlign w:val="center"/>
            <w:hideMark/>
          </w:tcPr>
          <w:p w:rsidR="001A1FCF" w:rsidRPr="001A1FCF" w:rsidRDefault="001A1FCF" w:rsidP="001A1FCF">
            <w:pPr>
              <w:widowControl/>
              <w:jc w:val="right"/>
              <w:rPr>
                <w:rFonts w:ascii="宋体" w:hAnsi="宋体" w:cs="宋体"/>
                <w:color w:val="000000"/>
                <w:kern w:val="0"/>
                <w:szCs w:val="21"/>
              </w:rPr>
            </w:pPr>
            <w:r w:rsidRPr="001A1FCF">
              <w:rPr>
                <w:rFonts w:ascii="宋体" w:hAnsi="宋体" w:cs="宋体" w:hint="eastAsia"/>
                <w:color w:val="000000"/>
                <w:kern w:val="0"/>
                <w:szCs w:val="21"/>
              </w:rPr>
              <w:t>60,102,208.55</w:t>
            </w:r>
          </w:p>
        </w:tc>
        <w:tc>
          <w:tcPr>
            <w:tcW w:w="2694" w:type="dxa"/>
            <w:tcBorders>
              <w:top w:val="nil"/>
              <w:left w:val="nil"/>
              <w:bottom w:val="single" w:sz="4" w:space="0" w:color="auto"/>
              <w:right w:val="single" w:sz="4" w:space="0" w:color="auto"/>
            </w:tcBorders>
            <w:shd w:val="clear" w:color="auto" w:fill="auto"/>
            <w:vAlign w:val="center"/>
            <w:hideMark/>
          </w:tcPr>
          <w:p w:rsidR="001A1FCF" w:rsidRPr="001A1FCF" w:rsidRDefault="001A1FCF" w:rsidP="001A1FCF">
            <w:pPr>
              <w:widowControl/>
              <w:jc w:val="right"/>
              <w:rPr>
                <w:rFonts w:ascii="宋体" w:hAnsi="宋体" w:cs="宋体"/>
                <w:color w:val="000000"/>
                <w:kern w:val="0"/>
                <w:szCs w:val="21"/>
              </w:rPr>
            </w:pPr>
            <w:r w:rsidRPr="001A1FCF">
              <w:rPr>
                <w:rFonts w:ascii="宋体" w:hAnsi="宋体" w:cs="宋体" w:hint="eastAsia"/>
                <w:color w:val="000000"/>
                <w:kern w:val="0"/>
                <w:szCs w:val="21"/>
              </w:rPr>
              <w:t>51.22%</w:t>
            </w:r>
          </w:p>
        </w:tc>
      </w:tr>
      <w:tr w:rsidR="001A1FCF" w:rsidRPr="00982963" w:rsidTr="00345087">
        <w:trPr>
          <w:trHeight w:val="567"/>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1A1FCF" w:rsidRPr="00F073F1" w:rsidRDefault="001A1FCF" w:rsidP="00982963">
            <w:pPr>
              <w:widowControl/>
              <w:jc w:val="left"/>
              <w:rPr>
                <w:rFonts w:ascii="宋体" w:hAnsi="宋体" w:cs="宋体"/>
                <w:color w:val="000000"/>
                <w:kern w:val="0"/>
                <w:szCs w:val="21"/>
              </w:rPr>
            </w:pPr>
            <w:r w:rsidRPr="00F073F1">
              <w:rPr>
                <w:rFonts w:ascii="宋体" w:hAnsi="宋体" w:cs="宋体" w:hint="eastAsia"/>
                <w:color w:val="000000"/>
                <w:kern w:val="0"/>
                <w:szCs w:val="21"/>
              </w:rPr>
              <w:t>其中：存货跌价准备</w:t>
            </w:r>
          </w:p>
        </w:tc>
        <w:tc>
          <w:tcPr>
            <w:tcW w:w="2443" w:type="dxa"/>
            <w:tcBorders>
              <w:top w:val="nil"/>
              <w:left w:val="nil"/>
              <w:bottom w:val="single" w:sz="4" w:space="0" w:color="auto"/>
              <w:right w:val="single" w:sz="4" w:space="0" w:color="auto"/>
            </w:tcBorders>
            <w:shd w:val="clear" w:color="auto" w:fill="auto"/>
            <w:vAlign w:val="center"/>
            <w:hideMark/>
          </w:tcPr>
          <w:p w:rsidR="001A1FCF" w:rsidRPr="001A1FCF" w:rsidRDefault="001A1FCF" w:rsidP="001A1FCF">
            <w:pPr>
              <w:widowControl/>
              <w:jc w:val="right"/>
              <w:rPr>
                <w:rFonts w:ascii="宋体" w:hAnsi="宋体" w:cs="宋体"/>
                <w:color w:val="000000"/>
                <w:kern w:val="0"/>
                <w:szCs w:val="21"/>
              </w:rPr>
            </w:pPr>
            <w:r w:rsidRPr="001A1FCF">
              <w:rPr>
                <w:rFonts w:ascii="宋体" w:hAnsi="宋体" w:cs="宋体" w:hint="eastAsia"/>
                <w:color w:val="000000"/>
                <w:kern w:val="0"/>
                <w:szCs w:val="21"/>
              </w:rPr>
              <w:t>4,734,350.68</w:t>
            </w:r>
          </w:p>
        </w:tc>
        <w:tc>
          <w:tcPr>
            <w:tcW w:w="2694" w:type="dxa"/>
            <w:tcBorders>
              <w:top w:val="nil"/>
              <w:left w:val="nil"/>
              <w:bottom w:val="single" w:sz="4" w:space="0" w:color="auto"/>
              <w:right w:val="single" w:sz="4" w:space="0" w:color="auto"/>
            </w:tcBorders>
            <w:shd w:val="clear" w:color="auto" w:fill="auto"/>
            <w:vAlign w:val="center"/>
            <w:hideMark/>
          </w:tcPr>
          <w:p w:rsidR="001A1FCF" w:rsidRPr="001A1FCF" w:rsidRDefault="001A1FCF" w:rsidP="001A1FCF">
            <w:pPr>
              <w:widowControl/>
              <w:jc w:val="right"/>
              <w:rPr>
                <w:rFonts w:ascii="宋体" w:hAnsi="宋体" w:cs="宋体"/>
                <w:color w:val="000000"/>
                <w:kern w:val="0"/>
                <w:szCs w:val="21"/>
              </w:rPr>
            </w:pPr>
            <w:r w:rsidRPr="001A1FCF">
              <w:rPr>
                <w:rFonts w:ascii="宋体" w:hAnsi="宋体" w:cs="宋体" w:hint="eastAsia"/>
                <w:color w:val="000000"/>
                <w:kern w:val="0"/>
                <w:szCs w:val="21"/>
              </w:rPr>
              <w:t>4.03%</w:t>
            </w:r>
          </w:p>
        </w:tc>
      </w:tr>
      <w:tr w:rsidR="001A1FCF" w:rsidRPr="00982963" w:rsidTr="00345087">
        <w:trPr>
          <w:trHeight w:val="567"/>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1A1FCF" w:rsidRPr="00F073F1" w:rsidRDefault="001A1FCF" w:rsidP="00982963">
            <w:pPr>
              <w:widowControl/>
              <w:jc w:val="left"/>
              <w:rPr>
                <w:rFonts w:ascii="宋体" w:hAnsi="宋体" w:cs="宋体"/>
                <w:color w:val="000000"/>
                <w:kern w:val="0"/>
                <w:szCs w:val="21"/>
              </w:rPr>
            </w:pPr>
            <w:r w:rsidRPr="00F073F1">
              <w:rPr>
                <w:rFonts w:ascii="宋体" w:hAnsi="宋体" w:cs="宋体" w:hint="eastAsia"/>
                <w:color w:val="000000"/>
                <w:kern w:val="0"/>
                <w:szCs w:val="21"/>
              </w:rPr>
              <w:t xml:space="preserve">      长期股权投资减值准备</w:t>
            </w:r>
          </w:p>
        </w:tc>
        <w:tc>
          <w:tcPr>
            <w:tcW w:w="2443" w:type="dxa"/>
            <w:tcBorders>
              <w:top w:val="nil"/>
              <w:left w:val="nil"/>
              <w:bottom w:val="single" w:sz="4" w:space="0" w:color="auto"/>
              <w:right w:val="single" w:sz="4" w:space="0" w:color="auto"/>
            </w:tcBorders>
            <w:shd w:val="clear" w:color="auto" w:fill="auto"/>
            <w:vAlign w:val="center"/>
            <w:hideMark/>
          </w:tcPr>
          <w:p w:rsidR="001A1FCF" w:rsidRPr="001A1FCF" w:rsidRDefault="001A1FCF" w:rsidP="001A1FCF">
            <w:pPr>
              <w:widowControl/>
              <w:jc w:val="right"/>
              <w:rPr>
                <w:rFonts w:ascii="宋体" w:hAnsi="宋体" w:cs="宋体"/>
                <w:color w:val="000000"/>
                <w:kern w:val="0"/>
                <w:szCs w:val="21"/>
              </w:rPr>
            </w:pPr>
            <w:r w:rsidRPr="001A1FCF">
              <w:rPr>
                <w:rFonts w:ascii="宋体" w:hAnsi="宋体" w:cs="宋体" w:hint="eastAsia"/>
                <w:color w:val="000000"/>
                <w:kern w:val="0"/>
                <w:szCs w:val="21"/>
              </w:rPr>
              <w:t>55,367,857.87</w:t>
            </w:r>
          </w:p>
        </w:tc>
        <w:tc>
          <w:tcPr>
            <w:tcW w:w="2694" w:type="dxa"/>
            <w:tcBorders>
              <w:top w:val="nil"/>
              <w:left w:val="nil"/>
              <w:bottom w:val="single" w:sz="4" w:space="0" w:color="auto"/>
              <w:right w:val="single" w:sz="4" w:space="0" w:color="auto"/>
            </w:tcBorders>
            <w:shd w:val="clear" w:color="auto" w:fill="auto"/>
            <w:vAlign w:val="center"/>
            <w:hideMark/>
          </w:tcPr>
          <w:p w:rsidR="001A1FCF" w:rsidRPr="001A1FCF" w:rsidRDefault="001A1FCF" w:rsidP="001A1FCF">
            <w:pPr>
              <w:widowControl/>
              <w:jc w:val="right"/>
              <w:rPr>
                <w:rFonts w:ascii="宋体" w:hAnsi="宋体" w:cs="宋体"/>
                <w:color w:val="000000"/>
                <w:kern w:val="0"/>
                <w:szCs w:val="21"/>
              </w:rPr>
            </w:pPr>
            <w:r w:rsidRPr="001A1FCF">
              <w:rPr>
                <w:rFonts w:ascii="宋体" w:hAnsi="宋体" w:cs="宋体" w:hint="eastAsia"/>
                <w:color w:val="000000"/>
                <w:kern w:val="0"/>
                <w:szCs w:val="21"/>
              </w:rPr>
              <w:t>47.19%</w:t>
            </w:r>
          </w:p>
        </w:tc>
      </w:tr>
      <w:tr w:rsidR="001A1FCF" w:rsidRPr="00982963" w:rsidTr="00345087">
        <w:trPr>
          <w:trHeight w:val="567"/>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rsidR="001A1FCF" w:rsidRPr="00F073F1" w:rsidRDefault="001A1FCF" w:rsidP="00982963">
            <w:pPr>
              <w:widowControl/>
              <w:jc w:val="center"/>
              <w:rPr>
                <w:rFonts w:ascii="宋体" w:hAnsi="宋体" w:cs="宋体"/>
                <w:color w:val="000000"/>
                <w:kern w:val="0"/>
                <w:szCs w:val="21"/>
              </w:rPr>
            </w:pPr>
            <w:r w:rsidRPr="00F073F1">
              <w:rPr>
                <w:rFonts w:ascii="宋体" w:hAnsi="宋体" w:cs="宋体" w:hint="eastAsia"/>
                <w:color w:val="000000"/>
                <w:kern w:val="0"/>
                <w:szCs w:val="21"/>
              </w:rPr>
              <w:t>合计</w:t>
            </w:r>
          </w:p>
        </w:tc>
        <w:tc>
          <w:tcPr>
            <w:tcW w:w="2443" w:type="dxa"/>
            <w:tcBorders>
              <w:top w:val="nil"/>
              <w:left w:val="nil"/>
              <w:bottom w:val="single" w:sz="4" w:space="0" w:color="auto"/>
              <w:right w:val="single" w:sz="4" w:space="0" w:color="auto"/>
            </w:tcBorders>
            <w:shd w:val="clear" w:color="auto" w:fill="auto"/>
            <w:noWrap/>
            <w:vAlign w:val="center"/>
            <w:hideMark/>
          </w:tcPr>
          <w:p w:rsidR="001A1FCF" w:rsidRPr="001A1FCF" w:rsidRDefault="001A1FCF" w:rsidP="001A1FCF">
            <w:pPr>
              <w:widowControl/>
              <w:jc w:val="right"/>
              <w:rPr>
                <w:rFonts w:ascii="宋体" w:hAnsi="宋体" w:cs="宋体"/>
                <w:color w:val="000000"/>
                <w:kern w:val="0"/>
                <w:szCs w:val="21"/>
              </w:rPr>
            </w:pPr>
            <w:r w:rsidRPr="001A1FCF">
              <w:rPr>
                <w:rFonts w:ascii="宋体" w:hAnsi="宋体" w:cs="宋体" w:hint="eastAsia"/>
                <w:color w:val="000000"/>
                <w:kern w:val="0"/>
                <w:szCs w:val="21"/>
              </w:rPr>
              <w:t>62,336,583.39</w:t>
            </w:r>
          </w:p>
        </w:tc>
        <w:tc>
          <w:tcPr>
            <w:tcW w:w="2694" w:type="dxa"/>
            <w:tcBorders>
              <w:top w:val="nil"/>
              <w:left w:val="nil"/>
              <w:bottom w:val="single" w:sz="4" w:space="0" w:color="auto"/>
              <w:right w:val="single" w:sz="4" w:space="0" w:color="auto"/>
            </w:tcBorders>
            <w:shd w:val="clear" w:color="auto" w:fill="auto"/>
            <w:vAlign w:val="center"/>
            <w:hideMark/>
          </w:tcPr>
          <w:p w:rsidR="001A1FCF" w:rsidRPr="001A1FCF" w:rsidRDefault="001A1FCF" w:rsidP="007D0427">
            <w:pPr>
              <w:widowControl/>
              <w:jc w:val="right"/>
              <w:rPr>
                <w:rFonts w:ascii="宋体" w:hAnsi="宋体" w:cs="宋体"/>
                <w:color w:val="000000"/>
                <w:kern w:val="0"/>
                <w:szCs w:val="21"/>
              </w:rPr>
            </w:pPr>
            <w:r w:rsidRPr="001A1FCF">
              <w:rPr>
                <w:rFonts w:ascii="宋体" w:hAnsi="宋体" w:cs="宋体" w:hint="eastAsia"/>
                <w:color w:val="000000"/>
                <w:kern w:val="0"/>
                <w:szCs w:val="21"/>
              </w:rPr>
              <w:t>53.1</w:t>
            </w:r>
            <w:r w:rsidR="007D0427">
              <w:rPr>
                <w:rFonts w:ascii="宋体" w:hAnsi="宋体" w:cs="宋体" w:hint="eastAsia"/>
                <w:color w:val="000000"/>
                <w:kern w:val="0"/>
                <w:szCs w:val="21"/>
              </w:rPr>
              <w:t>2</w:t>
            </w:r>
            <w:r w:rsidRPr="001A1FCF">
              <w:rPr>
                <w:rFonts w:ascii="宋体" w:hAnsi="宋体" w:cs="宋体" w:hint="eastAsia"/>
                <w:color w:val="000000"/>
                <w:kern w:val="0"/>
                <w:szCs w:val="21"/>
              </w:rPr>
              <w:t>%</w:t>
            </w:r>
          </w:p>
        </w:tc>
      </w:tr>
    </w:tbl>
    <w:p w:rsidR="00B13740" w:rsidRDefault="00B13740" w:rsidP="00B13740">
      <w:pPr>
        <w:tabs>
          <w:tab w:val="left" w:pos="900"/>
        </w:tabs>
        <w:adjustRightInd w:val="0"/>
        <w:snapToGrid w:val="0"/>
        <w:spacing w:line="348" w:lineRule="auto"/>
        <w:jc w:val="left"/>
        <w:rPr>
          <w:rFonts w:asciiTheme="minorEastAsia" w:eastAsiaTheme="minorEastAsia" w:hAnsiTheme="minorEastAsia"/>
          <w:sz w:val="24"/>
        </w:rPr>
      </w:pPr>
    </w:p>
    <w:p w:rsidR="00B13740" w:rsidRDefault="00B13740" w:rsidP="00AF7CB7">
      <w:pPr>
        <w:tabs>
          <w:tab w:val="left" w:pos="900"/>
        </w:tabs>
        <w:adjustRightInd w:val="0"/>
        <w:snapToGrid w:val="0"/>
        <w:spacing w:line="348" w:lineRule="auto"/>
        <w:ind w:firstLineChars="150" w:firstLine="360"/>
        <w:jc w:val="left"/>
        <w:rPr>
          <w:rFonts w:asciiTheme="minorEastAsia" w:eastAsiaTheme="minorEastAsia" w:hAnsiTheme="minorEastAsia"/>
          <w:sz w:val="24"/>
        </w:rPr>
      </w:pPr>
      <w:r>
        <w:rPr>
          <w:rFonts w:asciiTheme="minorEastAsia" w:eastAsiaTheme="minorEastAsia" w:hAnsiTheme="minorEastAsia" w:hint="eastAsia"/>
          <w:sz w:val="24"/>
        </w:rPr>
        <w:t>（2）核销</w:t>
      </w:r>
      <w:r w:rsidR="00E80C14">
        <w:rPr>
          <w:rFonts w:asciiTheme="minorEastAsia" w:eastAsiaTheme="minorEastAsia" w:hAnsiTheme="minorEastAsia" w:hint="eastAsia"/>
          <w:sz w:val="24"/>
        </w:rPr>
        <w:t>资产</w:t>
      </w:r>
      <w:r>
        <w:rPr>
          <w:rFonts w:asciiTheme="minorEastAsia" w:eastAsiaTheme="minorEastAsia" w:hAnsiTheme="minorEastAsia" w:hint="eastAsia"/>
          <w:sz w:val="24"/>
        </w:rPr>
        <w:t>情况</w:t>
      </w:r>
    </w:p>
    <w:p w:rsidR="00B13740" w:rsidRDefault="00B13740" w:rsidP="00AF7CB7">
      <w:pPr>
        <w:tabs>
          <w:tab w:val="left" w:pos="900"/>
        </w:tabs>
        <w:adjustRightInd w:val="0"/>
        <w:snapToGrid w:val="0"/>
        <w:spacing w:line="348" w:lineRule="auto"/>
        <w:ind w:firstLineChars="150" w:firstLine="360"/>
        <w:jc w:val="left"/>
        <w:rPr>
          <w:rFonts w:asciiTheme="minorEastAsia" w:eastAsiaTheme="minorEastAsia" w:hAnsiTheme="minorEastAsia"/>
          <w:sz w:val="24"/>
        </w:rPr>
      </w:pPr>
      <w:r w:rsidRPr="00B13740">
        <w:rPr>
          <w:rFonts w:asciiTheme="minorEastAsia" w:eastAsiaTheme="minorEastAsia" w:hAnsiTheme="minorEastAsia"/>
          <w:sz w:val="24"/>
        </w:rPr>
        <w:t>公司对截至202</w:t>
      </w:r>
      <w:r>
        <w:rPr>
          <w:rFonts w:asciiTheme="minorEastAsia" w:eastAsiaTheme="minorEastAsia" w:hAnsiTheme="minorEastAsia" w:hint="eastAsia"/>
          <w:sz w:val="24"/>
        </w:rPr>
        <w:t>4</w:t>
      </w:r>
      <w:r w:rsidRPr="00B13740">
        <w:rPr>
          <w:rFonts w:asciiTheme="minorEastAsia" w:eastAsiaTheme="minorEastAsia" w:hAnsiTheme="minorEastAsia"/>
          <w:sz w:val="24"/>
        </w:rPr>
        <w:t>年12月3</w:t>
      </w:r>
      <w:r w:rsidR="00F073F1">
        <w:rPr>
          <w:rFonts w:asciiTheme="minorEastAsia" w:eastAsiaTheme="minorEastAsia" w:hAnsiTheme="minorEastAsia" w:hint="eastAsia"/>
          <w:sz w:val="24"/>
        </w:rPr>
        <w:t>1</w:t>
      </w:r>
      <w:r w:rsidRPr="00B13740">
        <w:rPr>
          <w:rFonts w:asciiTheme="minorEastAsia" w:eastAsiaTheme="minorEastAsia" w:hAnsiTheme="minorEastAsia"/>
          <w:sz w:val="24"/>
        </w:rPr>
        <w:t>日已计提坏账准备且预期无法收回的应收账款</w:t>
      </w:r>
      <w:r>
        <w:rPr>
          <w:rFonts w:asciiTheme="minorEastAsia" w:eastAsiaTheme="minorEastAsia" w:hAnsiTheme="minorEastAsia" w:hint="eastAsia"/>
          <w:sz w:val="24"/>
        </w:rPr>
        <w:t>4</w:t>
      </w:r>
      <w:r w:rsidRPr="00B13740">
        <w:rPr>
          <w:rFonts w:asciiTheme="minorEastAsia" w:eastAsiaTheme="minorEastAsia" w:hAnsiTheme="minorEastAsia"/>
          <w:sz w:val="24"/>
        </w:rPr>
        <w:t>,</w:t>
      </w:r>
      <w:r>
        <w:rPr>
          <w:rFonts w:asciiTheme="minorEastAsia" w:eastAsiaTheme="minorEastAsia" w:hAnsiTheme="minorEastAsia" w:hint="eastAsia"/>
          <w:sz w:val="24"/>
        </w:rPr>
        <w:t>556</w:t>
      </w:r>
      <w:r w:rsidRPr="00B13740">
        <w:rPr>
          <w:rFonts w:asciiTheme="minorEastAsia" w:eastAsiaTheme="minorEastAsia" w:hAnsiTheme="minorEastAsia"/>
          <w:sz w:val="24"/>
        </w:rPr>
        <w:t>,</w:t>
      </w:r>
      <w:r>
        <w:rPr>
          <w:rFonts w:asciiTheme="minorEastAsia" w:eastAsiaTheme="minorEastAsia" w:hAnsiTheme="minorEastAsia" w:hint="eastAsia"/>
          <w:sz w:val="24"/>
        </w:rPr>
        <w:t>628</w:t>
      </w:r>
      <w:r w:rsidRPr="00B13740">
        <w:rPr>
          <w:rFonts w:asciiTheme="minorEastAsia" w:eastAsiaTheme="minorEastAsia" w:hAnsiTheme="minorEastAsia"/>
          <w:sz w:val="24"/>
        </w:rPr>
        <w:t>.</w:t>
      </w:r>
      <w:r>
        <w:rPr>
          <w:rFonts w:asciiTheme="minorEastAsia" w:eastAsiaTheme="minorEastAsia" w:hAnsiTheme="minorEastAsia" w:hint="eastAsia"/>
          <w:sz w:val="24"/>
        </w:rPr>
        <w:t>61</w:t>
      </w:r>
      <w:r w:rsidR="00F073F1">
        <w:rPr>
          <w:rFonts w:asciiTheme="minorEastAsia" w:eastAsiaTheme="minorEastAsia" w:hAnsiTheme="minorEastAsia"/>
          <w:sz w:val="24"/>
        </w:rPr>
        <w:t>元，</w:t>
      </w:r>
      <w:r w:rsidRPr="00B13740">
        <w:rPr>
          <w:rFonts w:asciiTheme="minorEastAsia" w:eastAsiaTheme="minorEastAsia" w:hAnsiTheme="minorEastAsia"/>
          <w:sz w:val="24"/>
        </w:rPr>
        <w:t>其他应收款2</w:t>
      </w:r>
      <w:r>
        <w:rPr>
          <w:rFonts w:asciiTheme="minorEastAsia" w:eastAsiaTheme="minorEastAsia" w:hAnsiTheme="minorEastAsia" w:hint="eastAsia"/>
          <w:sz w:val="24"/>
        </w:rPr>
        <w:t>9</w:t>
      </w:r>
      <w:r w:rsidRPr="00B13740">
        <w:rPr>
          <w:rFonts w:asciiTheme="minorEastAsia" w:eastAsiaTheme="minorEastAsia" w:hAnsiTheme="minorEastAsia"/>
          <w:sz w:val="24"/>
        </w:rPr>
        <w:t>,</w:t>
      </w:r>
      <w:r>
        <w:rPr>
          <w:rFonts w:asciiTheme="minorEastAsia" w:eastAsiaTheme="minorEastAsia" w:hAnsiTheme="minorEastAsia" w:hint="eastAsia"/>
          <w:sz w:val="24"/>
        </w:rPr>
        <w:t>819</w:t>
      </w:r>
      <w:r w:rsidRPr="00B13740">
        <w:rPr>
          <w:rFonts w:asciiTheme="minorEastAsia" w:eastAsiaTheme="minorEastAsia" w:hAnsiTheme="minorEastAsia"/>
          <w:sz w:val="24"/>
        </w:rPr>
        <w:t>,</w:t>
      </w:r>
      <w:r>
        <w:rPr>
          <w:rFonts w:asciiTheme="minorEastAsia" w:eastAsiaTheme="minorEastAsia" w:hAnsiTheme="minorEastAsia" w:hint="eastAsia"/>
          <w:sz w:val="24"/>
        </w:rPr>
        <w:t>116</w:t>
      </w:r>
      <w:r w:rsidRPr="00B13740">
        <w:rPr>
          <w:rFonts w:asciiTheme="minorEastAsia" w:eastAsiaTheme="minorEastAsia" w:hAnsiTheme="minorEastAsia"/>
          <w:sz w:val="24"/>
        </w:rPr>
        <w:t>.</w:t>
      </w:r>
      <w:r>
        <w:rPr>
          <w:rFonts w:asciiTheme="minorEastAsia" w:eastAsiaTheme="minorEastAsia" w:hAnsiTheme="minorEastAsia" w:hint="eastAsia"/>
          <w:sz w:val="24"/>
        </w:rPr>
        <w:t>16</w:t>
      </w:r>
      <w:r w:rsidRPr="00B13740">
        <w:rPr>
          <w:rFonts w:asciiTheme="minorEastAsia" w:eastAsiaTheme="minorEastAsia" w:hAnsiTheme="minorEastAsia"/>
          <w:sz w:val="24"/>
        </w:rPr>
        <w:t>元予以核销。本次资产核销不影响公司当期合并报表净利润，公司仍保留相关债权的追索权利。</w:t>
      </w:r>
    </w:p>
    <w:p w:rsidR="00AB067F" w:rsidRDefault="00AB067F" w:rsidP="00752A30">
      <w:pPr>
        <w:tabs>
          <w:tab w:val="left" w:pos="900"/>
        </w:tabs>
        <w:adjustRightInd w:val="0"/>
        <w:snapToGrid w:val="0"/>
        <w:spacing w:line="348" w:lineRule="auto"/>
        <w:ind w:firstLineChars="150" w:firstLine="360"/>
        <w:jc w:val="left"/>
        <w:rPr>
          <w:rFonts w:asciiTheme="minorEastAsia" w:eastAsiaTheme="minorEastAsia" w:hAnsiTheme="minorEastAsia"/>
          <w:sz w:val="24"/>
        </w:rPr>
      </w:pPr>
    </w:p>
    <w:p w:rsidR="007C1AC7" w:rsidRPr="007C1AC7" w:rsidRDefault="007C1AC7" w:rsidP="007C1AC7">
      <w:pPr>
        <w:spacing w:line="360" w:lineRule="auto"/>
        <w:ind w:firstLineChars="200" w:firstLine="482"/>
        <w:rPr>
          <w:rFonts w:asciiTheme="minorEastAsia" w:eastAsiaTheme="minorEastAsia" w:hAnsiTheme="minorEastAsia"/>
          <w:b/>
          <w:sz w:val="24"/>
          <w:szCs w:val="24"/>
        </w:rPr>
      </w:pPr>
      <w:r w:rsidRPr="007C1AC7">
        <w:rPr>
          <w:rFonts w:asciiTheme="minorEastAsia" w:eastAsiaTheme="minorEastAsia" w:hAnsiTheme="minorEastAsia" w:hint="eastAsia"/>
          <w:b/>
          <w:sz w:val="24"/>
          <w:szCs w:val="24"/>
        </w:rPr>
        <w:t>二、计提资产减值准备的确认标准和计提方法</w:t>
      </w:r>
    </w:p>
    <w:p w:rsidR="00977192" w:rsidRPr="00F073F1" w:rsidRDefault="00325419" w:rsidP="00325419">
      <w:pPr>
        <w:spacing w:line="360" w:lineRule="auto"/>
        <w:ind w:firstLineChars="200" w:firstLine="480"/>
        <w:rPr>
          <w:rFonts w:asciiTheme="minorEastAsia" w:eastAsiaTheme="minorEastAsia" w:hAnsiTheme="minorEastAsia"/>
          <w:bCs/>
          <w:sz w:val="24"/>
          <w:szCs w:val="24"/>
        </w:rPr>
      </w:pPr>
      <w:r w:rsidRPr="00F073F1">
        <w:rPr>
          <w:rFonts w:asciiTheme="minorEastAsia" w:eastAsiaTheme="minorEastAsia" w:hAnsiTheme="minorEastAsia" w:hint="eastAsia"/>
          <w:bCs/>
          <w:sz w:val="24"/>
          <w:szCs w:val="24"/>
        </w:rPr>
        <w:t>1、</w:t>
      </w:r>
      <w:r w:rsidRPr="00F073F1">
        <w:rPr>
          <w:rFonts w:asciiTheme="minorEastAsia" w:eastAsiaTheme="minorEastAsia" w:hAnsiTheme="minorEastAsia"/>
          <w:bCs/>
          <w:sz w:val="24"/>
          <w:szCs w:val="24"/>
        </w:rPr>
        <w:t>应收款项</w:t>
      </w:r>
      <w:r w:rsidR="00C932B3" w:rsidRPr="00F073F1">
        <w:rPr>
          <w:rFonts w:asciiTheme="minorEastAsia" w:eastAsiaTheme="minorEastAsia" w:hAnsiTheme="minorEastAsia" w:hint="eastAsia"/>
          <w:bCs/>
          <w:sz w:val="24"/>
          <w:szCs w:val="24"/>
        </w:rPr>
        <w:t>坏账</w:t>
      </w:r>
      <w:r w:rsidR="00C932B3" w:rsidRPr="00F073F1">
        <w:rPr>
          <w:rFonts w:asciiTheme="minorEastAsia" w:eastAsiaTheme="minorEastAsia" w:hAnsiTheme="minorEastAsia"/>
          <w:bCs/>
          <w:sz w:val="24"/>
          <w:szCs w:val="24"/>
        </w:rPr>
        <w:t>准备</w:t>
      </w:r>
    </w:p>
    <w:p w:rsidR="00325419" w:rsidRPr="00F073F1" w:rsidRDefault="00325419" w:rsidP="00F073F1">
      <w:pPr>
        <w:spacing w:line="360" w:lineRule="auto"/>
        <w:ind w:firstLineChars="200" w:firstLine="480"/>
        <w:jc w:val="left"/>
        <w:rPr>
          <w:rFonts w:asciiTheme="minorEastAsia" w:eastAsiaTheme="minorEastAsia" w:hAnsiTheme="minorEastAsia" w:cs="Arial"/>
          <w:sz w:val="24"/>
          <w:szCs w:val="24"/>
        </w:rPr>
      </w:pPr>
      <w:r w:rsidRPr="00F073F1">
        <w:rPr>
          <w:rFonts w:asciiTheme="minorEastAsia" w:eastAsiaTheme="minorEastAsia" w:hAnsiTheme="minorEastAsia" w:cs="Arial"/>
          <w:sz w:val="24"/>
          <w:szCs w:val="24"/>
        </w:rPr>
        <w:t>（</w:t>
      </w:r>
      <w:r w:rsidRPr="00F073F1">
        <w:rPr>
          <w:rFonts w:asciiTheme="minorEastAsia" w:eastAsiaTheme="minorEastAsia" w:hAnsiTheme="minorEastAsia" w:cs="Arial" w:hint="eastAsia"/>
          <w:sz w:val="24"/>
          <w:szCs w:val="24"/>
        </w:rPr>
        <w:t>1）</w:t>
      </w:r>
      <w:r w:rsidRPr="00F073F1">
        <w:rPr>
          <w:rFonts w:asciiTheme="minorEastAsia" w:eastAsiaTheme="minorEastAsia" w:hAnsiTheme="minorEastAsia" w:cs="Arial"/>
          <w:sz w:val="24"/>
          <w:szCs w:val="24"/>
        </w:rPr>
        <w:t>应收票据</w:t>
      </w:r>
    </w:p>
    <w:p w:rsidR="00325419" w:rsidRPr="00F073F1" w:rsidRDefault="00325419" w:rsidP="00F073F1">
      <w:pPr>
        <w:spacing w:line="360" w:lineRule="auto"/>
        <w:ind w:firstLineChars="200" w:firstLine="480"/>
        <w:rPr>
          <w:rFonts w:asciiTheme="minorEastAsia" w:eastAsiaTheme="minorEastAsia" w:hAnsiTheme="minorEastAsia" w:cs="Arial"/>
          <w:sz w:val="24"/>
          <w:szCs w:val="24"/>
        </w:rPr>
      </w:pPr>
      <w:r w:rsidRPr="00F073F1">
        <w:rPr>
          <w:rFonts w:asciiTheme="minorEastAsia" w:eastAsiaTheme="minorEastAsia" w:hAnsiTheme="minorEastAsia" w:cs="Arial"/>
          <w:sz w:val="24"/>
          <w:szCs w:val="24"/>
        </w:rPr>
        <w:t>公司对于应收票据按照相当于整个存续期内的预期信用损失金额计量损失准备。基于应收票据的信用风险特征，将其划分为不同组合：</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5307"/>
      </w:tblGrid>
      <w:tr w:rsidR="00325419" w:rsidRPr="00F073F1" w:rsidTr="009D5547">
        <w:trPr>
          <w:trHeight w:val="378"/>
          <w:tblHeader/>
        </w:trPr>
        <w:tc>
          <w:tcPr>
            <w:tcW w:w="3057" w:type="dxa"/>
            <w:vAlign w:val="center"/>
          </w:tcPr>
          <w:p w:rsidR="00325419" w:rsidRPr="00F073F1" w:rsidRDefault="00325419" w:rsidP="003D0727">
            <w:pPr>
              <w:spacing w:line="400" w:lineRule="exact"/>
              <w:jc w:val="center"/>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项</w:t>
            </w:r>
            <w:r w:rsidR="00C9015B">
              <w:rPr>
                <w:rFonts w:asciiTheme="minorEastAsia" w:eastAsiaTheme="minorEastAsia" w:hAnsiTheme="minorEastAsia" w:cs="Arial" w:hint="eastAsia"/>
                <w:kern w:val="0"/>
                <w:szCs w:val="21"/>
              </w:rPr>
              <w:t xml:space="preserve">  </w:t>
            </w:r>
            <w:r w:rsidRPr="00F073F1">
              <w:rPr>
                <w:rFonts w:asciiTheme="minorEastAsia" w:eastAsiaTheme="minorEastAsia" w:hAnsiTheme="minorEastAsia" w:cs="Arial"/>
                <w:kern w:val="0"/>
                <w:szCs w:val="21"/>
              </w:rPr>
              <w:t>目</w:t>
            </w:r>
          </w:p>
        </w:tc>
        <w:tc>
          <w:tcPr>
            <w:tcW w:w="5307" w:type="dxa"/>
            <w:vAlign w:val="center"/>
          </w:tcPr>
          <w:p w:rsidR="00325419" w:rsidRPr="00F073F1" w:rsidRDefault="00325419" w:rsidP="00F073F1">
            <w:pPr>
              <w:spacing w:line="400" w:lineRule="exact"/>
              <w:ind w:firstLineChars="200" w:firstLine="420"/>
              <w:jc w:val="center"/>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确定组合的依据</w:t>
            </w:r>
          </w:p>
        </w:tc>
      </w:tr>
      <w:tr w:rsidR="00325419" w:rsidRPr="00F073F1" w:rsidTr="009D5547">
        <w:trPr>
          <w:trHeight w:val="300"/>
        </w:trPr>
        <w:tc>
          <w:tcPr>
            <w:tcW w:w="3057" w:type="dxa"/>
            <w:noWrap/>
            <w:vAlign w:val="center"/>
          </w:tcPr>
          <w:p w:rsidR="00325419" w:rsidRPr="00F073F1" w:rsidRDefault="00325419" w:rsidP="003D0727">
            <w:pPr>
              <w:spacing w:line="400" w:lineRule="exact"/>
              <w:jc w:val="left"/>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银行承兑汇票</w:t>
            </w:r>
          </w:p>
        </w:tc>
        <w:tc>
          <w:tcPr>
            <w:tcW w:w="5307" w:type="dxa"/>
            <w:noWrap/>
            <w:vAlign w:val="center"/>
          </w:tcPr>
          <w:p w:rsidR="00325419" w:rsidRPr="00F073F1" w:rsidRDefault="00325419" w:rsidP="003D0727">
            <w:pPr>
              <w:spacing w:line="400" w:lineRule="exact"/>
              <w:jc w:val="left"/>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按照承兑人划分</w:t>
            </w:r>
          </w:p>
        </w:tc>
      </w:tr>
      <w:tr w:rsidR="00325419" w:rsidRPr="00F073F1" w:rsidTr="009D5547">
        <w:trPr>
          <w:trHeight w:val="300"/>
        </w:trPr>
        <w:tc>
          <w:tcPr>
            <w:tcW w:w="3057" w:type="dxa"/>
            <w:noWrap/>
            <w:vAlign w:val="center"/>
          </w:tcPr>
          <w:p w:rsidR="00325419" w:rsidRPr="00F073F1" w:rsidRDefault="00325419" w:rsidP="003D0727">
            <w:pPr>
              <w:spacing w:line="400" w:lineRule="exact"/>
              <w:jc w:val="left"/>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商业承兑汇票</w:t>
            </w:r>
          </w:p>
        </w:tc>
        <w:tc>
          <w:tcPr>
            <w:tcW w:w="5307" w:type="dxa"/>
            <w:noWrap/>
            <w:vAlign w:val="center"/>
          </w:tcPr>
          <w:p w:rsidR="00325419" w:rsidRPr="00F073F1" w:rsidRDefault="00325419" w:rsidP="003D0727">
            <w:pPr>
              <w:spacing w:line="400" w:lineRule="exact"/>
              <w:jc w:val="left"/>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按照承兑人划分</w:t>
            </w:r>
          </w:p>
        </w:tc>
      </w:tr>
    </w:tbl>
    <w:p w:rsidR="00F073F1" w:rsidRDefault="00F073F1" w:rsidP="00F073F1">
      <w:pPr>
        <w:spacing w:line="360" w:lineRule="auto"/>
        <w:ind w:firstLineChars="200" w:firstLine="480"/>
        <w:rPr>
          <w:rFonts w:asciiTheme="minorEastAsia" w:eastAsiaTheme="minorEastAsia" w:hAnsiTheme="minorEastAsia" w:cs="Arial"/>
          <w:sz w:val="24"/>
          <w:szCs w:val="24"/>
        </w:rPr>
      </w:pPr>
    </w:p>
    <w:p w:rsidR="00325419" w:rsidRPr="00F073F1" w:rsidRDefault="00325419" w:rsidP="00F073F1">
      <w:pPr>
        <w:spacing w:line="360" w:lineRule="auto"/>
        <w:ind w:firstLineChars="200" w:firstLine="480"/>
        <w:rPr>
          <w:rFonts w:asciiTheme="minorEastAsia" w:eastAsiaTheme="minorEastAsia" w:hAnsiTheme="minorEastAsia" w:cs="Arial"/>
          <w:sz w:val="24"/>
          <w:szCs w:val="24"/>
        </w:rPr>
      </w:pPr>
      <w:r w:rsidRPr="00F073F1">
        <w:rPr>
          <w:rFonts w:asciiTheme="minorEastAsia" w:eastAsiaTheme="minorEastAsia" w:hAnsiTheme="minorEastAsia" w:cs="Arial" w:hint="eastAsia"/>
          <w:sz w:val="24"/>
          <w:szCs w:val="24"/>
        </w:rPr>
        <w:t>（2）</w:t>
      </w:r>
      <w:r w:rsidRPr="00F073F1">
        <w:rPr>
          <w:rFonts w:asciiTheme="minorEastAsia" w:eastAsiaTheme="minorEastAsia" w:hAnsiTheme="minorEastAsia" w:cs="Arial"/>
          <w:sz w:val="24"/>
          <w:szCs w:val="24"/>
        </w:rPr>
        <w:t>应收账款及合同资产</w:t>
      </w:r>
    </w:p>
    <w:p w:rsidR="00325419" w:rsidRPr="00F073F1" w:rsidRDefault="00752A30" w:rsidP="00F073F1">
      <w:pPr>
        <w:spacing w:line="360" w:lineRule="auto"/>
        <w:ind w:firstLineChars="200" w:firstLine="480"/>
        <w:rPr>
          <w:rFonts w:asciiTheme="minorEastAsia" w:eastAsiaTheme="minorEastAsia" w:hAnsiTheme="minorEastAsia" w:cs="Arial"/>
          <w:sz w:val="24"/>
          <w:szCs w:val="24"/>
        </w:rPr>
      </w:pPr>
      <w:r w:rsidRPr="00F073F1">
        <w:rPr>
          <w:rFonts w:asciiTheme="minorEastAsia" w:eastAsiaTheme="minorEastAsia" w:hAnsiTheme="minorEastAsia" w:cs="Arial"/>
          <w:sz w:val="24"/>
          <w:szCs w:val="24"/>
        </w:rPr>
        <w:t>对于不含重大融资成分的应收款项和合同资产，</w:t>
      </w:r>
      <w:r w:rsidR="00325419" w:rsidRPr="00F073F1">
        <w:rPr>
          <w:rFonts w:asciiTheme="minorEastAsia" w:eastAsiaTheme="minorEastAsia" w:hAnsiTheme="minorEastAsia" w:cs="Arial"/>
          <w:sz w:val="24"/>
          <w:szCs w:val="24"/>
        </w:rPr>
        <w:t>公司按照相当于整个存续期内的预期信用损失金额计量损失准备。</w:t>
      </w:r>
    </w:p>
    <w:p w:rsidR="00325419" w:rsidRPr="00F073F1" w:rsidRDefault="00752A30" w:rsidP="00F073F1">
      <w:pPr>
        <w:spacing w:line="360" w:lineRule="auto"/>
        <w:ind w:firstLineChars="200" w:firstLine="480"/>
        <w:rPr>
          <w:rFonts w:asciiTheme="minorEastAsia" w:eastAsiaTheme="minorEastAsia" w:hAnsiTheme="minorEastAsia" w:cs="Arial"/>
          <w:sz w:val="24"/>
          <w:szCs w:val="24"/>
        </w:rPr>
      </w:pPr>
      <w:r w:rsidRPr="00F073F1">
        <w:rPr>
          <w:rFonts w:asciiTheme="minorEastAsia" w:eastAsiaTheme="minorEastAsia" w:hAnsiTheme="minorEastAsia" w:cs="Arial"/>
          <w:sz w:val="24"/>
          <w:szCs w:val="24"/>
        </w:rPr>
        <w:t>对于包含重大融资成分的应收款项、合同资产，</w:t>
      </w:r>
      <w:r w:rsidR="00325419" w:rsidRPr="00F073F1">
        <w:rPr>
          <w:rFonts w:asciiTheme="minorEastAsia" w:eastAsiaTheme="minorEastAsia" w:hAnsiTheme="minorEastAsia" w:cs="Arial"/>
          <w:sz w:val="24"/>
          <w:szCs w:val="24"/>
        </w:rPr>
        <w:t>公司选择始终按照相当于存</w:t>
      </w:r>
      <w:r w:rsidR="00325419" w:rsidRPr="00F073F1">
        <w:rPr>
          <w:rFonts w:asciiTheme="minorEastAsia" w:eastAsiaTheme="minorEastAsia" w:hAnsiTheme="minorEastAsia" w:cs="Arial"/>
          <w:sz w:val="24"/>
          <w:szCs w:val="24"/>
        </w:rPr>
        <w:lastRenderedPageBreak/>
        <w:t>续期内预期信用损失的金额计量损失准备。</w:t>
      </w:r>
    </w:p>
    <w:p w:rsidR="00325419" w:rsidRPr="00F073F1" w:rsidRDefault="00325419" w:rsidP="00F073F1">
      <w:pPr>
        <w:spacing w:line="360" w:lineRule="auto"/>
        <w:ind w:firstLineChars="200" w:firstLine="480"/>
        <w:rPr>
          <w:rFonts w:asciiTheme="minorEastAsia" w:eastAsiaTheme="minorEastAsia" w:hAnsiTheme="minorEastAsia" w:cs="Arial"/>
          <w:sz w:val="24"/>
          <w:szCs w:val="24"/>
        </w:rPr>
      </w:pPr>
      <w:r w:rsidRPr="00F073F1">
        <w:rPr>
          <w:rFonts w:asciiTheme="minorEastAsia" w:eastAsiaTheme="minorEastAsia" w:hAnsiTheme="minorEastAsia" w:cs="Arial"/>
          <w:bCs/>
          <w:sz w:val="24"/>
          <w:szCs w:val="24"/>
        </w:rPr>
        <w:t>除了单项评估信用风险的应收账款外，</w:t>
      </w:r>
      <w:r w:rsidRPr="00F073F1">
        <w:rPr>
          <w:rFonts w:asciiTheme="minorEastAsia" w:eastAsiaTheme="minorEastAsia" w:hAnsiTheme="minorEastAsia" w:cs="Arial"/>
          <w:sz w:val="24"/>
          <w:szCs w:val="24"/>
        </w:rPr>
        <w:t>基于其信用风险特征，将其划分为不同组合：</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9"/>
      </w:tblGrid>
      <w:tr w:rsidR="00325419" w:rsidRPr="00F073F1" w:rsidTr="00B87323">
        <w:trPr>
          <w:trHeight w:val="378"/>
          <w:tblHeader/>
        </w:trPr>
        <w:tc>
          <w:tcPr>
            <w:tcW w:w="1985" w:type="dxa"/>
            <w:vAlign w:val="center"/>
          </w:tcPr>
          <w:p w:rsidR="00325419" w:rsidRPr="00F073F1" w:rsidRDefault="00325419" w:rsidP="003D0727">
            <w:pPr>
              <w:spacing w:line="400" w:lineRule="exact"/>
              <w:jc w:val="center"/>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项</w:t>
            </w:r>
            <w:r w:rsidR="00C9015B">
              <w:rPr>
                <w:rFonts w:asciiTheme="minorEastAsia" w:eastAsiaTheme="minorEastAsia" w:hAnsiTheme="minorEastAsia" w:cs="Arial" w:hint="eastAsia"/>
                <w:kern w:val="0"/>
                <w:szCs w:val="21"/>
              </w:rPr>
              <w:t xml:space="preserve">  </w:t>
            </w:r>
            <w:r w:rsidRPr="00F073F1">
              <w:rPr>
                <w:rFonts w:asciiTheme="minorEastAsia" w:eastAsiaTheme="minorEastAsia" w:hAnsiTheme="minorEastAsia" w:cs="Arial"/>
                <w:kern w:val="0"/>
                <w:szCs w:val="21"/>
              </w:rPr>
              <w:t>目</w:t>
            </w:r>
          </w:p>
        </w:tc>
        <w:tc>
          <w:tcPr>
            <w:tcW w:w="6379" w:type="dxa"/>
            <w:vAlign w:val="center"/>
          </w:tcPr>
          <w:p w:rsidR="00325419" w:rsidRPr="00F073F1" w:rsidRDefault="00325419" w:rsidP="00F073F1">
            <w:pPr>
              <w:spacing w:line="400" w:lineRule="exact"/>
              <w:ind w:firstLineChars="200" w:firstLine="420"/>
              <w:jc w:val="center"/>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确定组合的依据</w:t>
            </w:r>
          </w:p>
        </w:tc>
      </w:tr>
      <w:tr w:rsidR="00325419" w:rsidRPr="00F073F1" w:rsidTr="00B87323">
        <w:trPr>
          <w:trHeight w:val="300"/>
        </w:trPr>
        <w:tc>
          <w:tcPr>
            <w:tcW w:w="1985" w:type="dxa"/>
            <w:noWrap/>
            <w:vAlign w:val="center"/>
          </w:tcPr>
          <w:p w:rsidR="00325419" w:rsidRPr="00F073F1" w:rsidRDefault="00325419" w:rsidP="003D0727">
            <w:pPr>
              <w:spacing w:line="400" w:lineRule="exact"/>
              <w:jc w:val="left"/>
              <w:rPr>
                <w:rFonts w:asciiTheme="minorEastAsia" w:eastAsiaTheme="minorEastAsia" w:hAnsiTheme="minorEastAsia" w:cs="Arial"/>
                <w:kern w:val="0"/>
                <w:szCs w:val="21"/>
              </w:rPr>
            </w:pPr>
            <w:proofErr w:type="gramStart"/>
            <w:r w:rsidRPr="00F073F1">
              <w:rPr>
                <w:rFonts w:asciiTheme="minorEastAsia" w:eastAsiaTheme="minorEastAsia" w:hAnsiTheme="minorEastAsia" w:cs="Arial"/>
                <w:kern w:val="0"/>
                <w:szCs w:val="21"/>
              </w:rPr>
              <w:t>账</w:t>
            </w:r>
            <w:proofErr w:type="gramEnd"/>
            <w:r w:rsidRPr="00F073F1">
              <w:rPr>
                <w:rFonts w:asciiTheme="minorEastAsia" w:eastAsiaTheme="minorEastAsia" w:hAnsiTheme="minorEastAsia" w:cs="Arial"/>
                <w:kern w:val="0"/>
                <w:szCs w:val="21"/>
              </w:rPr>
              <w:t>龄组合</w:t>
            </w:r>
          </w:p>
        </w:tc>
        <w:tc>
          <w:tcPr>
            <w:tcW w:w="6379" w:type="dxa"/>
            <w:noWrap/>
            <w:vAlign w:val="center"/>
          </w:tcPr>
          <w:p w:rsidR="00325419" w:rsidRPr="00F073F1" w:rsidRDefault="00325419" w:rsidP="003D0727">
            <w:pPr>
              <w:spacing w:line="400" w:lineRule="exact"/>
              <w:jc w:val="left"/>
              <w:rPr>
                <w:rFonts w:asciiTheme="minorEastAsia" w:eastAsiaTheme="minorEastAsia" w:hAnsiTheme="minorEastAsia" w:cs="Arial"/>
                <w:szCs w:val="21"/>
              </w:rPr>
            </w:pPr>
            <w:r w:rsidRPr="00F073F1">
              <w:rPr>
                <w:rFonts w:asciiTheme="minorEastAsia" w:eastAsiaTheme="minorEastAsia" w:hAnsiTheme="minorEastAsia" w:cs="Arial" w:hint="eastAsia"/>
                <w:szCs w:val="21"/>
              </w:rPr>
              <w:t>参考历史信用损失经验，结合当前状况以及对未来经济账龄组合</w:t>
            </w:r>
          </w:p>
          <w:p w:rsidR="00325419" w:rsidRPr="00F073F1" w:rsidRDefault="00325419" w:rsidP="003D0727">
            <w:pPr>
              <w:spacing w:line="400" w:lineRule="exact"/>
              <w:jc w:val="left"/>
              <w:rPr>
                <w:rFonts w:asciiTheme="minorEastAsia" w:eastAsiaTheme="minorEastAsia" w:hAnsiTheme="minorEastAsia" w:cs="Arial"/>
                <w:kern w:val="0"/>
                <w:szCs w:val="21"/>
              </w:rPr>
            </w:pPr>
            <w:r w:rsidRPr="00F073F1">
              <w:rPr>
                <w:rFonts w:asciiTheme="minorEastAsia" w:eastAsiaTheme="minorEastAsia" w:hAnsiTheme="minorEastAsia" w:cs="Arial" w:hint="eastAsia"/>
                <w:szCs w:val="21"/>
              </w:rPr>
              <w:t>本组合以应收款项的账</w:t>
            </w:r>
            <w:proofErr w:type="gramStart"/>
            <w:r w:rsidRPr="00F073F1">
              <w:rPr>
                <w:rFonts w:asciiTheme="minorEastAsia" w:eastAsiaTheme="minorEastAsia" w:hAnsiTheme="minorEastAsia" w:cs="Arial" w:hint="eastAsia"/>
                <w:szCs w:val="21"/>
              </w:rPr>
              <w:t>龄作为</w:t>
            </w:r>
            <w:proofErr w:type="gramEnd"/>
            <w:r w:rsidRPr="00F073F1">
              <w:rPr>
                <w:rFonts w:asciiTheme="minorEastAsia" w:eastAsiaTheme="minorEastAsia" w:hAnsiTheme="minorEastAsia" w:cs="Arial" w:hint="eastAsia"/>
                <w:szCs w:val="21"/>
              </w:rPr>
              <w:t>信用风险特征状况的预测，编制应收款项账龄与预期信用损失率对照表，计算预期信用损失。</w:t>
            </w:r>
          </w:p>
        </w:tc>
      </w:tr>
      <w:tr w:rsidR="00325419" w:rsidRPr="00F073F1" w:rsidTr="00B87323">
        <w:trPr>
          <w:trHeight w:val="300"/>
        </w:trPr>
        <w:tc>
          <w:tcPr>
            <w:tcW w:w="1985" w:type="dxa"/>
            <w:noWrap/>
            <w:vAlign w:val="center"/>
          </w:tcPr>
          <w:p w:rsidR="00325419" w:rsidRPr="00F073F1" w:rsidRDefault="00325419" w:rsidP="00B87323">
            <w:pPr>
              <w:spacing w:line="400" w:lineRule="exact"/>
              <w:jc w:val="left"/>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合并范围内关联方组合</w:t>
            </w:r>
          </w:p>
        </w:tc>
        <w:tc>
          <w:tcPr>
            <w:tcW w:w="6379" w:type="dxa"/>
            <w:noWrap/>
            <w:vAlign w:val="center"/>
          </w:tcPr>
          <w:p w:rsidR="00325419" w:rsidRPr="00F073F1" w:rsidRDefault="00325419" w:rsidP="003D0727">
            <w:pPr>
              <w:spacing w:line="400" w:lineRule="exact"/>
              <w:jc w:val="left"/>
              <w:rPr>
                <w:rFonts w:asciiTheme="minorEastAsia" w:eastAsiaTheme="minorEastAsia" w:hAnsiTheme="minorEastAsia" w:cs="Arial"/>
                <w:kern w:val="0"/>
                <w:szCs w:val="21"/>
              </w:rPr>
            </w:pPr>
            <w:r w:rsidRPr="00F073F1">
              <w:rPr>
                <w:rFonts w:asciiTheme="minorEastAsia" w:eastAsiaTheme="minorEastAsia" w:hAnsiTheme="minorEastAsia" w:cs="Arial" w:hint="eastAsia"/>
                <w:szCs w:val="21"/>
              </w:rPr>
              <w:t>参考历史信用损失经验，结合当前状况及未来经济状况的预测，通过违约风险敞口和未来12个月或整个存续期内关联方公司款项预期信用损失率，计算预期信用损失。此类款项发生坏账损失的可能性极小。</w:t>
            </w:r>
          </w:p>
        </w:tc>
      </w:tr>
    </w:tbl>
    <w:p w:rsidR="00325419" w:rsidRDefault="00325419" w:rsidP="00F073F1">
      <w:pPr>
        <w:spacing w:line="360" w:lineRule="auto"/>
        <w:ind w:firstLineChars="200" w:firstLine="480"/>
        <w:jc w:val="left"/>
        <w:rPr>
          <w:rFonts w:asciiTheme="minorEastAsia" w:eastAsiaTheme="minorEastAsia" w:hAnsiTheme="minorEastAsia" w:cs="Arial" w:hint="eastAsia"/>
          <w:sz w:val="24"/>
          <w:szCs w:val="24"/>
        </w:rPr>
      </w:pPr>
      <w:r w:rsidRPr="00F073F1">
        <w:rPr>
          <w:rFonts w:asciiTheme="minorEastAsia" w:eastAsiaTheme="minorEastAsia" w:hAnsiTheme="minorEastAsia" w:cs="Arial"/>
          <w:sz w:val="24"/>
          <w:szCs w:val="24"/>
        </w:rPr>
        <w:t>公司应收款项账龄从发生日开始计算。</w:t>
      </w:r>
    </w:p>
    <w:p w:rsidR="00C9015B" w:rsidRPr="00F073F1" w:rsidRDefault="00C9015B" w:rsidP="00F073F1">
      <w:pPr>
        <w:spacing w:line="360" w:lineRule="auto"/>
        <w:ind w:firstLineChars="200" w:firstLine="480"/>
        <w:jc w:val="left"/>
        <w:rPr>
          <w:rFonts w:asciiTheme="minorEastAsia" w:eastAsiaTheme="minorEastAsia" w:hAnsiTheme="minorEastAsia" w:cs="Arial"/>
          <w:sz w:val="24"/>
          <w:szCs w:val="24"/>
        </w:rPr>
      </w:pPr>
    </w:p>
    <w:p w:rsidR="00325419" w:rsidRPr="00F073F1" w:rsidRDefault="00325419" w:rsidP="00F073F1">
      <w:pPr>
        <w:overflowPunct w:val="0"/>
        <w:spacing w:line="360" w:lineRule="auto"/>
        <w:ind w:left="482"/>
        <w:rPr>
          <w:rFonts w:asciiTheme="minorEastAsia" w:eastAsiaTheme="minorEastAsia" w:hAnsiTheme="minorEastAsia" w:cs="Arial"/>
          <w:sz w:val="24"/>
          <w:szCs w:val="24"/>
        </w:rPr>
      </w:pPr>
      <w:r w:rsidRPr="00F073F1">
        <w:rPr>
          <w:rFonts w:asciiTheme="minorEastAsia" w:eastAsiaTheme="minorEastAsia" w:hAnsiTheme="minorEastAsia" w:cs="Arial"/>
          <w:sz w:val="24"/>
          <w:szCs w:val="24"/>
        </w:rPr>
        <w:t>组合中，采用</w:t>
      </w:r>
      <w:proofErr w:type="gramStart"/>
      <w:r w:rsidRPr="00F073F1">
        <w:rPr>
          <w:rFonts w:asciiTheme="minorEastAsia" w:eastAsiaTheme="minorEastAsia" w:hAnsiTheme="minorEastAsia" w:cs="Arial"/>
          <w:sz w:val="24"/>
          <w:szCs w:val="24"/>
        </w:rPr>
        <w:t>账</w:t>
      </w:r>
      <w:proofErr w:type="gramEnd"/>
      <w:r w:rsidRPr="00F073F1">
        <w:rPr>
          <w:rFonts w:asciiTheme="minorEastAsia" w:eastAsiaTheme="minorEastAsia" w:hAnsiTheme="minorEastAsia" w:cs="Arial"/>
          <w:sz w:val="24"/>
          <w:szCs w:val="24"/>
        </w:rPr>
        <w:t>龄组合计提预期信用损失的组合计提方法：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3"/>
        <w:gridCol w:w="3252"/>
        <w:gridCol w:w="3103"/>
      </w:tblGrid>
      <w:tr w:rsidR="00325419" w:rsidRPr="00F073F1" w:rsidTr="00B87323">
        <w:trPr>
          <w:trHeight w:val="475"/>
          <w:tblHeader/>
          <w:jc w:val="center"/>
        </w:trPr>
        <w:tc>
          <w:tcPr>
            <w:tcW w:w="1203" w:type="pct"/>
            <w:shd w:val="clear" w:color="auto" w:fill="auto"/>
            <w:vAlign w:val="center"/>
          </w:tcPr>
          <w:p w:rsidR="00325419" w:rsidRPr="00F073F1" w:rsidRDefault="00325419" w:rsidP="003D0727">
            <w:pPr>
              <w:widowControl/>
              <w:spacing w:line="400" w:lineRule="exact"/>
              <w:jc w:val="center"/>
              <w:rPr>
                <w:rFonts w:asciiTheme="minorEastAsia" w:eastAsiaTheme="minorEastAsia" w:hAnsiTheme="minorEastAsia" w:cs="Arial"/>
                <w:kern w:val="0"/>
                <w:szCs w:val="21"/>
              </w:rPr>
            </w:pPr>
            <w:bookmarkStart w:id="4" w:name="_Hlk158020144"/>
            <w:proofErr w:type="gramStart"/>
            <w:r w:rsidRPr="00F073F1">
              <w:rPr>
                <w:rFonts w:asciiTheme="minorEastAsia" w:eastAsiaTheme="minorEastAsia" w:hAnsiTheme="minorEastAsia" w:cs="Arial"/>
                <w:kern w:val="0"/>
                <w:szCs w:val="21"/>
              </w:rPr>
              <w:t>账</w:t>
            </w:r>
            <w:proofErr w:type="gramEnd"/>
            <w:r w:rsidR="00C9015B">
              <w:rPr>
                <w:rFonts w:asciiTheme="minorEastAsia" w:eastAsiaTheme="minorEastAsia" w:hAnsiTheme="minorEastAsia" w:cs="Arial" w:hint="eastAsia"/>
                <w:kern w:val="0"/>
                <w:szCs w:val="21"/>
              </w:rPr>
              <w:t xml:space="preserve">  </w:t>
            </w:r>
            <w:r w:rsidRPr="00F073F1">
              <w:rPr>
                <w:rFonts w:asciiTheme="minorEastAsia" w:eastAsiaTheme="minorEastAsia" w:hAnsiTheme="minorEastAsia" w:cs="Arial"/>
                <w:kern w:val="0"/>
                <w:szCs w:val="21"/>
              </w:rPr>
              <w:t>龄</w:t>
            </w:r>
          </w:p>
        </w:tc>
        <w:tc>
          <w:tcPr>
            <w:tcW w:w="1943" w:type="pct"/>
            <w:shd w:val="clear" w:color="auto" w:fill="auto"/>
            <w:vAlign w:val="center"/>
          </w:tcPr>
          <w:p w:rsidR="00325419" w:rsidRPr="00F073F1" w:rsidRDefault="00325419" w:rsidP="003D0727">
            <w:pPr>
              <w:widowControl/>
              <w:spacing w:line="400" w:lineRule="exact"/>
              <w:jc w:val="center"/>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应收账款计提比例（%）</w:t>
            </w:r>
          </w:p>
        </w:tc>
        <w:tc>
          <w:tcPr>
            <w:tcW w:w="1854" w:type="pct"/>
            <w:shd w:val="clear" w:color="auto" w:fill="auto"/>
            <w:vAlign w:val="center"/>
          </w:tcPr>
          <w:p w:rsidR="00325419" w:rsidRPr="00F073F1" w:rsidRDefault="00325419" w:rsidP="003D0727">
            <w:pPr>
              <w:widowControl/>
              <w:spacing w:line="400" w:lineRule="exact"/>
              <w:jc w:val="center"/>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其他应收款计提比例（%）</w:t>
            </w:r>
          </w:p>
        </w:tc>
      </w:tr>
      <w:tr w:rsidR="00325419" w:rsidRPr="00F073F1" w:rsidTr="00B87323">
        <w:trPr>
          <w:trHeight w:val="300"/>
          <w:jc w:val="center"/>
        </w:trPr>
        <w:tc>
          <w:tcPr>
            <w:tcW w:w="1203" w:type="pct"/>
            <w:shd w:val="clear" w:color="auto" w:fill="auto"/>
            <w:noWrap/>
            <w:vAlign w:val="center"/>
          </w:tcPr>
          <w:p w:rsidR="00325419" w:rsidRPr="00F073F1" w:rsidRDefault="00325419" w:rsidP="003D0727">
            <w:pPr>
              <w:widowControl/>
              <w:spacing w:line="400" w:lineRule="exact"/>
              <w:jc w:val="left"/>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1年以内</w:t>
            </w:r>
          </w:p>
        </w:tc>
        <w:tc>
          <w:tcPr>
            <w:tcW w:w="1943" w:type="pct"/>
            <w:shd w:val="clear" w:color="auto" w:fill="auto"/>
            <w:noWrap/>
            <w:vAlign w:val="center"/>
          </w:tcPr>
          <w:p w:rsidR="00325419" w:rsidRPr="00F073F1" w:rsidRDefault="00325419" w:rsidP="003D0727">
            <w:pPr>
              <w:widowControl/>
              <w:spacing w:line="400" w:lineRule="exact"/>
              <w:jc w:val="right"/>
              <w:rPr>
                <w:rFonts w:asciiTheme="minorEastAsia" w:eastAsiaTheme="minorEastAsia" w:hAnsiTheme="minorEastAsia" w:cs="Arial"/>
                <w:kern w:val="0"/>
                <w:szCs w:val="21"/>
              </w:rPr>
            </w:pPr>
            <w:r w:rsidRPr="00F073F1">
              <w:rPr>
                <w:rFonts w:asciiTheme="minorEastAsia" w:eastAsiaTheme="minorEastAsia" w:hAnsiTheme="minorEastAsia" w:cs="Arial" w:hint="eastAsia"/>
                <w:kern w:val="0"/>
                <w:szCs w:val="21"/>
              </w:rPr>
              <w:t>5</w:t>
            </w:r>
            <w:r w:rsidRPr="00F073F1">
              <w:rPr>
                <w:rFonts w:asciiTheme="minorEastAsia" w:eastAsiaTheme="minorEastAsia" w:hAnsiTheme="minorEastAsia" w:cs="Arial"/>
                <w:kern w:val="0"/>
                <w:szCs w:val="21"/>
              </w:rPr>
              <w:t>.00</w:t>
            </w:r>
          </w:p>
        </w:tc>
        <w:tc>
          <w:tcPr>
            <w:tcW w:w="1854" w:type="pct"/>
            <w:shd w:val="clear" w:color="auto" w:fill="auto"/>
            <w:noWrap/>
            <w:vAlign w:val="center"/>
          </w:tcPr>
          <w:p w:rsidR="00325419" w:rsidRPr="00F073F1" w:rsidRDefault="00325419" w:rsidP="003D0727">
            <w:pPr>
              <w:widowControl/>
              <w:spacing w:line="400" w:lineRule="exact"/>
              <w:jc w:val="right"/>
              <w:rPr>
                <w:rFonts w:asciiTheme="minorEastAsia" w:eastAsiaTheme="minorEastAsia" w:hAnsiTheme="minorEastAsia" w:cs="Arial"/>
                <w:kern w:val="0"/>
                <w:szCs w:val="21"/>
              </w:rPr>
            </w:pPr>
            <w:r w:rsidRPr="00F073F1">
              <w:rPr>
                <w:rFonts w:asciiTheme="minorEastAsia" w:eastAsiaTheme="minorEastAsia" w:hAnsiTheme="minorEastAsia" w:cs="Arial" w:hint="eastAsia"/>
                <w:kern w:val="0"/>
                <w:szCs w:val="21"/>
              </w:rPr>
              <w:t>5</w:t>
            </w:r>
            <w:r w:rsidRPr="00F073F1">
              <w:rPr>
                <w:rFonts w:asciiTheme="minorEastAsia" w:eastAsiaTheme="minorEastAsia" w:hAnsiTheme="minorEastAsia" w:cs="Arial"/>
                <w:kern w:val="0"/>
                <w:szCs w:val="21"/>
              </w:rPr>
              <w:t>.00</w:t>
            </w:r>
          </w:p>
        </w:tc>
      </w:tr>
      <w:tr w:rsidR="00325419" w:rsidRPr="00F073F1" w:rsidTr="00B87323">
        <w:trPr>
          <w:trHeight w:val="300"/>
          <w:jc w:val="center"/>
        </w:trPr>
        <w:tc>
          <w:tcPr>
            <w:tcW w:w="1203" w:type="pct"/>
            <w:shd w:val="clear" w:color="auto" w:fill="auto"/>
            <w:noWrap/>
            <w:vAlign w:val="center"/>
          </w:tcPr>
          <w:p w:rsidR="00325419" w:rsidRPr="00F073F1" w:rsidRDefault="00325419" w:rsidP="003D0727">
            <w:pPr>
              <w:widowControl/>
              <w:spacing w:line="400" w:lineRule="exact"/>
              <w:jc w:val="left"/>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1-2年</w:t>
            </w:r>
          </w:p>
        </w:tc>
        <w:tc>
          <w:tcPr>
            <w:tcW w:w="1943" w:type="pct"/>
            <w:shd w:val="clear" w:color="auto" w:fill="auto"/>
            <w:noWrap/>
            <w:vAlign w:val="center"/>
          </w:tcPr>
          <w:p w:rsidR="00325419" w:rsidRPr="00F073F1" w:rsidRDefault="00325419" w:rsidP="003D0727">
            <w:pPr>
              <w:widowControl/>
              <w:spacing w:line="400" w:lineRule="exact"/>
              <w:jc w:val="right"/>
              <w:rPr>
                <w:rFonts w:asciiTheme="minorEastAsia" w:eastAsiaTheme="minorEastAsia" w:hAnsiTheme="minorEastAsia" w:cs="Arial"/>
                <w:kern w:val="0"/>
                <w:szCs w:val="21"/>
              </w:rPr>
            </w:pPr>
            <w:r w:rsidRPr="00F073F1">
              <w:rPr>
                <w:rFonts w:asciiTheme="minorEastAsia" w:eastAsiaTheme="minorEastAsia" w:hAnsiTheme="minorEastAsia" w:cs="Arial" w:hint="eastAsia"/>
                <w:kern w:val="0"/>
                <w:szCs w:val="21"/>
              </w:rPr>
              <w:t>1</w:t>
            </w:r>
            <w:r w:rsidRPr="00F073F1">
              <w:rPr>
                <w:rFonts w:asciiTheme="minorEastAsia" w:eastAsiaTheme="minorEastAsia" w:hAnsiTheme="minorEastAsia" w:cs="Arial"/>
                <w:kern w:val="0"/>
                <w:szCs w:val="21"/>
              </w:rPr>
              <w:t>0.00</w:t>
            </w:r>
          </w:p>
        </w:tc>
        <w:tc>
          <w:tcPr>
            <w:tcW w:w="1854" w:type="pct"/>
            <w:shd w:val="clear" w:color="auto" w:fill="auto"/>
            <w:noWrap/>
            <w:vAlign w:val="center"/>
          </w:tcPr>
          <w:p w:rsidR="00325419" w:rsidRPr="00F073F1" w:rsidRDefault="00325419" w:rsidP="003D0727">
            <w:pPr>
              <w:widowControl/>
              <w:spacing w:line="400" w:lineRule="exact"/>
              <w:jc w:val="right"/>
              <w:rPr>
                <w:rFonts w:asciiTheme="minorEastAsia" w:eastAsiaTheme="minorEastAsia" w:hAnsiTheme="minorEastAsia" w:cs="Arial"/>
                <w:kern w:val="0"/>
                <w:szCs w:val="21"/>
              </w:rPr>
            </w:pPr>
            <w:r w:rsidRPr="00F073F1">
              <w:rPr>
                <w:rFonts w:asciiTheme="minorEastAsia" w:eastAsiaTheme="minorEastAsia" w:hAnsiTheme="minorEastAsia" w:cs="Arial" w:hint="eastAsia"/>
                <w:kern w:val="0"/>
                <w:szCs w:val="21"/>
              </w:rPr>
              <w:t>1</w:t>
            </w:r>
            <w:r w:rsidRPr="00F073F1">
              <w:rPr>
                <w:rFonts w:asciiTheme="minorEastAsia" w:eastAsiaTheme="minorEastAsia" w:hAnsiTheme="minorEastAsia" w:cs="Arial"/>
                <w:kern w:val="0"/>
                <w:szCs w:val="21"/>
              </w:rPr>
              <w:t>0.00</w:t>
            </w:r>
          </w:p>
        </w:tc>
      </w:tr>
      <w:tr w:rsidR="00325419" w:rsidRPr="00F073F1" w:rsidTr="00B87323">
        <w:trPr>
          <w:trHeight w:val="300"/>
          <w:jc w:val="center"/>
        </w:trPr>
        <w:tc>
          <w:tcPr>
            <w:tcW w:w="1203" w:type="pct"/>
            <w:shd w:val="clear" w:color="auto" w:fill="auto"/>
            <w:noWrap/>
            <w:vAlign w:val="center"/>
          </w:tcPr>
          <w:p w:rsidR="00325419" w:rsidRPr="00F073F1" w:rsidRDefault="00325419" w:rsidP="003D0727">
            <w:pPr>
              <w:widowControl/>
              <w:spacing w:line="400" w:lineRule="exact"/>
              <w:jc w:val="left"/>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2-3年</w:t>
            </w:r>
          </w:p>
        </w:tc>
        <w:tc>
          <w:tcPr>
            <w:tcW w:w="1943" w:type="pct"/>
            <w:shd w:val="clear" w:color="auto" w:fill="auto"/>
            <w:noWrap/>
            <w:vAlign w:val="center"/>
          </w:tcPr>
          <w:p w:rsidR="00325419" w:rsidRPr="00F073F1" w:rsidRDefault="00325419" w:rsidP="003D0727">
            <w:pPr>
              <w:widowControl/>
              <w:spacing w:line="400" w:lineRule="exact"/>
              <w:jc w:val="right"/>
              <w:rPr>
                <w:rFonts w:asciiTheme="minorEastAsia" w:eastAsiaTheme="minorEastAsia" w:hAnsiTheme="minorEastAsia" w:cs="Arial"/>
                <w:kern w:val="0"/>
                <w:szCs w:val="21"/>
              </w:rPr>
            </w:pPr>
            <w:r w:rsidRPr="00F073F1">
              <w:rPr>
                <w:rFonts w:asciiTheme="minorEastAsia" w:eastAsiaTheme="minorEastAsia" w:hAnsiTheme="minorEastAsia" w:cs="Arial" w:hint="eastAsia"/>
                <w:kern w:val="0"/>
                <w:szCs w:val="21"/>
              </w:rPr>
              <w:t>3</w:t>
            </w:r>
            <w:r w:rsidRPr="00F073F1">
              <w:rPr>
                <w:rFonts w:asciiTheme="minorEastAsia" w:eastAsiaTheme="minorEastAsia" w:hAnsiTheme="minorEastAsia" w:cs="Arial"/>
                <w:kern w:val="0"/>
                <w:szCs w:val="21"/>
              </w:rPr>
              <w:t>0.00</w:t>
            </w:r>
          </w:p>
        </w:tc>
        <w:tc>
          <w:tcPr>
            <w:tcW w:w="1854" w:type="pct"/>
            <w:shd w:val="clear" w:color="auto" w:fill="auto"/>
            <w:noWrap/>
            <w:vAlign w:val="center"/>
          </w:tcPr>
          <w:p w:rsidR="00325419" w:rsidRPr="00F073F1" w:rsidRDefault="00325419" w:rsidP="003D0727">
            <w:pPr>
              <w:widowControl/>
              <w:spacing w:line="400" w:lineRule="exact"/>
              <w:jc w:val="right"/>
              <w:rPr>
                <w:rFonts w:asciiTheme="minorEastAsia" w:eastAsiaTheme="minorEastAsia" w:hAnsiTheme="minorEastAsia" w:cs="Arial"/>
                <w:kern w:val="0"/>
                <w:szCs w:val="21"/>
              </w:rPr>
            </w:pPr>
            <w:r w:rsidRPr="00F073F1">
              <w:rPr>
                <w:rFonts w:asciiTheme="minorEastAsia" w:eastAsiaTheme="minorEastAsia" w:hAnsiTheme="minorEastAsia" w:cs="Arial" w:hint="eastAsia"/>
                <w:kern w:val="0"/>
                <w:szCs w:val="21"/>
              </w:rPr>
              <w:t>3</w:t>
            </w:r>
            <w:r w:rsidRPr="00F073F1">
              <w:rPr>
                <w:rFonts w:asciiTheme="minorEastAsia" w:eastAsiaTheme="minorEastAsia" w:hAnsiTheme="minorEastAsia" w:cs="Arial"/>
                <w:kern w:val="0"/>
                <w:szCs w:val="21"/>
              </w:rPr>
              <w:t>0.00</w:t>
            </w:r>
          </w:p>
        </w:tc>
      </w:tr>
      <w:tr w:rsidR="00325419" w:rsidRPr="00F073F1" w:rsidTr="00B87323">
        <w:trPr>
          <w:trHeight w:val="300"/>
          <w:jc w:val="center"/>
        </w:trPr>
        <w:tc>
          <w:tcPr>
            <w:tcW w:w="1203" w:type="pct"/>
            <w:shd w:val="clear" w:color="auto" w:fill="auto"/>
            <w:noWrap/>
            <w:vAlign w:val="center"/>
          </w:tcPr>
          <w:p w:rsidR="00325419" w:rsidRPr="00F073F1" w:rsidRDefault="00325419" w:rsidP="003D0727">
            <w:pPr>
              <w:widowControl/>
              <w:spacing w:line="400" w:lineRule="exact"/>
              <w:jc w:val="left"/>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3</w:t>
            </w:r>
            <w:r w:rsidRPr="00F073F1">
              <w:rPr>
                <w:rFonts w:asciiTheme="minorEastAsia" w:eastAsiaTheme="minorEastAsia" w:hAnsiTheme="minorEastAsia" w:cs="Arial" w:hint="eastAsia"/>
                <w:kern w:val="0"/>
                <w:szCs w:val="21"/>
              </w:rPr>
              <w:t>-</w:t>
            </w:r>
            <w:r w:rsidRPr="00F073F1">
              <w:rPr>
                <w:rFonts w:asciiTheme="minorEastAsia" w:eastAsiaTheme="minorEastAsia" w:hAnsiTheme="minorEastAsia" w:cs="Arial"/>
                <w:kern w:val="0"/>
                <w:szCs w:val="21"/>
              </w:rPr>
              <w:t>4</w:t>
            </w:r>
            <w:r w:rsidRPr="00F073F1">
              <w:rPr>
                <w:rFonts w:asciiTheme="minorEastAsia" w:eastAsiaTheme="minorEastAsia" w:hAnsiTheme="minorEastAsia" w:cs="Arial" w:hint="eastAsia"/>
                <w:kern w:val="0"/>
                <w:szCs w:val="21"/>
              </w:rPr>
              <w:t>年</w:t>
            </w:r>
          </w:p>
        </w:tc>
        <w:tc>
          <w:tcPr>
            <w:tcW w:w="1943" w:type="pct"/>
            <w:shd w:val="clear" w:color="auto" w:fill="auto"/>
            <w:noWrap/>
            <w:vAlign w:val="center"/>
          </w:tcPr>
          <w:p w:rsidR="00325419" w:rsidRPr="00F073F1" w:rsidRDefault="00325419" w:rsidP="003D0727">
            <w:pPr>
              <w:widowControl/>
              <w:spacing w:line="400" w:lineRule="exact"/>
              <w:jc w:val="right"/>
              <w:rPr>
                <w:rFonts w:asciiTheme="minorEastAsia" w:eastAsiaTheme="minorEastAsia" w:hAnsiTheme="minorEastAsia" w:cs="Arial"/>
                <w:kern w:val="0"/>
                <w:szCs w:val="21"/>
              </w:rPr>
            </w:pPr>
            <w:r w:rsidRPr="00F073F1">
              <w:rPr>
                <w:rFonts w:asciiTheme="minorEastAsia" w:eastAsiaTheme="minorEastAsia" w:hAnsiTheme="minorEastAsia" w:cs="Arial" w:hint="eastAsia"/>
                <w:kern w:val="0"/>
                <w:szCs w:val="21"/>
              </w:rPr>
              <w:t>5</w:t>
            </w:r>
            <w:r w:rsidRPr="00F073F1">
              <w:rPr>
                <w:rFonts w:asciiTheme="minorEastAsia" w:eastAsiaTheme="minorEastAsia" w:hAnsiTheme="minorEastAsia" w:cs="Arial"/>
                <w:kern w:val="0"/>
                <w:szCs w:val="21"/>
              </w:rPr>
              <w:t>0.00</w:t>
            </w:r>
          </w:p>
        </w:tc>
        <w:tc>
          <w:tcPr>
            <w:tcW w:w="1854" w:type="pct"/>
            <w:shd w:val="clear" w:color="auto" w:fill="auto"/>
            <w:noWrap/>
            <w:vAlign w:val="center"/>
          </w:tcPr>
          <w:p w:rsidR="00325419" w:rsidRPr="00F073F1" w:rsidRDefault="00325419" w:rsidP="003D0727">
            <w:pPr>
              <w:widowControl/>
              <w:spacing w:line="400" w:lineRule="exact"/>
              <w:jc w:val="right"/>
              <w:rPr>
                <w:rFonts w:asciiTheme="minorEastAsia" w:eastAsiaTheme="minorEastAsia" w:hAnsiTheme="minorEastAsia" w:cs="Arial"/>
                <w:kern w:val="0"/>
                <w:szCs w:val="21"/>
              </w:rPr>
            </w:pPr>
            <w:r w:rsidRPr="00F073F1">
              <w:rPr>
                <w:rFonts w:asciiTheme="minorEastAsia" w:eastAsiaTheme="minorEastAsia" w:hAnsiTheme="minorEastAsia" w:cs="Arial" w:hint="eastAsia"/>
                <w:kern w:val="0"/>
                <w:szCs w:val="21"/>
              </w:rPr>
              <w:t>5</w:t>
            </w:r>
            <w:r w:rsidRPr="00F073F1">
              <w:rPr>
                <w:rFonts w:asciiTheme="minorEastAsia" w:eastAsiaTheme="minorEastAsia" w:hAnsiTheme="minorEastAsia" w:cs="Arial"/>
                <w:kern w:val="0"/>
                <w:szCs w:val="21"/>
              </w:rPr>
              <w:t>0.00</w:t>
            </w:r>
          </w:p>
        </w:tc>
      </w:tr>
      <w:tr w:rsidR="00325419" w:rsidRPr="00F073F1" w:rsidTr="00B87323">
        <w:trPr>
          <w:trHeight w:val="300"/>
          <w:jc w:val="center"/>
        </w:trPr>
        <w:tc>
          <w:tcPr>
            <w:tcW w:w="1203" w:type="pct"/>
            <w:shd w:val="clear" w:color="auto" w:fill="auto"/>
            <w:noWrap/>
            <w:vAlign w:val="center"/>
          </w:tcPr>
          <w:p w:rsidR="00325419" w:rsidRPr="00F073F1" w:rsidRDefault="00325419" w:rsidP="003D0727">
            <w:pPr>
              <w:widowControl/>
              <w:spacing w:line="400" w:lineRule="exact"/>
              <w:jc w:val="left"/>
              <w:rPr>
                <w:rFonts w:asciiTheme="minorEastAsia" w:eastAsiaTheme="minorEastAsia" w:hAnsiTheme="minorEastAsia" w:cs="Arial"/>
                <w:kern w:val="0"/>
                <w:szCs w:val="21"/>
              </w:rPr>
            </w:pPr>
            <w:r w:rsidRPr="00F073F1">
              <w:rPr>
                <w:rFonts w:asciiTheme="minorEastAsia" w:eastAsiaTheme="minorEastAsia" w:hAnsiTheme="minorEastAsia" w:cs="Arial" w:hint="eastAsia"/>
                <w:kern w:val="0"/>
                <w:szCs w:val="21"/>
              </w:rPr>
              <w:t>4</w:t>
            </w:r>
            <w:r w:rsidRPr="00F073F1">
              <w:rPr>
                <w:rFonts w:asciiTheme="minorEastAsia" w:eastAsiaTheme="minorEastAsia" w:hAnsiTheme="minorEastAsia" w:cs="Arial"/>
                <w:kern w:val="0"/>
                <w:szCs w:val="21"/>
              </w:rPr>
              <w:t>-5</w:t>
            </w:r>
            <w:r w:rsidRPr="00F073F1">
              <w:rPr>
                <w:rFonts w:asciiTheme="minorEastAsia" w:eastAsiaTheme="minorEastAsia" w:hAnsiTheme="minorEastAsia" w:cs="Arial" w:hint="eastAsia"/>
                <w:kern w:val="0"/>
                <w:szCs w:val="21"/>
              </w:rPr>
              <w:t>年</w:t>
            </w:r>
          </w:p>
        </w:tc>
        <w:tc>
          <w:tcPr>
            <w:tcW w:w="1943" w:type="pct"/>
            <w:shd w:val="clear" w:color="auto" w:fill="auto"/>
            <w:noWrap/>
            <w:vAlign w:val="center"/>
          </w:tcPr>
          <w:p w:rsidR="00325419" w:rsidRPr="00F073F1" w:rsidRDefault="00325419" w:rsidP="003D0727">
            <w:pPr>
              <w:widowControl/>
              <w:spacing w:line="400" w:lineRule="exact"/>
              <w:jc w:val="right"/>
              <w:rPr>
                <w:rFonts w:asciiTheme="minorEastAsia" w:eastAsiaTheme="minorEastAsia" w:hAnsiTheme="minorEastAsia" w:cs="Arial"/>
                <w:kern w:val="0"/>
                <w:szCs w:val="21"/>
              </w:rPr>
            </w:pPr>
            <w:r w:rsidRPr="00F073F1">
              <w:rPr>
                <w:rFonts w:asciiTheme="minorEastAsia" w:eastAsiaTheme="minorEastAsia" w:hAnsiTheme="minorEastAsia" w:cs="Arial" w:hint="eastAsia"/>
                <w:kern w:val="0"/>
                <w:szCs w:val="21"/>
              </w:rPr>
              <w:t>8</w:t>
            </w:r>
            <w:r w:rsidRPr="00F073F1">
              <w:rPr>
                <w:rFonts w:asciiTheme="minorEastAsia" w:eastAsiaTheme="minorEastAsia" w:hAnsiTheme="minorEastAsia" w:cs="Arial"/>
                <w:kern w:val="0"/>
                <w:szCs w:val="21"/>
              </w:rPr>
              <w:t>0.00</w:t>
            </w:r>
          </w:p>
        </w:tc>
        <w:tc>
          <w:tcPr>
            <w:tcW w:w="1854" w:type="pct"/>
            <w:shd w:val="clear" w:color="auto" w:fill="auto"/>
            <w:noWrap/>
            <w:vAlign w:val="center"/>
          </w:tcPr>
          <w:p w:rsidR="00325419" w:rsidRPr="00F073F1" w:rsidRDefault="00325419" w:rsidP="003D0727">
            <w:pPr>
              <w:widowControl/>
              <w:spacing w:line="400" w:lineRule="exact"/>
              <w:jc w:val="right"/>
              <w:rPr>
                <w:rFonts w:asciiTheme="minorEastAsia" w:eastAsiaTheme="minorEastAsia" w:hAnsiTheme="minorEastAsia" w:cs="Arial"/>
                <w:kern w:val="0"/>
                <w:szCs w:val="21"/>
              </w:rPr>
            </w:pPr>
            <w:r w:rsidRPr="00F073F1">
              <w:rPr>
                <w:rFonts w:asciiTheme="minorEastAsia" w:eastAsiaTheme="minorEastAsia" w:hAnsiTheme="minorEastAsia" w:cs="Arial" w:hint="eastAsia"/>
                <w:kern w:val="0"/>
                <w:szCs w:val="21"/>
              </w:rPr>
              <w:t>8</w:t>
            </w:r>
            <w:r w:rsidRPr="00F073F1">
              <w:rPr>
                <w:rFonts w:asciiTheme="minorEastAsia" w:eastAsiaTheme="minorEastAsia" w:hAnsiTheme="minorEastAsia" w:cs="Arial"/>
                <w:kern w:val="0"/>
                <w:szCs w:val="21"/>
              </w:rPr>
              <w:t>0.00</w:t>
            </w:r>
          </w:p>
        </w:tc>
      </w:tr>
      <w:tr w:rsidR="00325419" w:rsidRPr="00F073F1" w:rsidTr="00B87323">
        <w:trPr>
          <w:trHeight w:val="300"/>
          <w:jc w:val="center"/>
        </w:trPr>
        <w:tc>
          <w:tcPr>
            <w:tcW w:w="1203" w:type="pct"/>
            <w:shd w:val="clear" w:color="auto" w:fill="auto"/>
            <w:noWrap/>
            <w:vAlign w:val="center"/>
          </w:tcPr>
          <w:p w:rsidR="00325419" w:rsidRPr="00F073F1" w:rsidRDefault="00325419" w:rsidP="003D0727">
            <w:pPr>
              <w:widowControl/>
              <w:spacing w:line="400" w:lineRule="exact"/>
              <w:jc w:val="left"/>
              <w:rPr>
                <w:rFonts w:asciiTheme="minorEastAsia" w:eastAsiaTheme="minorEastAsia" w:hAnsiTheme="minorEastAsia" w:cs="Arial"/>
                <w:kern w:val="0"/>
                <w:szCs w:val="21"/>
              </w:rPr>
            </w:pPr>
            <w:r w:rsidRPr="00F073F1">
              <w:rPr>
                <w:rFonts w:asciiTheme="minorEastAsia" w:eastAsiaTheme="minorEastAsia" w:hAnsiTheme="minorEastAsia" w:cs="Arial" w:hint="eastAsia"/>
                <w:kern w:val="0"/>
                <w:szCs w:val="21"/>
              </w:rPr>
              <w:t>5年以上</w:t>
            </w:r>
          </w:p>
        </w:tc>
        <w:tc>
          <w:tcPr>
            <w:tcW w:w="1943" w:type="pct"/>
            <w:shd w:val="clear" w:color="auto" w:fill="auto"/>
            <w:noWrap/>
            <w:vAlign w:val="center"/>
          </w:tcPr>
          <w:p w:rsidR="00325419" w:rsidRPr="00F073F1" w:rsidRDefault="00325419" w:rsidP="003D0727">
            <w:pPr>
              <w:widowControl/>
              <w:spacing w:line="400" w:lineRule="exact"/>
              <w:jc w:val="right"/>
              <w:rPr>
                <w:rFonts w:asciiTheme="minorEastAsia" w:eastAsiaTheme="minorEastAsia" w:hAnsiTheme="minorEastAsia" w:cs="Arial"/>
                <w:kern w:val="0"/>
                <w:szCs w:val="21"/>
              </w:rPr>
            </w:pPr>
            <w:r w:rsidRPr="00F073F1">
              <w:rPr>
                <w:rFonts w:asciiTheme="minorEastAsia" w:eastAsiaTheme="minorEastAsia" w:hAnsiTheme="minorEastAsia" w:cs="Arial" w:hint="eastAsia"/>
                <w:kern w:val="0"/>
                <w:szCs w:val="21"/>
              </w:rPr>
              <w:t>1</w:t>
            </w:r>
            <w:r w:rsidRPr="00F073F1">
              <w:rPr>
                <w:rFonts w:asciiTheme="minorEastAsia" w:eastAsiaTheme="minorEastAsia" w:hAnsiTheme="minorEastAsia" w:cs="Arial"/>
                <w:kern w:val="0"/>
                <w:szCs w:val="21"/>
              </w:rPr>
              <w:t>00.00</w:t>
            </w:r>
          </w:p>
        </w:tc>
        <w:tc>
          <w:tcPr>
            <w:tcW w:w="1854" w:type="pct"/>
            <w:shd w:val="clear" w:color="auto" w:fill="auto"/>
            <w:noWrap/>
            <w:vAlign w:val="center"/>
          </w:tcPr>
          <w:p w:rsidR="00325419" w:rsidRPr="00F073F1" w:rsidRDefault="00325419" w:rsidP="003D0727">
            <w:pPr>
              <w:widowControl/>
              <w:spacing w:line="400" w:lineRule="exact"/>
              <w:jc w:val="right"/>
              <w:rPr>
                <w:rFonts w:asciiTheme="minorEastAsia" w:eastAsiaTheme="minorEastAsia" w:hAnsiTheme="minorEastAsia" w:cs="Arial"/>
                <w:kern w:val="0"/>
                <w:szCs w:val="21"/>
              </w:rPr>
            </w:pPr>
            <w:r w:rsidRPr="00F073F1">
              <w:rPr>
                <w:rFonts w:asciiTheme="minorEastAsia" w:eastAsiaTheme="minorEastAsia" w:hAnsiTheme="minorEastAsia" w:cs="Arial" w:hint="eastAsia"/>
                <w:kern w:val="0"/>
                <w:szCs w:val="21"/>
              </w:rPr>
              <w:t>1</w:t>
            </w:r>
            <w:r w:rsidRPr="00F073F1">
              <w:rPr>
                <w:rFonts w:asciiTheme="minorEastAsia" w:eastAsiaTheme="minorEastAsia" w:hAnsiTheme="minorEastAsia" w:cs="Arial"/>
                <w:kern w:val="0"/>
                <w:szCs w:val="21"/>
              </w:rPr>
              <w:t>00.00</w:t>
            </w:r>
          </w:p>
        </w:tc>
      </w:tr>
      <w:bookmarkEnd w:id="4"/>
    </w:tbl>
    <w:p w:rsidR="00F073F1" w:rsidRDefault="00F073F1" w:rsidP="00F073F1">
      <w:pPr>
        <w:spacing w:line="360" w:lineRule="auto"/>
        <w:ind w:leftChars="200" w:left="420"/>
        <w:jc w:val="left"/>
        <w:rPr>
          <w:rFonts w:asciiTheme="minorEastAsia" w:eastAsiaTheme="minorEastAsia" w:hAnsiTheme="minorEastAsia" w:cs="Arial"/>
          <w:sz w:val="24"/>
          <w:szCs w:val="24"/>
        </w:rPr>
      </w:pPr>
    </w:p>
    <w:p w:rsidR="00325419" w:rsidRPr="00F073F1" w:rsidRDefault="00325419" w:rsidP="00F073F1">
      <w:pPr>
        <w:spacing w:line="360" w:lineRule="auto"/>
        <w:ind w:leftChars="200" w:left="420"/>
        <w:jc w:val="left"/>
        <w:rPr>
          <w:rFonts w:asciiTheme="minorEastAsia" w:eastAsiaTheme="minorEastAsia" w:hAnsiTheme="minorEastAsia" w:cs="Arial"/>
          <w:sz w:val="24"/>
          <w:szCs w:val="24"/>
        </w:rPr>
      </w:pPr>
      <w:r w:rsidRPr="00F073F1">
        <w:rPr>
          <w:rFonts w:asciiTheme="minorEastAsia" w:eastAsiaTheme="minorEastAsia" w:hAnsiTheme="minorEastAsia" w:cs="Arial" w:hint="eastAsia"/>
          <w:sz w:val="24"/>
          <w:szCs w:val="24"/>
        </w:rPr>
        <w:t>（3）</w:t>
      </w:r>
      <w:r w:rsidRPr="00F073F1">
        <w:rPr>
          <w:rFonts w:asciiTheme="minorEastAsia" w:eastAsiaTheme="minorEastAsia" w:hAnsiTheme="minorEastAsia" w:cs="Arial"/>
          <w:sz w:val="24"/>
          <w:szCs w:val="24"/>
        </w:rPr>
        <w:t>应收款项融资</w:t>
      </w:r>
    </w:p>
    <w:p w:rsidR="00325419" w:rsidRPr="00F073F1" w:rsidRDefault="00325419" w:rsidP="00F073F1">
      <w:pPr>
        <w:spacing w:line="360" w:lineRule="auto"/>
        <w:ind w:firstLineChars="200" w:firstLine="480"/>
        <w:rPr>
          <w:rFonts w:asciiTheme="minorEastAsia" w:eastAsiaTheme="minorEastAsia" w:hAnsiTheme="minorEastAsia" w:cs="Arial"/>
          <w:sz w:val="24"/>
          <w:szCs w:val="24"/>
        </w:rPr>
      </w:pPr>
      <w:r w:rsidRPr="00F073F1">
        <w:rPr>
          <w:rFonts w:asciiTheme="minorEastAsia" w:eastAsiaTheme="minorEastAsia" w:hAnsiTheme="minorEastAsia" w:cs="Arial"/>
          <w:sz w:val="24"/>
          <w:szCs w:val="24"/>
        </w:rPr>
        <w:t>分类为以公允价值计量且其变动计入其他综合收益的应收票据，自取得起期限在一年内（含一年）的部分，列示为应收款项融资；自取得起期限在一年以上的，列示为其他债权投资。</w:t>
      </w:r>
    </w:p>
    <w:p w:rsidR="00F073F1" w:rsidRDefault="00F073F1" w:rsidP="00F073F1">
      <w:pPr>
        <w:spacing w:line="360" w:lineRule="auto"/>
        <w:ind w:firstLineChars="200" w:firstLine="480"/>
        <w:rPr>
          <w:rFonts w:asciiTheme="minorEastAsia" w:eastAsiaTheme="minorEastAsia" w:hAnsiTheme="minorEastAsia" w:cs="宋体"/>
          <w:sz w:val="24"/>
          <w:szCs w:val="24"/>
        </w:rPr>
      </w:pPr>
    </w:p>
    <w:p w:rsidR="00325419" w:rsidRPr="00F073F1" w:rsidRDefault="00325419" w:rsidP="00F073F1">
      <w:pPr>
        <w:spacing w:line="360" w:lineRule="auto"/>
        <w:ind w:firstLineChars="200" w:firstLine="480"/>
        <w:rPr>
          <w:rFonts w:asciiTheme="minorEastAsia" w:eastAsiaTheme="minorEastAsia" w:hAnsiTheme="minorEastAsia" w:cs="Arial"/>
          <w:sz w:val="24"/>
          <w:szCs w:val="24"/>
        </w:rPr>
      </w:pPr>
      <w:r w:rsidRPr="00F073F1">
        <w:rPr>
          <w:rFonts w:asciiTheme="minorEastAsia" w:eastAsiaTheme="minorEastAsia" w:hAnsiTheme="minorEastAsia" w:cs="宋体" w:hint="eastAsia"/>
          <w:sz w:val="24"/>
          <w:szCs w:val="24"/>
        </w:rPr>
        <w:t>（4）</w:t>
      </w:r>
      <w:r w:rsidRPr="00F073F1">
        <w:rPr>
          <w:rFonts w:asciiTheme="minorEastAsia" w:eastAsiaTheme="minorEastAsia" w:hAnsiTheme="minorEastAsia" w:cs="Arial"/>
          <w:sz w:val="24"/>
          <w:szCs w:val="24"/>
        </w:rPr>
        <w:t>其他应收款</w:t>
      </w:r>
    </w:p>
    <w:p w:rsidR="00325419" w:rsidRPr="00F073F1" w:rsidRDefault="00325419" w:rsidP="00F073F1">
      <w:pPr>
        <w:spacing w:line="360" w:lineRule="auto"/>
        <w:ind w:firstLineChars="200" w:firstLine="480"/>
        <w:jc w:val="left"/>
        <w:rPr>
          <w:rFonts w:asciiTheme="minorEastAsia" w:eastAsiaTheme="minorEastAsia" w:hAnsiTheme="minorEastAsia" w:cs="Arial"/>
          <w:sz w:val="24"/>
          <w:szCs w:val="24"/>
        </w:rPr>
      </w:pPr>
      <w:r w:rsidRPr="00F073F1">
        <w:rPr>
          <w:rFonts w:asciiTheme="minorEastAsia" w:eastAsiaTheme="minorEastAsia" w:hAnsiTheme="minorEastAsia" w:cs="Arial"/>
          <w:sz w:val="24"/>
          <w:szCs w:val="24"/>
        </w:rPr>
        <w:t>公司依据其他应收款信用风险自初始确认后是否已经显著增加，采用相当于未来12个月内、或整个存续期的预期信用损失的金额计量减值损失。</w:t>
      </w:r>
      <w:r w:rsidRPr="00F073F1">
        <w:rPr>
          <w:rFonts w:asciiTheme="minorEastAsia" w:eastAsiaTheme="minorEastAsia" w:hAnsiTheme="minorEastAsia" w:cs="Arial"/>
          <w:bCs/>
          <w:sz w:val="24"/>
          <w:szCs w:val="24"/>
        </w:rPr>
        <w:t>除了单项评估信用风险的其他应收款外，</w:t>
      </w:r>
      <w:r w:rsidRPr="00F073F1">
        <w:rPr>
          <w:rFonts w:asciiTheme="minorEastAsia" w:eastAsiaTheme="minorEastAsia" w:hAnsiTheme="minorEastAsia" w:cs="Arial"/>
          <w:sz w:val="24"/>
          <w:szCs w:val="24"/>
        </w:rPr>
        <w:t>基于其信用风险特征，将其划分为不同组合：</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9"/>
      </w:tblGrid>
      <w:tr w:rsidR="00325419" w:rsidRPr="00F073F1" w:rsidTr="00FE5D96">
        <w:trPr>
          <w:trHeight w:val="378"/>
          <w:tblHeader/>
        </w:trPr>
        <w:tc>
          <w:tcPr>
            <w:tcW w:w="1985" w:type="dxa"/>
            <w:vAlign w:val="center"/>
          </w:tcPr>
          <w:p w:rsidR="00325419" w:rsidRPr="00F073F1" w:rsidRDefault="00325419" w:rsidP="00FE5D96">
            <w:pPr>
              <w:spacing w:line="400" w:lineRule="exact"/>
              <w:jc w:val="center"/>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lastRenderedPageBreak/>
              <w:t>项</w:t>
            </w:r>
            <w:r w:rsidR="00C9015B">
              <w:rPr>
                <w:rFonts w:asciiTheme="minorEastAsia" w:eastAsiaTheme="minorEastAsia" w:hAnsiTheme="minorEastAsia" w:cs="Arial" w:hint="eastAsia"/>
                <w:kern w:val="0"/>
                <w:szCs w:val="21"/>
              </w:rPr>
              <w:t xml:space="preserve">  </w:t>
            </w:r>
            <w:r w:rsidRPr="00F073F1">
              <w:rPr>
                <w:rFonts w:asciiTheme="minorEastAsia" w:eastAsiaTheme="minorEastAsia" w:hAnsiTheme="minorEastAsia" w:cs="Arial"/>
                <w:kern w:val="0"/>
                <w:szCs w:val="21"/>
              </w:rPr>
              <w:t>目</w:t>
            </w:r>
          </w:p>
        </w:tc>
        <w:tc>
          <w:tcPr>
            <w:tcW w:w="6379" w:type="dxa"/>
            <w:vAlign w:val="center"/>
          </w:tcPr>
          <w:p w:rsidR="00325419" w:rsidRPr="00F073F1" w:rsidRDefault="00325419" w:rsidP="00F073F1">
            <w:pPr>
              <w:spacing w:line="400" w:lineRule="exact"/>
              <w:ind w:firstLineChars="200" w:firstLine="420"/>
              <w:jc w:val="center"/>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确定组合的依据</w:t>
            </w:r>
          </w:p>
        </w:tc>
      </w:tr>
      <w:tr w:rsidR="00325419" w:rsidRPr="00F073F1" w:rsidTr="00FE5D96">
        <w:trPr>
          <w:trHeight w:val="300"/>
        </w:trPr>
        <w:tc>
          <w:tcPr>
            <w:tcW w:w="1985" w:type="dxa"/>
            <w:noWrap/>
            <w:vAlign w:val="center"/>
          </w:tcPr>
          <w:p w:rsidR="00325419" w:rsidRPr="00F073F1" w:rsidRDefault="00325419" w:rsidP="00FE5D96">
            <w:pPr>
              <w:spacing w:line="400" w:lineRule="exact"/>
              <w:rPr>
                <w:rFonts w:asciiTheme="minorEastAsia" w:eastAsiaTheme="minorEastAsia" w:hAnsiTheme="minorEastAsia" w:cs="Arial"/>
                <w:kern w:val="0"/>
                <w:szCs w:val="21"/>
              </w:rPr>
            </w:pPr>
            <w:r w:rsidRPr="00F073F1">
              <w:rPr>
                <w:rFonts w:asciiTheme="minorEastAsia" w:eastAsiaTheme="minorEastAsia" w:hAnsiTheme="minorEastAsia" w:cs="Arial"/>
                <w:szCs w:val="21"/>
              </w:rPr>
              <w:t>押金及保证金</w:t>
            </w:r>
          </w:p>
        </w:tc>
        <w:tc>
          <w:tcPr>
            <w:tcW w:w="6379" w:type="dxa"/>
            <w:noWrap/>
            <w:vAlign w:val="center"/>
          </w:tcPr>
          <w:p w:rsidR="00325419" w:rsidRPr="00F073F1" w:rsidRDefault="00325419" w:rsidP="00FE5D96">
            <w:pPr>
              <w:spacing w:line="400" w:lineRule="exact"/>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本组合为日常经常活动中应收取的各类押金、代垫款、质保金等应收款项。</w:t>
            </w:r>
          </w:p>
        </w:tc>
      </w:tr>
      <w:tr w:rsidR="00325419" w:rsidRPr="00F073F1" w:rsidTr="00FE5D96">
        <w:trPr>
          <w:trHeight w:val="300"/>
        </w:trPr>
        <w:tc>
          <w:tcPr>
            <w:tcW w:w="1985" w:type="dxa"/>
            <w:noWrap/>
            <w:vAlign w:val="center"/>
          </w:tcPr>
          <w:p w:rsidR="00325419" w:rsidRPr="00F073F1" w:rsidRDefault="00325419" w:rsidP="00FE5D96">
            <w:pPr>
              <w:spacing w:line="400" w:lineRule="exact"/>
              <w:rPr>
                <w:rFonts w:asciiTheme="minorEastAsia" w:eastAsiaTheme="minorEastAsia" w:hAnsiTheme="minorEastAsia" w:cs="Arial"/>
                <w:kern w:val="0"/>
                <w:szCs w:val="21"/>
              </w:rPr>
            </w:pPr>
            <w:r w:rsidRPr="00F073F1">
              <w:rPr>
                <w:rFonts w:asciiTheme="minorEastAsia" w:eastAsiaTheme="minorEastAsia" w:hAnsiTheme="minorEastAsia" w:cs="Arial"/>
                <w:szCs w:val="21"/>
              </w:rPr>
              <w:t>备用金</w:t>
            </w:r>
          </w:p>
        </w:tc>
        <w:tc>
          <w:tcPr>
            <w:tcW w:w="6379" w:type="dxa"/>
            <w:noWrap/>
            <w:vAlign w:val="center"/>
          </w:tcPr>
          <w:p w:rsidR="00325419" w:rsidRPr="00F073F1" w:rsidRDefault="00325419" w:rsidP="00FE5D96">
            <w:pPr>
              <w:spacing w:line="400" w:lineRule="exact"/>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本组合为日常经常活动中支付给员工的备用金</w:t>
            </w:r>
          </w:p>
        </w:tc>
      </w:tr>
      <w:tr w:rsidR="00325419" w:rsidRPr="00F073F1" w:rsidTr="00FE5D96">
        <w:trPr>
          <w:trHeight w:val="300"/>
        </w:trPr>
        <w:tc>
          <w:tcPr>
            <w:tcW w:w="1985" w:type="dxa"/>
            <w:noWrap/>
            <w:vAlign w:val="center"/>
          </w:tcPr>
          <w:p w:rsidR="00325419" w:rsidRPr="00F073F1" w:rsidRDefault="00325419" w:rsidP="00FE5D96">
            <w:pPr>
              <w:spacing w:line="400" w:lineRule="exact"/>
              <w:rPr>
                <w:rFonts w:asciiTheme="minorEastAsia" w:eastAsiaTheme="minorEastAsia" w:hAnsiTheme="minorEastAsia" w:cs="Arial"/>
                <w:kern w:val="0"/>
                <w:szCs w:val="21"/>
              </w:rPr>
            </w:pPr>
            <w:r w:rsidRPr="00F073F1">
              <w:rPr>
                <w:rFonts w:asciiTheme="minorEastAsia" w:eastAsiaTheme="minorEastAsia" w:hAnsiTheme="minorEastAsia" w:cs="Arial"/>
                <w:szCs w:val="21"/>
              </w:rPr>
              <w:t>往来款</w:t>
            </w:r>
          </w:p>
        </w:tc>
        <w:tc>
          <w:tcPr>
            <w:tcW w:w="6379" w:type="dxa"/>
            <w:noWrap/>
            <w:vAlign w:val="center"/>
          </w:tcPr>
          <w:p w:rsidR="00325419" w:rsidRPr="00F073F1" w:rsidRDefault="00325419" w:rsidP="00FE5D96">
            <w:pPr>
              <w:spacing w:line="400" w:lineRule="exact"/>
              <w:rPr>
                <w:rFonts w:asciiTheme="minorEastAsia" w:eastAsiaTheme="minorEastAsia" w:hAnsiTheme="minorEastAsia" w:cs="Arial"/>
                <w:kern w:val="0"/>
                <w:szCs w:val="21"/>
              </w:rPr>
            </w:pPr>
            <w:r w:rsidRPr="00F073F1">
              <w:rPr>
                <w:rFonts w:asciiTheme="minorEastAsia" w:eastAsiaTheme="minorEastAsia" w:hAnsiTheme="minorEastAsia" w:cs="Arial"/>
                <w:kern w:val="0"/>
                <w:szCs w:val="21"/>
              </w:rPr>
              <w:t>其他往来款项</w:t>
            </w:r>
          </w:p>
        </w:tc>
      </w:tr>
    </w:tbl>
    <w:p w:rsidR="00F073F1" w:rsidRDefault="00F073F1" w:rsidP="00325419">
      <w:pPr>
        <w:spacing w:line="360" w:lineRule="auto"/>
        <w:ind w:firstLineChars="200" w:firstLine="480"/>
        <w:rPr>
          <w:rFonts w:asciiTheme="minorEastAsia" w:eastAsiaTheme="minorEastAsia" w:hAnsiTheme="minorEastAsia"/>
          <w:bCs/>
          <w:sz w:val="24"/>
          <w:szCs w:val="24"/>
        </w:rPr>
      </w:pPr>
    </w:p>
    <w:p w:rsidR="00FD08DB" w:rsidRPr="00F073F1" w:rsidRDefault="00325419" w:rsidP="00325419">
      <w:pPr>
        <w:spacing w:line="360" w:lineRule="auto"/>
        <w:ind w:firstLineChars="200" w:firstLine="480"/>
        <w:rPr>
          <w:rFonts w:asciiTheme="minorEastAsia" w:eastAsiaTheme="minorEastAsia" w:hAnsiTheme="minorEastAsia"/>
          <w:bCs/>
          <w:sz w:val="24"/>
          <w:szCs w:val="24"/>
        </w:rPr>
      </w:pPr>
      <w:r w:rsidRPr="00F073F1">
        <w:rPr>
          <w:rFonts w:asciiTheme="minorEastAsia" w:eastAsiaTheme="minorEastAsia" w:hAnsiTheme="minorEastAsia" w:hint="eastAsia"/>
          <w:bCs/>
          <w:sz w:val="24"/>
          <w:szCs w:val="24"/>
        </w:rPr>
        <w:t>2、</w:t>
      </w:r>
      <w:r w:rsidRPr="00F073F1">
        <w:rPr>
          <w:rFonts w:asciiTheme="minorEastAsia" w:eastAsiaTheme="minorEastAsia" w:hAnsiTheme="minorEastAsia"/>
          <w:bCs/>
          <w:sz w:val="24"/>
          <w:szCs w:val="24"/>
        </w:rPr>
        <w:t>存货跌价</w:t>
      </w:r>
      <w:r w:rsidR="00C932B3" w:rsidRPr="00F073F1">
        <w:rPr>
          <w:rFonts w:asciiTheme="minorEastAsia" w:eastAsiaTheme="minorEastAsia" w:hAnsiTheme="minorEastAsia"/>
          <w:bCs/>
          <w:sz w:val="24"/>
          <w:szCs w:val="24"/>
        </w:rPr>
        <w:t>准备</w:t>
      </w:r>
    </w:p>
    <w:p w:rsidR="00325419" w:rsidRPr="00F073F1" w:rsidRDefault="00325419" w:rsidP="00325419">
      <w:pPr>
        <w:spacing w:line="360" w:lineRule="auto"/>
        <w:ind w:firstLineChars="200" w:firstLine="480"/>
        <w:rPr>
          <w:rFonts w:asciiTheme="minorEastAsia" w:eastAsiaTheme="minorEastAsia" w:hAnsiTheme="minorEastAsia"/>
          <w:bCs/>
          <w:sz w:val="24"/>
          <w:szCs w:val="24"/>
        </w:rPr>
      </w:pPr>
      <w:bookmarkStart w:id="5" w:name="OLE_LINK23"/>
      <w:r w:rsidRPr="00F073F1">
        <w:rPr>
          <w:rFonts w:asciiTheme="minorEastAsia" w:eastAsiaTheme="minorEastAsia" w:hAnsiTheme="minorEastAsia" w:hint="eastAsia"/>
          <w:bCs/>
          <w:sz w:val="24"/>
          <w:szCs w:val="24"/>
        </w:rPr>
        <w:t>公司通常按照单个存货项目计提存货跌价准备。对于数量繁多、单价较低的存货，按照存货类别计提存货跌价准备。</w:t>
      </w:r>
    </w:p>
    <w:p w:rsidR="00325419" w:rsidRPr="00F073F1" w:rsidRDefault="00325419" w:rsidP="00325419">
      <w:pPr>
        <w:spacing w:line="360" w:lineRule="auto"/>
        <w:ind w:firstLineChars="200" w:firstLine="480"/>
        <w:rPr>
          <w:rFonts w:asciiTheme="minorEastAsia" w:eastAsiaTheme="minorEastAsia" w:hAnsiTheme="minorEastAsia"/>
          <w:b/>
          <w:bCs/>
          <w:sz w:val="24"/>
          <w:szCs w:val="24"/>
        </w:rPr>
      </w:pPr>
      <w:r w:rsidRPr="00F073F1">
        <w:rPr>
          <w:rFonts w:asciiTheme="minorEastAsia" w:eastAsiaTheme="minorEastAsia" w:hAnsiTheme="minorEastAsia"/>
          <w:bCs/>
          <w:sz w:val="24"/>
          <w:szCs w:val="24"/>
        </w:rPr>
        <w:t>存货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325419" w:rsidRPr="00F073F1" w:rsidRDefault="00325419" w:rsidP="00325419">
      <w:pPr>
        <w:spacing w:line="360" w:lineRule="auto"/>
        <w:ind w:firstLineChars="200" w:firstLine="480"/>
        <w:rPr>
          <w:rFonts w:asciiTheme="minorEastAsia" w:eastAsiaTheme="minorEastAsia" w:hAnsiTheme="minorEastAsia"/>
          <w:bCs/>
          <w:sz w:val="24"/>
          <w:szCs w:val="24"/>
        </w:rPr>
      </w:pPr>
      <w:r w:rsidRPr="00F073F1">
        <w:rPr>
          <w:rFonts w:asciiTheme="minorEastAsia" w:eastAsiaTheme="minorEastAsia" w:hAnsiTheme="minorEastAsia"/>
          <w:bCs/>
          <w:sz w:val="24"/>
          <w:szCs w:val="24"/>
        </w:rPr>
        <w:t>在资产负债表日，存货按照成本与可变现净值孰低计量。当其可变现净值低于成本时，提取存货跌价准备。</w:t>
      </w:r>
      <w:r w:rsidRPr="00F073F1">
        <w:rPr>
          <w:rFonts w:asciiTheme="minorEastAsia" w:eastAsiaTheme="minorEastAsia" w:hAnsiTheme="minorEastAsia" w:hint="eastAsia"/>
          <w:bCs/>
          <w:sz w:val="24"/>
          <w:szCs w:val="24"/>
        </w:rPr>
        <w:t>存货跌价准备按单个存货项目的成本高于其可变现净值的差额提取。</w:t>
      </w:r>
    </w:p>
    <w:p w:rsidR="00325419" w:rsidRDefault="00325419" w:rsidP="00325419">
      <w:pPr>
        <w:spacing w:line="360" w:lineRule="auto"/>
        <w:ind w:firstLineChars="200" w:firstLine="480"/>
        <w:rPr>
          <w:rFonts w:asciiTheme="minorEastAsia" w:eastAsiaTheme="minorEastAsia" w:hAnsiTheme="minorEastAsia"/>
          <w:bCs/>
          <w:sz w:val="24"/>
          <w:szCs w:val="24"/>
        </w:rPr>
      </w:pPr>
      <w:r w:rsidRPr="00F073F1">
        <w:rPr>
          <w:rFonts w:asciiTheme="minorEastAsia" w:eastAsiaTheme="minorEastAsia" w:hAnsiTheme="minorEastAsia"/>
          <w:bCs/>
          <w:sz w:val="24"/>
          <w:szCs w:val="24"/>
        </w:rPr>
        <w:t>计提存货跌价准备后，如果</w:t>
      </w:r>
      <w:proofErr w:type="gramStart"/>
      <w:r w:rsidRPr="00F073F1">
        <w:rPr>
          <w:rFonts w:asciiTheme="minorEastAsia" w:eastAsiaTheme="minorEastAsia" w:hAnsiTheme="minorEastAsia"/>
          <w:bCs/>
          <w:sz w:val="24"/>
          <w:szCs w:val="24"/>
        </w:rPr>
        <w:t>以前减记</w:t>
      </w:r>
      <w:proofErr w:type="gramEnd"/>
      <w:r w:rsidRPr="00F073F1">
        <w:rPr>
          <w:rFonts w:asciiTheme="minorEastAsia" w:eastAsiaTheme="minorEastAsia" w:hAnsiTheme="minorEastAsia"/>
          <w:bCs/>
          <w:sz w:val="24"/>
          <w:szCs w:val="24"/>
        </w:rPr>
        <w:t>存货价值的影响因素已经消失，导致存货的可变现净值高于其账面价值的，在原已计提的存货跌价准备金额内予以转回，转回的金额计入当期损益。</w:t>
      </w:r>
    </w:p>
    <w:p w:rsidR="00AF7CB7" w:rsidRPr="00F073F1" w:rsidRDefault="00AF7CB7" w:rsidP="00325419">
      <w:pPr>
        <w:spacing w:line="360" w:lineRule="auto"/>
        <w:ind w:firstLineChars="200" w:firstLine="480"/>
        <w:rPr>
          <w:rFonts w:asciiTheme="minorEastAsia" w:eastAsiaTheme="minorEastAsia" w:hAnsiTheme="minorEastAsia"/>
          <w:bCs/>
          <w:sz w:val="24"/>
          <w:szCs w:val="24"/>
        </w:rPr>
      </w:pPr>
    </w:p>
    <w:bookmarkEnd w:id="5"/>
    <w:p w:rsidR="00325419" w:rsidRPr="00F073F1" w:rsidRDefault="00325419" w:rsidP="00325419">
      <w:pPr>
        <w:spacing w:line="360" w:lineRule="auto"/>
        <w:ind w:firstLineChars="200" w:firstLine="480"/>
        <w:rPr>
          <w:rFonts w:asciiTheme="minorEastAsia" w:eastAsiaTheme="minorEastAsia" w:hAnsiTheme="minorEastAsia"/>
          <w:bCs/>
          <w:sz w:val="24"/>
          <w:szCs w:val="24"/>
        </w:rPr>
      </w:pPr>
      <w:r w:rsidRPr="00F073F1">
        <w:rPr>
          <w:rFonts w:asciiTheme="minorEastAsia" w:eastAsiaTheme="minorEastAsia" w:hAnsiTheme="minorEastAsia" w:hint="eastAsia"/>
          <w:bCs/>
          <w:sz w:val="24"/>
          <w:szCs w:val="24"/>
        </w:rPr>
        <w:t>3、</w:t>
      </w:r>
      <w:r w:rsidRPr="00F073F1">
        <w:rPr>
          <w:rFonts w:asciiTheme="minorEastAsia" w:eastAsiaTheme="minorEastAsia" w:hAnsiTheme="minorEastAsia"/>
          <w:bCs/>
          <w:sz w:val="24"/>
          <w:szCs w:val="24"/>
        </w:rPr>
        <w:t>长期股权投资减值</w:t>
      </w:r>
      <w:r w:rsidR="00C932B3" w:rsidRPr="00F073F1">
        <w:rPr>
          <w:rFonts w:asciiTheme="minorEastAsia" w:eastAsiaTheme="minorEastAsia" w:hAnsiTheme="minorEastAsia" w:hint="eastAsia"/>
          <w:bCs/>
          <w:sz w:val="24"/>
          <w:szCs w:val="24"/>
        </w:rPr>
        <w:t>准备</w:t>
      </w:r>
    </w:p>
    <w:p w:rsidR="00325419" w:rsidRPr="00F073F1" w:rsidRDefault="00325419" w:rsidP="00325419">
      <w:pPr>
        <w:spacing w:line="360" w:lineRule="auto"/>
        <w:ind w:firstLineChars="200" w:firstLine="480"/>
        <w:rPr>
          <w:rFonts w:asciiTheme="minorEastAsia" w:eastAsiaTheme="minorEastAsia" w:hAnsiTheme="minorEastAsia"/>
          <w:bCs/>
          <w:sz w:val="24"/>
          <w:szCs w:val="24"/>
        </w:rPr>
      </w:pPr>
      <w:r w:rsidRPr="00F073F1">
        <w:rPr>
          <w:rFonts w:asciiTheme="minorEastAsia" w:eastAsiaTheme="minorEastAsia" w:hAnsiTheme="minorEastAsia"/>
          <w:bCs/>
          <w:sz w:val="24"/>
          <w:szCs w:val="24"/>
        </w:rPr>
        <w:t>长期股权投资在资产负债表日有迹象表明发生减值的，估计其可收回金额。若长期股权投资的可收回金额低于其账面价值的，按其差额确认资产减值准备并计入当期损益。</w:t>
      </w:r>
    </w:p>
    <w:p w:rsidR="007C1AC7" w:rsidRPr="00F073F1" w:rsidRDefault="007C1AC7" w:rsidP="00E51C2C">
      <w:pPr>
        <w:spacing w:line="360" w:lineRule="auto"/>
        <w:ind w:firstLineChars="200" w:firstLine="480"/>
        <w:rPr>
          <w:rFonts w:asciiTheme="minorEastAsia" w:eastAsiaTheme="minorEastAsia" w:hAnsiTheme="minorEastAsia"/>
          <w:bCs/>
          <w:sz w:val="24"/>
          <w:szCs w:val="24"/>
        </w:rPr>
      </w:pPr>
    </w:p>
    <w:p w:rsidR="007C1AC7" w:rsidRPr="007C1AC7" w:rsidRDefault="007C1AC7" w:rsidP="007C1AC7">
      <w:pPr>
        <w:spacing w:line="360" w:lineRule="auto"/>
        <w:ind w:firstLineChars="200" w:firstLine="482"/>
        <w:rPr>
          <w:rFonts w:asciiTheme="minorEastAsia" w:eastAsiaTheme="minorEastAsia" w:hAnsiTheme="minorEastAsia"/>
          <w:b/>
          <w:bCs/>
          <w:sz w:val="24"/>
          <w:szCs w:val="24"/>
        </w:rPr>
      </w:pPr>
      <w:r w:rsidRPr="007C1AC7">
        <w:rPr>
          <w:rFonts w:asciiTheme="minorEastAsia" w:eastAsiaTheme="minorEastAsia" w:hAnsiTheme="minorEastAsia"/>
          <w:b/>
          <w:bCs/>
          <w:sz w:val="24"/>
          <w:szCs w:val="24"/>
        </w:rPr>
        <w:t xml:space="preserve">三、审议程序 </w:t>
      </w:r>
    </w:p>
    <w:p w:rsidR="007C1AC7" w:rsidRPr="007C1AC7" w:rsidRDefault="007C1AC7" w:rsidP="007C1AC7">
      <w:pPr>
        <w:spacing w:line="360" w:lineRule="auto"/>
        <w:ind w:firstLineChars="200" w:firstLine="480"/>
        <w:rPr>
          <w:rFonts w:asciiTheme="minorEastAsia" w:eastAsiaTheme="minorEastAsia" w:hAnsiTheme="minorEastAsia"/>
          <w:b/>
          <w:bCs/>
          <w:sz w:val="24"/>
          <w:szCs w:val="24"/>
        </w:rPr>
      </w:pPr>
      <w:r w:rsidRPr="007C1AC7">
        <w:rPr>
          <w:rFonts w:ascii="Arial" w:hAnsi="Arial" w:cs="Arial"/>
          <w:color w:val="000000"/>
          <w:sz w:val="24"/>
          <w:szCs w:val="24"/>
          <w:shd w:val="clear" w:color="auto" w:fill="FFFFFF"/>
        </w:rPr>
        <w:t>本次计提资产减值准</w:t>
      </w:r>
      <w:r w:rsidRPr="0006292D">
        <w:rPr>
          <w:rFonts w:ascii="Arial" w:hAnsi="Arial" w:cs="Arial"/>
          <w:sz w:val="24"/>
          <w:szCs w:val="24"/>
          <w:shd w:val="clear" w:color="auto" w:fill="FFFFFF"/>
        </w:rPr>
        <w:t>备</w:t>
      </w:r>
      <w:r w:rsidR="00AF7CB7" w:rsidRPr="0006292D">
        <w:rPr>
          <w:rFonts w:ascii="Arial" w:hAnsi="Arial" w:cs="Arial"/>
          <w:sz w:val="24"/>
          <w:szCs w:val="24"/>
          <w:shd w:val="clear" w:color="auto" w:fill="FFFFFF"/>
        </w:rPr>
        <w:t>及核销资产</w:t>
      </w:r>
      <w:r w:rsidRPr="0006292D">
        <w:rPr>
          <w:rFonts w:ascii="Arial" w:hAnsi="Arial" w:cs="Arial"/>
          <w:sz w:val="24"/>
          <w:szCs w:val="24"/>
          <w:shd w:val="clear" w:color="auto" w:fill="FFFFFF"/>
        </w:rPr>
        <w:t>事</w:t>
      </w:r>
      <w:r w:rsidRPr="007C1AC7">
        <w:rPr>
          <w:rFonts w:ascii="Arial" w:hAnsi="Arial" w:cs="Arial"/>
          <w:color w:val="000000"/>
          <w:sz w:val="24"/>
          <w:szCs w:val="24"/>
          <w:shd w:val="clear" w:color="auto" w:fill="FFFFFF"/>
        </w:rPr>
        <w:t>项是按照《企业会计准则》及公司会计政策的相关规定执行，无需提交公司董事会审议。</w:t>
      </w:r>
    </w:p>
    <w:p w:rsidR="007C1AC7" w:rsidRPr="007C1AC7" w:rsidRDefault="007C1AC7" w:rsidP="00E51C2C">
      <w:pPr>
        <w:spacing w:line="360" w:lineRule="auto"/>
        <w:ind w:firstLineChars="200" w:firstLine="482"/>
        <w:rPr>
          <w:rFonts w:asciiTheme="minorEastAsia" w:eastAsiaTheme="minorEastAsia" w:hAnsiTheme="minorEastAsia"/>
          <w:b/>
          <w:bCs/>
          <w:sz w:val="24"/>
          <w:szCs w:val="24"/>
        </w:rPr>
      </w:pPr>
    </w:p>
    <w:p w:rsidR="00977192" w:rsidRPr="00E51C2C" w:rsidRDefault="007C1AC7" w:rsidP="00E51C2C">
      <w:pPr>
        <w:spacing w:line="360" w:lineRule="auto"/>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四</w:t>
      </w:r>
      <w:r w:rsidR="00B53009" w:rsidRPr="00E51C2C">
        <w:rPr>
          <w:rFonts w:asciiTheme="minorEastAsia" w:eastAsiaTheme="minorEastAsia" w:hAnsiTheme="minorEastAsia" w:hint="eastAsia"/>
          <w:b/>
          <w:bCs/>
          <w:sz w:val="24"/>
          <w:szCs w:val="24"/>
        </w:rPr>
        <w:t>、</w:t>
      </w:r>
      <w:r w:rsidR="00BE01CB">
        <w:rPr>
          <w:rFonts w:asciiTheme="minorEastAsia" w:eastAsiaTheme="minorEastAsia" w:hAnsiTheme="minorEastAsia" w:hint="eastAsia"/>
          <w:b/>
          <w:bCs/>
          <w:sz w:val="24"/>
          <w:szCs w:val="24"/>
        </w:rPr>
        <w:t>本次计提资产减值准备及核销资</w:t>
      </w:r>
      <w:r w:rsidR="00E80C14">
        <w:rPr>
          <w:rFonts w:asciiTheme="minorEastAsia" w:eastAsiaTheme="minorEastAsia" w:hAnsiTheme="minorEastAsia" w:hint="eastAsia"/>
          <w:b/>
          <w:bCs/>
          <w:sz w:val="24"/>
          <w:szCs w:val="24"/>
        </w:rPr>
        <w:t>产</w:t>
      </w:r>
      <w:r>
        <w:rPr>
          <w:rFonts w:asciiTheme="minorEastAsia" w:eastAsiaTheme="minorEastAsia" w:hAnsiTheme="minorEastAsia" w:hint="eastAsia"/>
          <w:b/>
          <w:bCs/>
          <w:sz w:val="24"/>
          <w:szCs w:val="24"/>
        </w:rPr>
        <w:t>对</w:t>
      </w:r>
      <w:r w:rsidR="00977192" w:rsidRPr="00E51C2C">
        <w:rPr>
          <w:rFonts w:asciiTheme="minorEastAsia" w:eastAsiaTheme="minorEastAsia" w:hAnsiTheme="minorEastAsia" w:hint="eastAsia"/>
          <w:b/>
          <w:bCs/>
          <w:sz w:val="24"/>
          <w:szCs w:val="24"/>
        </w:rPr>
        <w:t>公司的影响</w:t>
      </w:r>
    </w:p>
    <w:p w:rsidR="0006292D" w:rsidRPr="0006292D" w:rsidRDefault="00262A37" w:rsidP="007C1AC7">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lastRenderedPageBreak/>
        <w:t>2024年度，</w:t>
      </w:r>
      <w:r w:rsidR="0006292D" w:rsidRPr="0006292D">
        <w:rPr>
          <w:rFonts w:asciiTheme="minorEastAsia" w:eastAsiaTheme="minorEastAsia" w:hAnsiTheme="minorEastAsia" w:cs="Arial" w:hint="eastAsia"/>
          <w:sz w:val="24"/>
          <w:szCs w:val="24"/>
          <w:shd w:val="clear" w:color="auto" w:fill="FFFFFF"/>
        </w:rPr>
        <w:t>公司计提资产及信用减值准备</w:t>
      </w:r>
      <w:r w:rsidR="006A7389">
        <w:rPr>
          <w:rFonts w:asciiTheme="minorEastAsia" w:eastAsiaTheme="minorEastAsia" w:hAnsiTheme="minorEastAsia" w:cs="Arial" w:hint="eastAsia"/>
          <w:sz w:val="24"/>
          <w:szCs w:val="24"/>
          <w:shd w:val="clear" w:color="auto" w:fill="FFFFFF"/>
        </w:rPr>
        <w:t>6</w:t>
      </w:r>
      <w:r w:rsidR="0006292D" w:rsidRPr="0006292D">
        <w:rPr>
          <w:rFonts w:asciiTheme="minorEastAsia" w:eastAsiaTheme="minorEastAsia" w:hAnsiTheme="minorEastAsia" w:cs="Arial" w:hint="eastAsia"/>
          <w:sz w:val="24"/>
          <w:szCs w:val="24"/>
          <w:shd w:val="clear" w:color="auto" w:fill="FFFFFF"/>
        </w:rPr>
        <w:t>,</w:t>
      </w:r>
      <w:r w:rsidR="006A7389">
        <w:rPr>
          <w:rFonts w:asciiTheme="minorEastAsia" w:eastAsiaTheme="minorEastAsia" w:hAnsiTheme="minorEastAsia" w:cs="Arial" w:hint="eastAsia"/>
          <w:sz w:val="24"/>
          <w:szCs w:val="24"/>
          <w:shd w:val="clear" w:color="auto" w:fill="FFFFFF"/>
        </w:rPr>
        <w:t>233</w:t>
      </w:r>
      <w:r w:rsidR="0006292D" w:rsidRPr="0006292D">
        <w:rPr>
          <w:rFonts w:asciiTheme="minorEastAsia" w:eastAsiaTheme="minorEastAsia" w:hAnsiTheme="minorEastAsia" w:cs="Arial" w:hint="eastAsia"/>
          <w:sz w:val="24"/>
          <w:szCs w:val="24"/>
          <w:shd w:val="clear" w:color="auto" w:fill="FFFFFF"/>
        </w:rPr>
        <w:t>.</w:t>
      </w:r>
      <w:r w:rsidR="006A7389">
        <w:rPr>
          <w:rFonts w:asciiTheme="minorEastAsia" w:eastAsiaTheme="minorEastAsia" w:hAnsiTheme="minorEastAsia" w:cs="Arial" w:hint="eastAsia"/>
          <w:sz w:val="24"/>
          <w:szCs w:val="24"/>
          <w:shd w:val="clear" w:color="auto" w:fill="FFFFFF"/>
        </w:rPr>
        <w:t>66</w:t>
      </w:r>
      <w:r w:rsidR="0006292D" w:rsidRPr="0006292D">
        <w:rPr>
          <w:rFonts w:asciiTheme="minorEastAsia" w:eastAsiaTheme="minorEastAsia" w:hAnsiTheme="minorEastAsia" w:cs="Arial" w:hint="eastAsia"/>
          <w:sz w:val="24"/>
          <w:szCs w:val="24"/>
          <w:shd w:val="clear" w:color="auto" w:fill="FFFFFF"/>
        </w:rPr>
        <w:t>万元，减少公司2024 年度净利润</w:t>
      </w:r>
      <w:r w:rsidR="006A7389">
        <w:rPr>
          <w:rFonts w:asciiTheme="minorEastAsia" w:eastAsiaTheme="minorEastAsia" w:hAnsiTheme="minorEastAsia" w:cs="Arial" w:hint="eastAsia"/>
          <w:sz w:val="24"/>
          <w:szCs w:val="24"/>
          <w:shd w:val="clear" w:color="auto" w:fill="FFFFFF"/>
        </w:rPr>
        <w:t>4</w:t>
      </w:r>
      <w:r w:rsidR="0006292D" w:rsidRPr="00262A37">
        <w:rPr>
          <w:rFonts w:asciiTheme="minorEastAsia" w:eastAsiaTheme="minorEastAsia" w:hAnsiTheme="minorEastAsia" w:cs="Arial" w:hint="eastAsia"/>
          <w:sz w:val="24"/>
          <w:szCs w:val="24"/>
          <w:shd w:val="clear" w:color="auto" w:fill="FFFFFF"/>
        </w:rPr>
        <w:t>,</w:t>
      </w:r>
      <w:r w:rsidR="006A7389">
        <w:rPr>
          <w:rFonts w:asciiTheme="minorEastAsia" w:eastAsiaTheme="minorEastAsia" w:hAnsiTheme="minorEastAsia" w:cs="Arial" w:hint="eastAsia"/>
          <w:sz w:val="24"/>
          <w:szCs w:val="24"/>
          <w:shd w:val="clear" w:color="auto" w:fill="FFFFFF"/>
        </w:rPr>
        <w:t>676</w:t>
      </w:r>
      <w:r w:rsidR="0006292D" w:rsidRPr="00262A37">
        <w:rPr>
          <w:rFonts w:asciiTheme="minorEastAsia" w:eastAsiaTheme="minorEastAsia" w:hAnsiTheme="minorEastAsia" w:cs="Arial" w:hint="eastAsia"/>
          <w:sz w:val="24"/>
          <w:szCs w:val="24"/>
          <w:shd w:val="clear" w:color="auto" w:fill="FFFFFF"/>
        </w:rPr>
        <w:t>.</w:t>
      </w:r>
      <w:r w:rsidR="006A7389">
        <w:rPr>
          <w:rFonts w:asciiTheme="minorEastAsia" w:eastAsiaTheme="minorEastAsia" w:hAnsiTheme="minorEastAsia" w:cs="Arial" w:hint="eastAsia"/>
          <w:sz w:val="24"/>
          <w:szCs w:val="24"/>
          <w:shd w:val="clear" w:color="auto" w:fill="FFFFFF"/>
        </w:rPr>
        <w:t>2</w:t>
      </w:r>
      <w:r w:rsidR="00075486">
        <w:rPr>
          <w:rFonts w:asciiTheme="minorEastAsia" w:eastAsiaTheme="minorEastAsia" w:hAnsiTheme="minorEastAsia" w:cs="Arial" w:hint="eastAsia"/>
          <w:sz w:val="24"/>
          <w:szCs w:val="24"/>
          <w:shd w:val="clear" w:color="auto" w:fill="FFFFFF"/>
        </w:rPr>
        <w:t>6</w:t>
      </w:r>
      <w:r w:rsidR="0006292D" w:rsidRPr="00262A37">
        <w:rPr>
          <w:rFonts w:asciiTheme="minorEastAsia" w:eastAsiaTheme="minorEastAsia" w:hAnsiTheme="minorEastAsia" w:cs="Arial" w:hint="eastAsia"/>
          <w:sz w:val="24"/>
          <w:szCs w:val="24"/>
          <w:shd w:val="clear" w:color="auto" w:fill="FFFFFF"/>
        </w:rPr>
        <w:t>万元，减少报告期归属于母公司所有者权益</w:t>
      </w:r>
      <w:r w:rsidR="006A7389">
        <w:rPr>
          <w:rFonts w:asciiTheme="minorEastAsia" w:eastAsiaTheme="minorEastAsia" w:hAnsiTheme="minorEastAsia" w:cs="Arial" w:hint="eastAsia"/>
          <w:sz w:val="24"/>
          <w:szCs w:val="24"/>
          <w:shd w:val="clear" w:color="auto" w:fill="FFFFFF"/>
        </w:rPr>
        <w:t>4</w:t>
      </w:r>
      <w:r w:rsidR="0006292D" w:rsidRPr="00262A37">
        <w:rPr>
          <w:rFonts w:asciiTheme="minorEastAsia" w:eastAsiaTheme="minorEastAsia" w:hAnsiTheme="minorEastAsia" w:cs="Arial" w:hint="eastAsia"/>
          <w:sz w:val="24"/>
          <w:szCs w:val="24"/>
          <w:shd w:val="clear" w:color="auto" w:fill="FFFFFF"/>
        </w:rPr>
        <w:t>,</w:t>
      </w:r>
      <w:r w:rsidR="006A7389">
        <w:rPr>
          <w:rFonts w:asciiTheme="minorEastAsia" w:eastAsiaTheme="minorEastAsia" w:hAnsiTheme="minorEastAsia" w:cs="Arial" w:hint="eastAsia"/>
          <w:sz w:val="24"/>
          <w:szCs w:val="24"/>
          <w:shd w:val="clear" w:color="auto" w:fill="FFFFFF"/>
        </w:rPr>
        <w:t>676</w:t>
      </w:r>
      <w:r w:rsidR="0006292D" w:rsidRPr="00262A37">
        <w:rPr>
          <w:rFonts w:asciiTheme="minorEastAsia" w:eastAsiaTheme="minorEastAsia" w:hAnsiTheme="minorEastAsia" w:cs="Arial" w:hint="eastAsia"/>
          <w:sz w:val="24"/>
          <w:szCs w:val="24"/>
          <w:shd w:val="clear" w:color="auto" w:fill="FFFFFF"/>
        </w:rPr>
        <w:t>.</w:t>
      </w:r>
      <w:r w:rsidR="006A7389">
        <w:rPr>
          <w:rFonts w:asciiTheme="minorEastAsia" w:eastAsiaTheme="minorEastAsia" w:hAnsiTheme="minorEastAsia" w:cs="Arial" w:hint="eastAsia"/>
          <w:sz w:val="24"/>
          <w:szCs w:val="24"/>
          <w:shd w:val="clear" w:color="auto" w:fill="FFFFFF"/>
        </w:rPr>
        <w:t>2</w:t>
      </w:r>
      <w:r w:rsidR="00075486">
        <w:rPr>
          <w:rFonts w:asciiTheme="minorEastAsia" w:eastAsiaTheme="minorEastAsia" w:hAnsiTheme="minorEastAsia" w:cs="Arial" w:hint="eastAsia"/>
          <w:sz w:val="24"/>
          <w:szCs w:val="24"/>
          <w:shd w:val="clear" w:color="auto" w:fill="FFFFFF"/>
        </w:rPr>
        <w:t>6</w:t>
      </w:r>
      <w:r w:rsidR="0006292D" w:rsidRPr="00262A37">
        <w:rPr>
          <w:rFonts w:asciiTheme="minorEastAsia" w:eastAsiaTheme="minorEastAsia" w:hAnsiTheme="minorEastAsia" w:cs="Arial" w:hint="eastAsia"/>
          <w:sz w:val="24"/>
          <w:szCs w:val="24"/>
          <w:shd w:val="clear" w:color="auto" w:fill="FFFFFF"/>
        </w:rPr>
        <w:t>万元。</w:t>
      </w:r>
    </w:p>
    <w:p w:rsidR="007C1AC7" w:rsidRPr="00AB067F" w:rsidRDefault="0006292D" w:rsidP="00E51C2C">
      <w:pPr>
        <w:spacing w:line="360" w:lineRule="auto"/>
        <w:ind w:firstLineChars="200" w:firstLine="480"/>
        <w:rPr>
          <w:rFonts w:ascii="Arial" w:hAnsi="Arial" w:cs="Arial"/>
          <w:sz w:val="24"/>
          <w:szCs w:val="24"/>
          <w:shd w:val="clear" w:color="auto" w:fill="FFFFFF"/>
        </w:rPr>
      </w:pPr>
      <w:r w:rsidRPr="00AB067F">
        <w:rPr>
          <w:rFonts w:ascii="Arial" w:hAnsi="Arial" w:cs="Arial" w:hint="eastAsia"/>
          <w:sz w:val="24"/>
          <w:szCs w:val="24"/>
          <w:shd w:val="clear" w:color="auto" w:fill="FFFFFF"/>
        </w:rPr>
        <w:t>本次计提资产减值准备能够更加真实、准确的反映公司的财务状况和经营成果，符合</w:t>
      </w:r>
      <w:r w:rsidR="00262A37">
        <w:rPr>
          <w:rFonts w:ascii="Arial" w:hAnsi="Arial" w:cs="Arial" w:hint="eastAsia"/>
          <w:sz w:val="24"/>
          <w:szCs w:val="24"/>
          <w:shd w:val="clear" w:color="auto" w:fill="FFFFFF"/>
        </w:rPr>
        <w:t>《</w:t>
      </w:r>
      <w:r w:rsidRPr="00AB067F">
        <w:rPr>
          <w:rFonts w:ascii="Arial" w:hAnsi="Arial" w:cs="Arial" w:hint="eastAsia"/>
          <w:sz w:val="24"/>
          <w:szCs w:val="24"/>
          <w:shd w:val="clear" w:color="auto" w:fill="FFFFFF"/>
        </w:rPr>
        <w:t>企业会计准则</w:t>
      </w:r>
      <w:r w:rsidR="00262A37">
        <w:rPr>
          <w:rFonts w:ascii="Arial" w:hAnsi="Arial" w:cs="Arial" w:hint="eastAsia"/>
          <w:sz w:val="24"/>
          <w:szCs w:val="24"/>
          <w:shd w:val="clear" w:color="auto" w:fill="FFFFFF"/>
        </w:rPr>
        <w:t>》</w:t>
      </w:r>
      <w:r w:rsidRPr="00AB067F">
        <w:rPr>
          <w:rFonts w:ascii="Arial" w:hAnsi="Arial" w:cs="Arial" w:hint="eastAsia"/>
          <w:sz w:val="24"/>
          <w:szCs w:val="24"/>
          <w:shd w:val="clear" w:color="auto" w:fill="FFFFFF"/>
        </w:rPr>
        <w:t>的相关规定。</w:t>
      </w:r>
      <w:r w:rsidR="00262A37" w:rsidRPr="00AB067F">
        <w:rPr>
          <w:rFonts w:ascii="Arial" w:hAnsi="Arial" w:cs="Arial" w:hint="eastAsia"/>
          <w:sz w:val="24"/>
          <w:szCs w:val="24"/>
          <w:shd w:val="clear" w:color="auto" w:fill="FFFFFF"/>
        </w:rPr>
        <w:t>本次计提资产减值准备及核销资产事项已经中兴华会计师事务所（特殊普通合伙）审计确认。</w:t>
      </w:r>
    </w:p>
    <w:p w:rsidR="007C1AC7" w:rsidRDefault="007C1AC7" w:rsidP="00E51C2C">
      <w:pPr>
        <w:spacing w:line="360" w:lineRule="auto"/>
        <w:ind w:firstLineChars="200" w:firstLine="480"/>
        <w:rPr>
          <w:rFonts w:asciiTheme="minorEastAsia" w:eastAsiaTheme="minorEastAsia" w:hAnsiTheme="minorEastAsia" w:cs="Arial" w:hint="eastAsia"/>
          <w:color w:val="FF0000"/>
          <w:sz w:val="24"/>
          <w:szCs w:val="24"/>
          <w:shd w:val="clear" w:color="auto" w:fill="FFFFFF"/>
        </w:rPr>
      </w:pPr>
    </w:p>
    <w:p w:rsidR="00C9015B" w:rsidRPr="00262A37" w:rsidRDefault="00C9015B" w:rsidP="00E51C2C">
      <w:pPr>
        <w:spacing w:line="360" w:lineRule="auto"/>
        <w:ind w:firstLineChars="200" w:firstLine="480"/>
        <w:rPr>
          <w:rFonts w:asciiTheme="minorEastAsia" w:eastAsiaTheme="minorEastAsia" w:hAnsiTheme="minorEastAsia" w:cs="Arial"/>
          <w:color w:val="FF0000"/>
          <w:sz w:val="24"/>
          <w:szCs w:val="24"/>
          <w:shd w:val="clear" w:color="auto" w:fill="FFFFFF"/>
        </w:rPr>
      </w:pPr>
      <w:bookmarkStart w:id="6" w:name="_GoBack"/>
      <w:bookmarkEnd w:id="6"/>
    </w:p>
    <w:p w:rsidR="003E6781" w:rsidRDefault="003E6781" w:rsidP="00E51C2C">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特此公告。</w:t>
      </w:r>
    </w:p>
    <w:p w:rsidR="003E6781" w:rsidRDefault="003E6781" w:rsidP="00E51C2C">
      <w:pPr>
        <w:spacing w:line="360" w:lineRule="auto"/>
        <w:ind w:firstLineChars="200" w:firstLine="480"/>
        <w:rPr>
          <w:rFonts w:asciiTheme="minorEastAsia" w:eastAsiaTheme="minorEastAsia" w:hAnsiTheme="minorEastAsia"/>
          <w:bCs/>
          <w:sz w:val="24"/>
          <w:szCs w:val="24"/>
        </w:rPr>
      </w:pPr>
    </w:p>
    <w:p w:rsidR="00AF7CB7" w:rsidRDefault="00AF7CB7" w:rsidP="00E51C2C">
      <w:pPr>
        <w:spacing w:line="360" w:lineRule="auto"/>
        <w:ind w:firstLineChars="200" w:firstLine="480"/>
        <w:rPr>
          <w:rFonts w:asciiTheme="minorEastAsia" w:eastAsiaTheme="minorEastAsia" w:hAnsiTheme="minorEastAsia"/>
          <w:bCs/>
          <w:sz w:val="24"/>
          <w:szCs w:val="24"/>
        </w:rPr>
      </w:pPr>
    </w:p>
    <w:p w:rsidR="003E6781" w:rsidRDefault="003E6781" w:rsidP="00E51C2C">
      <w:pPr>
        <w:spacing w:line="360" w:lineRule="auto"/>
        <w:ind w:firstLineChars="200" w:firstLine="480"/>
        <w:rPr>
          <w:rFonts w:asciiTheme="minorEastAsia" w:eastAsiaTheme="minorEastAsia" w:hAnsiTheme="minorEastAsia"/>
          <w:bCs/>
          <w:sz w:val="24"/>
          <w:szCs w:val="24"/>
        </w:rPr>
      </w:pPr>
    </w:p>
    <w:p w:rsidR="00AB067F" w:rsidRDefault="00AB067F" w:rsidP="00E51C2C">
      <w:pPr>
        <w:spacing w:line="360" w:lineRule="auto"/>
        <w:ind w:firstLineChars="200" w:firstLine="480"/>
        <w:rPr>
          <w:rFonts w:asciiTheme="minorEastAsia" w:eastAsiaTheme="minorEastAsia" w:hAnsiTheme="minorEastAsia"/>
          <w:bCs/>
          <w:sz w:val="24"/>
          <w:szCs w:val="24"/>
        </w:rPr>
      </w:pPr>
    </w:p>
    <w:p w:rsidR="003E6781" w:rsidRDefault="003E6781" w:rsidP="00AB067F">
      <w:pPr>
        <w:tabs>
          <w:tab w:val="left" w:pos="900"/>
        </w:tabs>
        <w:adjustRightInd w:val="0"/>
        <w:snapToGrid w:val="0"/>
        <w:spacing w:line="348" w:lineRule="auto"/>
        <w:ind w:right="240" w:firstLineChars="200" w:firstLine="480"/>
        <w:jc w:val="right"/>
        <w:rPr>
          <w:rFonts w:ascii="Times New Roman" w:eastAsiaTheme="minorEastAsia" w:hAnsi="Times New Roman"/>
          <w:sz w:val="24"/>
        </w:rPr>
      </w:pPr>
      <w:r>
        <w:rPr>
          <w:rFonts w:ascii="Times New Roman" w:eastAsiaTheme="minorEastAsia" w:hAnsi="Times New Roman"/>
          <w:sz w:val="24"/>
        </w:rPr>
        <w:t>江苏华西村股份有限公司董事会</w:t>
      </w:r>
    </w:p>
    <w:p w:rsidR="003E6781" w:rsidRDefault="003E6781" w:rsidP="00552875">
      <w:pPr>
        <w:tabs>
          <w:tab w:val="left" w:pos="900"/>
        </w:tabs>
        <w:adjustRightInd w:val="0"/>
        <w:snapToGrid w:val="0"/>
        <w:spacing w:line="348" w:lineRule="auto"/>
        <w:ind w:firstLineChars="2300" w:firstLine="5520"/>
        <w:rPr>
          <w:rFonts w:asciiTheme="minorEastAsia" w:eastAsiaTheme="minorEastAsia" w:hAnsiTheme="minorEastAsia"/>
          <w:sz w:val="24"/>
        </w:rPr>
      </w:pPr>
      <w:r>
        <w:rPr>
          <w:rFonts w:asciiTheme="minorEastAsia" w:eastAsiaTheme="minorEastAsia" w:hAnsiTheme="minorEastAsia" w:hint="eastAsia"/>
          <w:sz w:val="24"/>
        </w:rPr>
        <w:t>2025</w:t>
      </w:r>
      <w:r>
        <w:rPr>
          <w:rFonts w:asciiTheme="minorEastAsia" w:eastAsiaTheme="minorEastAsia" w:hAnsiTheme="minorEastAsia"/>
          <w:sz w:val="24"/>
        </w:rPr>
        <w:t>年</w:t>
      </w:r>
      <w:r>
        <w:rPr>
          <w:rFonts w:asciiTheme="minorEastAsia" w:eastAsiaTheme="minorEastAsia" w:hAnsiTheme="minorEastAsia" w:hint="eastAsia"/>
          <w:sz w:val="24"/>
        </w:rPr>
        <w:t>4</w:t>
      </w:r>
      <w:r>
        <w:rPr>
          <w:rFonts w:asciiTheme="minorEastAsia" w:eastAsiaTheme="minorEastAsia" w:hAnsiTheme="minorEastAsia"/>
          <w:sz w:val="24"/>
        </w:rPr>
        <w:t>月</w:t>
      </w:r>
      <w:r w:rsidR="00552875">
        <w:rPr>
          <w:rFonts w:asciiTheme="minorEastAsia" w:eastAsiaTheme="minorEastAsia" w:hAnsiTheme="minorEastAsia" w:hint="eastAsia"/>
          <w:sz w:val="24"/>
        </w:rPr>
        <w:t>28</w:t>
      </w:r>
      <w:r>
        <w:rPr>
          <w:rFonts w:asciiTheme="minorEastAsia" w:eastAsiaTheme="minorEastAsia" w:hAnsiTheme="minorEastAsia"/>
          <w:sz w:val="24"/>
        </w:rPr>
        <w:t>日</w:t>
      </w:r>
    </w:p>
    <w:sectPr w:rsidR="003E6781" w:rsidSect="00982963">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C3E" w:rsidRDefault="007F1C3E" w:rsidP="00CE4412">
      <w:r>
        <w:separator/>
      </w:r>
    </w:p>
  </w:endnote>
  <w:endnote w:type="continuationSeparator" w:id="0">
    <w:p w:rsidR="007F1C3E" w:rsidRDefault="007F1C3E" w:rsidP="00CE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819106"/>
      <w:docPartObj>
        <w:docPartGallery w:val="Page Numbers (Bottom of Page)"/>
        <w:docPartUnique/>
      </w:docPartObj>
    </w:sdtPr>
    <w:sdtEndPr/>
    <w:sdtContent>
      <w:p w:rsidR="00E80C14" w:rsidRDefault="003060DF">
        <w:pPr>
          <w:pStyle w:val="a4"/>
          <w:jc w:val="center"/>
        </w:pPr>
        <w:r>
          <w:fldChar w:fldCharType="begin"/>
        </w:r>
        <w:r w:rsidR="00E80C14">
          <w:instrText>PAGE   \* MERGEFORMAT</w:instrText>
        </w:r>
        <w:r>
          <w:fldChar w:fldCharType="separate"/>
        </w:r>
        <w:r w:rsidR="00C9015B" w:rsidRPr="00C9015B">
          <w:rPr>
            <w:noProof/>
            <w:lang w:val="zh-CN"/>
          </w:rPr>
          <w:t>4</w:t>
        </w:r>
        <w:r>
          <w:fldChar w:fldCharType="end"/>
        </w:r>
      </w:p>
    </w:sdtContent>
  </w:sdt>
  <w:p w:rsidR="00E80C14" w:rsidRDefault="00E80C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C3E" w:rsidRDefault="007F1C3E" w:rsidP="00CE4412">
      <w:r>
        <w:separator/>
      </w:r>
    </w:p>
  </w:footnote>
  <w:footnote w:type="continuationSeparator" w:id="0">
    <w:p w:rsidR="007F1C3E" w:rsidRDefault="007F1C3E" w:rsidP="00CE44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379C6"/>
    <w:multiLevelType w:val="hybridMultilevel"/>
    <w:tmpl w:val="E4728178"/>
    <w:lvl w:ilvl="0" w:tplc="6DB8842E">
      <w:start w:val="1"/>
      <w:numFmt w:val="decimal"/>
      <w:lvlText w:val="（%1）"/>
      <w:lvlJc w:val="left"/>
      <w:pPr>
        <w:ind w:left="4357" w:hanging="529"/>
      </w:pPr>
      <w:rPr>
        <w:rFonts w:ascii="宋体" w:eastAsia="宋体" w:hAnsi="宋体" w:cs="宋体" w:hint="default"/>
        <w:b w:val="0"/>
        <w:bCs w:val="0"/>
        <w:i w:val="0"/>
        <w:iCs w:val="0"/>
        <w:spacing w:val="0"/>
        <w:w w:val="100"/>
        <w:sz w:val="19"/>
        <w:szCs w:val="19"/>
        <w:lang w:val="en-US" w:eastAsia="zh-CN" w:bidi="ar-SA"/>
      </w:rPr>
    </w:lvl>
    <w:lvl w:ilvl="1" w:tplc="39E6AC14">
      <w:numFmt w:val="bullet"/>
      <w:lvlText w:val="•"/>
      <w:lvlJc w:val="left"/>
      <w:pPr>
        <w:ind w:left="1958" w:hanging="529"/>
      </w:pPr>
      <w:rPr>
        <w:rFonts w:hint="default"/>
        <w:lang w:val="en-US" w:eastAsia="zh-CN" w:bidi="ar-SA"/>
      </w:rPr>
    </w:lvl>
    <w:lvl w:ilvl="2" w:tplc="F2567FCC">
      <w:numFmt w:val="bullet"/>
      <w:lvlText w:val="•"/>
      <w:lvlJc w:val="left"/>
      <w:pPr>
        <w:ind w:left="2717" w:hanging="529"/>
      </w:pPr>
      <w:rPr>
        <w:rFonts w:hint="default"/>
        <w:lang w:val="en-US" w:eastAsia="zh-CN" w:bidi="ar-SA"/>
      </w:rPr>
    </w:lvl>
    <w:lvl w:ilvl="3" w:tplc="3306F156">
      <w:numFmt w:val="bullet"/>
      <w:lvlText w:val="•"/>
      <w:lvlJc w:val="left"/>
      <w:pPr>
        <w:ind w:left="3475" w:hanging="529"/>
      </w:pPr>
      <w:rPr>
        <w:rFonts w:hint="default"/>
        <w:lang w:val="en-US" w:eastAsia="zh-CN" w:bidi="ar-SA"/>
      </w:rPr>
    </w:lvl>
    <w:lvl w:ilvl="4" w:tplc="1A08EB96">
      <w:numFmt w:val="bullet"/>
      <w:lvlText w:val="•"/>
      <w:lvlJc w:val="left"/>
      <w:pPr>
        <w:ind w:left="4234" w:hanging="529"/>
      </w:pPr>
      <w:rPr>
        <w:rFonts w:hint="default"/>
        <w:lang w:val="en-US" w:eastAsia="zh-CN" w:bidi="ar-SA"/>
      </w:rPr>
    </w:lvl>
    <w:lvl w:ilvl="5" w:tplc="7EF27D12">
      <w:numFmt w:val="bullet"/>
      <w:lvlText w:val="•"/>
      <w:lvlJc w:val="left"/>
      <w:pPr>
        <w:ind w:left="4993" w:hanging="529"/>
      </w:pPr>
      <w:rPr>
        <w:rFonts w:hint="default"/>
        <w:lang w:val="en-US" w:eastAsia="zh-CN" w:bidi="ar-SA"/>
      </w:rPr>
    </w:lvl>
    <w:lvl w:ilvl="6" w:tplc="783C1F9C">
      <w:numFmt w:val="bullet"/>
      <w:lvlText w:val="•"/>
      <w:lvlJc w:val="left"/>
      <w:pPr>
        <w:ind w:left="5751" w:hanging="529"/>
      </w:pPr>
      <w:rPr>
        <w:rFonts w:hint="default"/>
        <w:lang w:val="en-US" w:eastAsia="zh-CN" w:bidi="ar-SA"/>
      </w:rPr>
    </w:lvl>
    <w:lvl w:ilvl="7" w:tplc="21B8FBFE">
      <w:numFmt w:val="bullet"/>
      <w:lvlText w:val="•"/>
      <w:lvlJc w:val="left"/>
      <w:pPr>
        <w:ind w:left="6510" w:hanging="529"/>
      </w:pPr>
      <w:rPr>
        <w:rFonts w:hint="default"/>
        <w:lang w:val="en-US" w:eastAsia="zh-CN" w:bidi="ar-SA"/>
      </w:rPr>
    </w:lvl>
    <w:lvl w:ilvl="8" w:tplc="C850196C">
      <w:numFmt w:val="bullet"/>
      <w:lvlText w:val="•"/>
      <w:lvlJc w:val="left"/>
      <w:pPr>
        <w:ind w:left="7268" w:hanging="529"/>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4412"/>
    <w:rsid w:val="00047749"/>
    <w:rsid w:val="0006292D"/>
    <w:rsid w:val="00075486"/>
    <w:rsid w:val="000E4C80"/>
    <w:rsid w:val="001225AC"/>
    <w:rsid w:val="00130100"/>
    <w:rsid w:val="0015087E"/>
    <w:rsid w:val="00176191"/>
    <w:rsid w:val="0019256E"/>
    <w:rsid w:val="001A1FCF"/>
    <w:rsid w:val="001B24AC"/>
    <w:rsid w:val="001E71C7"/>
    <w:rsid w:val="00262A37"/>
    <w:rsid w:val="002751EF"/>
    <w:rsid w:val="00276FA0"/>
    <w:rsid w:val="002B2600"/>
    <w:rsid w:val="003060DF"/>
    <w:rsid w:val="0030667C"/>
    <w:rsid w:val="00325419"/>
    <w:rsid w:val="00345087"/>
    <w:rsid w:val="003D7868"/>
    <w:rsid w:val="003E6781"/>
    <w:rsid w:val="00414CB7"/>
    <w:rsid w:val="00442D5F"/>
    <w:rsid w:val="004A6B4D"/>
    <w:rsid w:val="0051307B"/>
    <w:rsid w:val="0054787F"/>
    <w:rsid w:val="00552875"/>
    <w:rsid w:val="005B4E4E"/>
    <w:rsid w:val="00603C6D"/>
    <w:rsid w:val="0062088E"/>
    <w:rsid w:val="00654629"/>
    <w:rsid w:val="00681ED9"/>
    <w:rsid w:val="006A7389"/>
    <w:rsid w:val="006B5198"/>
    <w:rsid w:val="006D7033"/>
    <w:rsid w:val="007068C0"/>
    <w:rsid w:val="00746ABE"/>
    <w:rsid w:val="00752A30"/>
    <w:rsid w:val="007C1AC7"/>
    <w:rsid w:val="007D0427"/>
    <w:rsid w:val="007D33C0"/>
    <w:rsid w:val="007D7399"/>
    <w:rsid w:val="007F1C3E"/>
    <w:rsid w:val="00807C2A"/>
    <w:rsid w:val="00846A16"/>
    <w:rsid w:val="00977192"/>
    <w:rsid w:val="00982963"/>
    <w:rsid w:val="009A112B"/>
    <w:rsid w:val="009D049E"/>
    <w:rsid w:val="009D5547"/>
    <w:rsid w:val="00AB067F"/>
    <w:rsid w:val="00AD3579"/>
    <w:rsid w:val="00AE59DD"/>
    <w:rsid w:val="00AF7CB7"/>
    <w:rsid w:val="00B13740"/>
    <w:rsid w:val="00B2523B"/>
    <w:rsid w:val="00B53009"/>
    <w:rsid w:val="00B566DF"/>
    <w:rsid w:val="00B87323"/>
    <w:rsid w:val="00BA5580"/>
    <w:rsid w:val="00BB37C9"/>
    <w:rsid w:val="00BD521D"/>
    <w:rsid w:val="00BE01CB"/>
    <w:rsid w:val="00C21D25"/>
    <w:rsid w:val="00C67D87"/>
    <w:rsid w:val="00C775FA"/>
    <w:rsid w:val="00C9015B"/>
    <w:rsid w:val="00C932B3"/>
    <w:rsid w:val="00CE4412"/>
    <w:rsid w:val="00D05A24"/>
    <w:rsid w:val="00D17FC4"/>
    <w:rsid w:val="00D47172"/>
    <w:rsid w:val="00D6435E"/>
    <w:rsid w:val="00D83288"/>
    <w:rsid w:val="00DB2DA1"/>
    <w:rsid w:val="00E07781"/>
    <w:rsid w:val="00E34442"/>
    <w:rsid w:val="00E51C2C"/>
    <w:rsid w:val="00E80C14"/>
    <w:rsid w:val="00EA6E9D"/>
    <w:rsid w:val="00F073F1"/>
    <w:rsid w:val="00F30AD0"/>
    <w:rsid w:val="00F543F3"/>
    <w:rsid w:val="00F743D7"/>
    <w:rsid w:val="00FB1E04"/>
    <w:rsid w:val="00FD08DB"/>
    <w:rsid w:val="00FE5D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41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44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4412"/>
    <w:rPr>
      <w:sz w:val="18"/>
      <w:szCs w:val="18"/>
    </w:rPr>
  </w:style>
  <w:style w:type="paragraph" w:styleId="a4">
    <w:name w:val="footer"/>
    <w:basedOn w:val="a"/>
    <w:link w:val="Char0"/>
    <w:uiPriority w:val="99"/>
    <w:unhideWhenUsed/>
    <w:rsid w:val="00CE4412"/>
    <w:pPr>
      <w:tabs>
        <w:tab w:val="center" w:pos="4153"/>
        <w:tab w:val="right" w:pos="8306"/>
      </w:tabs>
      <w:snapToGrid w:val="0"/>
      <w:jc w:val="left"/>
    </w:pPr>
    <w:rPr>
      <w:sz w:val="18"/>
      <w:szCs w:val="18"/>
    </w:rPr>
  </w:style>
  <w:style w:type="character" w:customStyle="1" w:styleId="Char0">
    <w:name w:val="页脚 Char"/>
    <w:basedOn w:val="a0"/>
    <w:link w:val="a4"/>
    <w:uiPriority w:val="99"/>
    <w:rsid w:val="00CE4412"/>
    <w:rPr>
      <w:sz w:val="18"/>
      <w:szCs w:val="18"/>
    </w:rPr>
  </w:style>
  <w:style w:type="table" w:styleId="a5">
    <w:name w:val="Table Grid"/>
    <w:basedOn w:val="a1"/>
    <w:uiPriority w:val="59"/>
    <w:rsid w:val="007D33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Char1"/>
    <w:uiPriority w:val="99"/>
    <w:semiHidden/>
    <w:unhideWhenUsed/>
    <w:rsid w:val="00603C6D"/>
    <w:pPr>
      <w:spacing w:after="120"/>
    </w:pPr>
  </w:style>
  <w:style w:type="character" w:customStyle="1" w:styleId="Char1">
    <w:name w:val="正文文本 Char"/>
    <w:basedOn w:val="a0"/>
    <w:link w:val="a6"/>
    <w:uiPriority w:val="99"/>
    <w:semiHidden/>
    <w:rsid w:val="00603C6D"/>
    <w:rPr>
      <w:rFonts w:ascii="Calibri" w:eastAsia="宋体" w:hAnsi="Calibri" w:cs="Times New Roman"/>
    </w:rPr>
  </w:style>
  <w:style w:type="character" w:styleId="a7">
    <w:name w:val="annotation reference"/>
    <w:basedOn w:val="a0"/>
    <w:uiPriority w:val="99"/>
    <w:semiHidden/>
    <w:unhideWhenUsed/>
    <w:rsid w:val="0030667C"/>
    <w:rPr>
      <w:sz w:val="21"/>
      <w:szCs w:val="21"/>
    </w:rPr>
  </w:style>
  <w:style w:type="paragraph" w:styleId="a8">
    <w:name w:val="annotation text"/>
    <w:basedOn w:val="a"/>
    <w:link w:val="Char2"/>
    <w:uiPriority w:val="99"/>
    <w:semiHidden/>
    <w:unhideWhenUsed/>
    <w:rsid w:val="0030667C"/>
    <w:pPr>
      <w:jc w:val="left"/>
    </w:pPr>
  </w:style>
  <w:style w:type="character" w:customStyle="1" w:styleId="Char2">
    <w:name w:val="批注文字 Char"/>
    <w:basedOn w:val="a0"/>
    <w:link w:val="a8"/>
    <w:uiPriority w:val="99"/>
    <w:semiHidden/>
    <w:rsid w:val="0030667C"/>
    <w:rPr>
      <w:rFonts w:ascii="Calibri" w:eastAsia="宋体" w:hAnsi="Calibri" w:cs="Times New Roman"/>
    </w:rPr>
  </w:style>
  <w:style w:type="paragraph" w:styleId="a9">
    <w:name w:val="annotation subject"/>
    <w:basedOn w:val="a8"/>
    <w:next w:val="a8"/>
    <w:link w:val="Char3"/>
    <w:uiPriority w:val="99"/>
    <w:semiHidden/>
    <w:unhideWhenUsed/>
    <w:rsid w:val="0030667C"/>
    <w:rPr>
      <w:b/>
      <w:bCs/>
    </w:rPr>
  </w:style>
  <w:style w:type="character" w:customStyle="1" w:styleId="Char3">
    <w:name w:val="批注主题 Char"/>
    <w:basedOn w:val="Char2"/>
    <w:link w:val="a9"/>
    <w:uiPriority w:val="99"/>
    <w:semiHidden/>
    <w:rsid w:val="0030667C"/>
    <w:rPr>
      <w:rFonts w:ascii="Calibri" w:eastAsia="宋体" w:hAnsi="Calibri" w:cs="Times New Roman"/>
      <w:b/>
      <w:bCs/>
    </w:rPr>
  </w:style>
  <w:style w:type="paragraph" w:styleId="aa">
    <w:name w:val="Balloon Text"/>
    <w:basedOn w:val="a"/>
    <w:link w:val="Char4"/>
    <w:uiPriority w:val="99"/>
    <w:semiHidden/>
    <w:unhideWhenUsed/>
    <w:rsid w:val="0030667C"/>
    <w:rPr>
      <w:sz w:val="18"/>
      <w:szCs w:val="18"/>
    </w:rPr>
  </w:style>
  <w:style w:type="character" w:customStyle="1" w:styleId="Char4">
    <w:name w:val="批注框文本 Char"/>
    <w:basedOn w:val="a0"/>
    <w:link w:val="aa"/>
    <w:uiPriority w:val="99"/>
    <w:semiHidden/>
    <w:rsid w:val="0030667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69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5</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zbc1</dc:creator>
  <cp:keywords/>
  <dc:description/>
  <cp:lastModifiedBy>Lenovo</cp:lastModifiedBy>
  <cp:revision>112</cp:revision>
  <dcterms:created xsi:type="dcterms:W3CDTF">2022-04-26T00:37:00Z</dcterms:created>
  <dcterms:modified xsi:type="dcterms:W3CDTF">2025-04-27T05:18:00Z</dcterms:modified>
</cp:coreProperties>
</file>