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12A66" w14:textId="77777777" w:rsidR="00E52760" w:rsidRPr="00F20E36" w:rsidRDefault="00BC326B" w:rsidP="00F20E36">
      <w:pPr>
        <w:autoSpaceDE w:val="0"/>
        <w:autoSpaceDN w:val="0"/>
        <w:adjustRightInd w:val="0"/>
        <w:spacing w:line="360" w:lineRule="auto"/>
        <w:ind w:rightChars="30" w:right="63"/>
        <w:jc w:val="center"/>
        <w:rPr>
          <w:rFonts w:ascii="黑体" w:eastAsia="黑体" w:hAnsi="黑体" w:cs="宋体"/>
          <w:b/>
          <w:kern w:val="0"/>
          <w:sz w:val="30"/>
          <w:szCs w:val="30"/>
        </w:rPr>
      </w:pPr>
      <w:r w:rsidRPr="00F20E36">
        <w:rPr>
          <w:rFonts w:ascii="黑体" w:eastAsia="黑体" w:hAnsi="黑体" w:cs="宋体" w:hint="eastAsia"/>
          <w:b/>
          <w:kern w:val="0"/>
          <w:sz w:val="30"/>
          <w:szCs w:val="30"/>
        </w:rPr>
        <w:t>江苏华西村股份有限公司</w:t>
      </w:r>
    </w:p>
    <w:p w14:paraId="52F1E398" w14:textId="5E936D33" w:rsidR="00DD3058" w:rsidRDefault="00BC326B" w:rsidP="00F20E36">
      <w:pPr>
        <w:autoSpaceDE w:val="0"/>
        <w:autoSpaceDN w:val="0"/>
        <w:adjustRightInd w:val="0"/>
        <w:spacing w:line="360" w:lineRule="auto"/>
        <w:ind w:rightChars="30" w:right="63"/>
        <w:jc w:val="center"/>
        <w:rPr>
          <w:rFonts w:ascii="黑体" w:eastAsia="黑体" w:hAnsi="黑体" w:cs="宋体"/>
          <w:b/>
          <w:kern w:val="0"/>
          <w:sz w:val="30"/>
          <w:szCs w:val="30"/>
        </w:rPr>
      </w:pPr>
      <w:r w:rsidRPr="00F20E36">
        <w:rPr>
          <w:rFonts w:ascii="黑体" w:eastAsia="黑体" w:hAnsi="黑体" w:cs="宋体" w:hint="eastAsia"/>
          <w:b/>
          <w:kern w:val="0"/>
          <w:sz w:val="30"/>
          <w:szCs w:val="30"/>
        </w:rPr>
        <w:t>投资者关系管理制度</w:t>
      </w:r>
    </w:p>
    <w:p w14:paraId="06B78A91" w14:textId="43A3BBE1" w:rsidR="00F20E36" w:rsidRPr="00CB5946" w:rsidRDefault="00CB5946" w:rsidP="00302DD4">
      <w:pPr>
        <w:autoSpaceDE w:val="0"/>
        <w:autoSpaceDN w:val="0"/>
        <w:adjustRightInd w:val="0"/>
        <w:ind w:rightChars="30" w:right="63"/>
        <w:jc w:val="center"/>
        <w:rPr>
          <w:rFonts w:ascii="楷体" w:eastAsia="楷体" w:hAnsi="楷体" w:cs="宋体"/>
          <w:kern w:val="0"/>
          <w:sz w:val="28"/>
          <w:szCs w:val="28"/>
        </w:rPr>
      </w:pPr>
      <w:r w:rsidRPr="00CB5946">
        <w:rPr>
          <w:rFonts w:ascii="楷体" w:eastAsia="楷体" w:hAnsi="楷体" w:cs="宋体"/>
          <w:kern w:val="0"/>
          <w:sz w:val="28"/>
          <w:szCs w:val="28"/>
        </w:rPr>
        <w:t>（修订稿）</w:t>
      </w:r>
    </w:p>
    <w:p w14:paraId="5FEFC682" w14:textId="5C722930" w:rsidR="00F20E36" w:rsidRDefault="00F20E36" w:rsidP="00F20E36">
      <w:pPr>
        <w:adjustRightInd w:val="0"/>
        <w:snapToGrid w:val="0"/>
        <w:spacing w:line="360" w:lineRule="auto"/>
        <w:ind w:firstLineChars="141" w:firstLine="338"/>
        <w:jc w:val="center"/>
        <w:rPr>
          <w:rFonts w:ascii="宋体" w:hAnsi="宋体" w:cs="宋体"/>
          <w:sz w:val="24"/>
        </w:rPr>
      </w:pPr>
      <w:bookmarkStart w:id="0" w:name="OLE_LINK3"/>
      <w:r>
        <w:rPr>
          <w:rFonts w:ascii="宋体" w:hAnsi="宋体" w:hint="eastAsia"/>
          <w:sz w:val="24"/>
        </w:rPr>
        <w:t>（经公司</w:t>
      </w:r>
      <w:r>
        <w:rPr>
          <w:rFonts w:ascii="宋体" w:hAnsi="宋体" w:hint="eastAsia"/>
          <w:sz w:val="24"/>
          <w:lang w:eastAsia="zh-TW"/>
        </w:rPr>
        <w:t>202</w:t>
      </w:r>
      <w:r>
        <w:rPr>
          <w:rFonts w:ascii="宋体" w:hAnsi="宋体" w:hint="eastAsia"/>
          <w:sz w:val="24"/>
        </w:rPr>
        <w:t>5年4月</w:t>
      </w:r>
      <w:r w:rsidR="00203C6F">
        <w:rPr>
          <w:rFonts w:ascii="宋体" w:hAnsi="宋体" w:hint="eastAsia"/>
          <w:sz w:val="24"/>
        </w:rPr>
        <w:t>28</w:t>
      </w:r>
      <w:r>
        <w:rPr>
          <w:rFonts w:ascii="宋体" w:hAnsi="宋体" w:hint="eastAsia"/>
          <w:sz w:val="24"/>
        </w:rPr>
        <w:t>日召开的第九届董事会第七次会议审议通过</w:t>
      </w:r>
      <w:r>
        <w:rPr>
          <w:rFonts w:ascii="宋体" w:hAnsi="宋体" w:cs="宋体" w:hint="eastAsia"/>
          <w:sz w:val="24"/>
        </w:rPr>
        <w:t>）</w:t>
      </w:r>
      <w:bookmarkEnd w:id="0"/>
    </w:p>
    <w:p w14:paraId="71AEBE22" w14:textId="77777777" w:rsidR="00CB5946" w:rsidRDefault="00CB5946" w:rsidP="00CB5946">
      <w:pPr>
        <w:pStyle w:val="a4"/>
        <w:adjustRightInd w:val="0"/>
        <w:snapToGrid w:val="0"/>
        <w:spacing w:before="0" w:beforeAutospacing="0" w:after="0" w:afterAutospacing="0" w:line="360" w:lineRule="auto"/>
        <w:jc w:val="center"/>
        <w:rPr>
          <w:b/>
          <w:bCs/>
          <w:sz w:val="24"/>
          <w:szCs w:val="24"/>
        </w:rPr>
      </w:pPr>
    </w:p>
    <w:p w14:paraId="21D69C71" w14:textId="12ADADB6" w:rsidR="00DD3058" w:rsidRPr="00BC326B" w:rsidRDefault="00BC326B" w:rsidP="00F20E36">
      <w:pPr>
        <w:pStyle w:val="a4"/>
        <w:adjustRightInd w:val="0"/>
        <w:snapToGrid w:val="0"/>
        <w:spacing w:line="360" w:lineRule="auto"/>
        <w:jc w:val="center"/>
        <w:rPr>
          <w:rStyle w:val="da1"/>
          <w:b/>
          <w:bCs/>
          <w:sz w:val="24"/>
          <w:szCs w:val="24"/>
        </w:rPr>
      </w:pPr>
      <w:r w:rsidRPr="00BC326B">
        <w:rPr>
          <w:rFonts w:hint="eastAsia"/>
          <w:b/>
          <w:bCs/>
          <w:sz w:val="24"/>
          <w:szCs w:val="24"/>
        </w:rPr>
        <w:t xml:space="preserve">第一章  </w:t>
      </w:r>
      <w:r w:rsidRPr="00BC326B">
        <w:rPr>
          <w:rStyle w:val="da1"/>
          <w:rFonts w:hint="eastAsia"/>
          <w:b/>
          <w:bCs/>
          <w:sz w:val="24"/>
          <w:szCs w:val="24"/>
        </w:rPr>
        <w:t>总  则</w:t>
      </w:r>
    </w:p>
    <w:p w14:paraId="054BA05C" w14:textId="3B376DAA" w:rsidR="00F20E3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第一条　为推动江苏华西村股份有限公司</w:t>
      </w:r>
      <w:r w:rsidR="00302DD4" w:rsidRPr="00BC326B">
        <w:rPr>
          <w:rStyle w:val="da1"/>
          <w:rFonts w:hint="eastAsia"/>
          <w:sz w:val="24"/>
          <w:szCs w:val="24"/>
        </w:rPr>
        <w:t>（以下简称“公司”）</w:t>
      </w:r>
      <w:r w:rsidRPr="00BC326B">
        <w:rPr>
          <w:rStyle w:val="da1"/>
          <w:rFonts w:hint="eastAsia"/>
          <w:sz w:val="24"/>
          <w:szCs w:val="24"/>
        </w:rPr>
        <w:t>完善治理结构，规范公司投资者关系管理工作，促进证券市场健康发展，根据《中华人民共和国公司法》《中华人民共和国证券法》《上市公司投资者关系管理工作指引》《</w:t>
      </w:r>
      <w:r w:rsidRPr="00BC326B">
        <w:rPr>
          <w:rStyle w:val="da1"/>
          <w:sz w:val="24"/>
          <w:szCs w:val="24"/>
        </w:rPr>
        <w:t>深圳证券交易所股票上市规则</w:t>
      </w:r>
      <w:r w:rsidRPr="00BC326B">
        <w:rPr>
          <w:rStyle w:val="da1"/>
          <w:rFonts w:hint="eastAsia"/>
          <w:sz w:val="24"/>
          <w:szCs w:val="24"/>
        </w:rPr>
        <w:t>》等法律法规，结合公司实际情况，制定本制度。</w:t>
      </w:r>
    </w:p>
    <w:p w14:paraId="7D2F63C2" w14:textId="61AAE5EE" w:rsidR="00F20E3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第二条　投资者关系管理是指公司通过各种方式的投资者关系活动，加强与投资者和潜在投资者之间的沟通，增进投资者对公司了解和认同，以提升公司治理水平和企业整体价值，实现尊重投资者、回报投资者、保护投资者目的的相关活动。</w:t>
      </w:r>
    </w:p>
    <w:p w14:paraId="0DB9198A" w14:textId="77777777" w:rsidR="00F20E3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第三条　公司投资者关系管理的基本原则是：</w:t>
      </w:r>
    </w:p>
    <w:p w14:paraId="77F48A5C" w14:textId="77777777" w:rsidR="00F20E3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（一）合规性原则。公司投资者关系管理应当在依法履行信息披露义务的基础上开展，符合法律、法规、规章及规范性文件、行业规范和自律规则、公司内部规章制度，以及行业普遍遵守的道德规范和行为准则。</w:t>
      </w:r>
    </w:p>
    <w:p w14:paraId="5BDFD4F2" w14:textId="77777777" w:rsidR="00F20E3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（二）平等性原则。公司开展投资者关系管理活动，应当平等对待所有投资者，尤其为中小投资者参与活动创造机会、提供便利。</w:t>
      </w:r>
    </w:p>
    <w:p w14:paraId="430E3BB8" w14:textId="77777777" w:rsidR="00F20E3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（三）主动性原则。公司应当主动开展投资者关系管理活动，听取投资者意见建议，及时回应投资者诉求。</w:t>
      </w:r>
    </w:p>
    <w:p w14:paraId="23369CA7" w14:textId="77777777" w:rsidR="00F20E3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（四）诚实守信原则。公司在投资者关系管理活动中应当注重诚信、坚守底线、规范运作、担当责任，营造健康良好的市场生态。</w:t>
      </w:r>
    </w:p>
    <w:p w14:paraId="325AAD68" w14:textId="77777777" w:rsidR="00F20E3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Style w:val="da1"/>
          <w:rFonts w:hint="eastAsia"/>
          <w:sz w:val="24"/>
          <w:szCs w:val="24"/>
        </w:rPr>
        <w:t xml:space="preserve">第四条　</w:t>
      </w:r>
      <w:r w:rsidRPr="00BC326B">
        <w:rPr>
          <w:rFonts w:hint="eastAsia"/>
          <w:color w:val="000000"/>
          <w:sz w:val="24"/>
          <w:szCs w:val="24"/>
        </w:rPr>
        <w:t>公司以及董事、高级管理人员和工作人员开展投资者关系管理工作，应当遵守相关规定，不得出现以下情形：</w:t>
      </w:r>
    </w:p>
    <w:p w14:paraId="4C95FEF0" w14:textId="77777777" w:rsidR="00F20E3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lastRenderedPageBreak/>
        <w:t>（一）透露或者发布尚未公开的重大事件信息，或者与依法披露的信息相冲突的信息；</w:t>
      </w:r>
      <w:r w:rsidRPr="00BC326B">
        <w:rPr>
          <w:rFonts w:hint="eastAsia"/>
          <w:color w:val="000000"/>
          <w:sz w:val="24"/>
          <w:szCs w:val="24"/>
        </w:rPr>
        <w:br/>
      </w:r>
      <w:r w:rsidRPr="00BC326B">
        <w:rPr>
          <w:rStyle w:val="da1"/>
          <w:rFonts w:hint="eastAsia"/>
          <w:sz w:val="24"/>
          <w:szCs w:val="24"/>
        </w:rPr>
        <w:t xml:space="preserve">　　</w:t>
      </w:r>
      <w:r w:rsidRPr="00BC326B">
        <w:rPr>
          <w:rFonts w:hint="eastAsia"/>
          <w:color w:val="000000"/>
          <w:sz w:val="24"/>
          <w:szCs w:val="24"/>
        </w:rPr>
        <w:t>（二）透露或者发布含有误导性、虚假性或者夸大性的信息；</w:t>
      </w:r>
    </w:p>
    <w:p w14:paraId="12F2B016" w14:textId="77777777" w:rsidR="00F20E3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（三）选择性透露或者发布信息，或者存在重大遗漏；</w:t>
      </w:r>
    </w:p>
    <w:p w14:paraId="1FC0BAB0" w14:textId="77777777" w:rsidR="00F20E3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（四）对公司股票及其衍生品种价格作出预期或者承诺；</w:t>
      </w:r>
    </w:p>
    <w:p w14:paraId="6A1EF444" w14:textId="77777777" w:rsidR="00F20E3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（五）未得到明确授权的情况下代表公司发言；</w:t>
      </w:r>
    </w:p>
    <w:p w14:paraId="1607CD82" w14:textId="77777777" w:rsidR="00F20E3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（六）歧视、轻视等不公平对待中小股东或者造成不公平披露的行为；</w:t>
      </w:r>
    </w:p>
    <w:p w14:paraId="55F8C9E3" w14:textId="77777777" w:rsidR="00F20E36" w:rsidRPr="00BC326B" w:rsidRDefault="00F20E36"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w:t>
      </w:r>
      <w:r w:rsidR="00BC326B" w:rsidRPr="00BC326B">
        <w:rPr>
          <w:rFonts w:hint="eastAsia"/>
          <w:color w:val="000000"/>
          <w:sz w:val="24"/>
          <w:szCs w:val="24"/>
        </w:rPr>
        <w:t>七）违反公序良俗，损害社会公共利益；</w:t>
      </w:r>
    </w:p>
    <w:p w14:paraId="028615A9" w14:textId="1A92A859" w:rsidR="00DD3058"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（八）其他违反信息披露规则或者涉嫌操纵证券市场、内幕交易等违法违规行为。</w:t>
      </w:r>
    </w:p>
    <w:p w14:paraId="2CA9CB7B" w14:textId="77777777" w:rsidR="00AD4846" w:rsidRPr="00BC326B" w:rsidRDefault="00AD4846" w:rsidP="00E85DE0">
      <w:pPr>
        <w:pStyle w:val="a4"/>
        <w:adjustRightInd w:val="0"/>
        <w:snapToGrid w:val="0"/>
        <w:spacing w:before="0" w:beforeAutospacing="0" w:after="0" w:afterAutospacing="0" w:line="360" w:lineRule="auto"/>
        <w:ind w:firstLine="480"/>
        <w:jc w:val="both"/>
        <w:rPr>
          <w:color w:val="000000"/>
          <w:sz w:val="24"/>
          <w:szCs w:val="24"/>
        </w:rPr>
      </w:pPr>
    </w:p>
    <w:p w14:paraId="025DDF24" w14:textId="77777777" w:rsidR="00DD3058" w:rsidRPr="00BC326B" w:rsidRDefault="00BC326B" w:rsidP="00E85DE0">
      <w:pPr>
        <w:pStyle w:val="a4"/>
        <w:adjustRightInd w:val="0"/>
        <w:snapToGrid w:val="0"/>
        <w:spacing w:before="0" w:beforeAutospacing="0" w:after="0" w:afterAutospacing="0" w:line="360" w:lineRule="auto"/>
        <w:jc w:val="center"/>
        <w:rPr>
          <w:b/>
          <w:bCs/>
          <w:sz w:val="24"/>
          <w:szCs w:val="24"/>
        </w:rPr>
      </w:pPr>
      <w:r w:rsidRPr="00BC326B">
        <w:rPr>
          <w:rFonts w:hint="eastAsia"/>
          <w:b/>
          <w:bCs/>
          <w:sz w:val="24"/>
          <w:szCs w:val="24"/>
        </w:rPr>
        <w:t>第二章  投资者关系管理的对象、内容和方式</w:t>
      </w:r>
    </w:p>
    <w:p w14:paraId="08F0092D" w14:textId="77777777" w:rsidR="00AD4846" w:rsidRPr="00BC326B" w:rsidRDefault="00AD4846" w:rsidP="00E85DE0">
      <w:pPr>
        <w:pStyle w:val="a4"/>
        <w:adjustRightInd w:val="0"/>
        <w:snapToGrid w:val="0"/>
        <w:spacing w:before="0" w:beforeAutospacing="0" w:after="0" w:afterAutospacing="0" w:line="360" w:lineRule="auto"/>
        <w:jc w:val="both"/>
        <w:rPr>
          <w:b/>
          <w:bCs/>
          <w:sz w:val="24"/>
          <w:szCs w:val="24"/>
        </w:rPr>
      </w:pPr>
    </w:p>
    <w:p w14:paraId="21A082F8" w14:textId="49AEDAF5" w:rsidR="00F20E3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第五条　投资者关系工作的工作对象</w:t>
      </w:r>
      <w:r w:rsidRPr="00BC326B">
        <w:rPr>
          <w:rStyle w:val="da1"/>
          <w:sz w:val="24"/>
          <w:szCs w:val="24"/>
        </w:rPr>
        <w:t>：</w:t>
      </w:r>
    </w:p>
    <w:p w14:paraId="12B1E49B" w14:textId="77777777" w:rsidR="00F20E3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（一）</w:t>
      </w:r>
      <w:r w:rsidRPr="00BC326B">
        <w:rPr>
          <w:rStyle w:val="da1"/>
          <w:rFonts w:hint="eastAsia"/>
          <w:sz w:val="24"/>
          <w:szCs w:val="24"/>
        </w:rPr>
        <w:t>投资者（包括在册投资者和潜在投资者）</w:t>
      </w:r>
      <w:r w:rsidRPr="00BC326B">
        <w:rPr>
          <w:rStyle w:val="da1"/>
          <w:sz w:val="24"/>
          <w:szCs w:val="24"/>
        </w:rPr>
        <w:t>；</w:t>
      </w:r>
    </w:p>
    <w:p w14:paraId="1BE6F5B0" w14:textId="77777777" w:rsidR="00F20E3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（二）</w:t>
      </w:r>
      <w:r w:rsidRPr="00BC326B">
        <w:rPr>
          <w:rStyle w:val="da1"/>
          <w:rFonts w:hint="eastAsia"/>
          <w:sz w:val="24"/>
          <w:szCs w:val="24"/>
        </w:rPr>
        <w:t>证券分析师及行业分析师</w:t>
      </w:r>
      <w:r w:rsidRPr="00BC326B">
        <w:rPr>
          <w:rStyle w:val="da1"/>
          <w:sz w:val="24"/>
          <w:szCs w:val="24"/>
        </w:rPr>
        <w:t>；</w:t>
      </w:r>
    </w:p>
    <w:p w14:paraId="31911A26" w14:textId="77777777" w:rsidR="00F20E3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（三）</w:t>
      </w:r>
      <w:r w:rsidRPr="00BC326B">
        <w:rPr>
          <w:rStyle w:val="da1"/>
          <w:rFonts w:hint="eastAsia"/>
          <w:sz w:val="24"/>
          <w:szCs w:val="24"/>
        </w:rPr>
        <w:t>财经媒体及行业媒体等传播媒介</w:t>
      </w:r>
      <w:r w:rsidRPr="00BC326B">
        <w:rPr>
          <w:rStyle w:val="da1"/>
          <w:sz w:val="24"/>
          <w:szCs w:val="24"/>
        </w:rPr>
        <w:t>；</w:t>
      </w:r>
    </w:p>
    <w:p w14:paraId="2B85C8A8" w14:textId="77777777" w:rsidR="00F20E3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（四）</w:t>
      </w:r>
      <w:r w:rsidRPr="00BC326B">
        <w:rPr>
          <w:rStyle w:val="da1"/>
          <w:rFonts w:hint="eastAsia"/>
          <w:sz w:val="24"/>
          <w:szCs w:val="24"/>
        </w:rPr>
        <w:t>监管部门等相关政府机构</w:t>
      </w:r>
      <w:r w:rsidRPr="00BC326B">
        <w:rPr>
          <w:rStyle w:val="da1"/>
          <w:sz w:val="24"/>
          <w:szCs w:val="24"/>
        </w:rPr>
        <w:t>；</w:t>
      </w:r>
    </w:p>
    <w:p w14:paraId="3F89035B" w14:textId="77777777" w:rsidR="00F20E3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（五）</w:t>
      </w:r>
      <w:r w:rsidRPr="00BC326B">
        <w:rPr>
          <w:rStyle w:val="da1"/>
          <w:rFonts w:hint="eastAsia"/>
          <w:sz w:val="24"/>
          <w:szCs w:val="24"/>
        </w:rPr>
        <w:t>其他相关个人和机构。</w:t>
      </w:r>
    </w:p>
    <w:p w14:paraId="1ED65728" w14:textId="77777777" w:rsidR="00F20E3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 xml:space="preserve">第六条　</w:t>
      </w:r>
      <w:r w:rsidRPr="00BC326B">
        <w:rPr>
          <w:rStyle w:val="da1"/>
          <w:sz w:val="24"/>
          <w:szCs w:val="24"/>
        </w:rPr>
        <w:t>投资者关系管理中公司与投资者沟通的内容主要包括：</w:t>
      </w:r>
    </w:p>
    <w:p w14:paraId="3F181FF9" w14:textId="77777777" w:rsidR="00F20E3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（一）公司的发展战略；</w:t>
      </w:r>
    </w:p>
    <w:p w14:paraId="61797F48" w14:textId="77777777" w:rsidR="00F20E3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（二）法定信息披露内容；</w:t>
      </w:r>
    </w:p>
    <w:p w14:paraId="11D51A90" w14:textId="77777777" w:rsidR="00F20E3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（三）公司的经营管理信息；</w:t>
      </w:r>
    </w:p>
    <w:p w14:paraId="5F2188A5" w14:textId="77777777" w:rsidR="00F20E3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（四）公司的环境、社会和治理信息；</w:t>
      </w:r>
    </w:p>
    <w:p w14:paraId="6F13FC1A" w14:textId="6E0BA313" w:rsidR="00F20E36" w:rsidRPr="00BC326B" w:rsidRDefault="00F20E36"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w:t>
      </w:r>
      <w:r w:rsidR="00BC326B" w:rsidRPr="00BC326B">
        <w:rPr>
          <w:rStyle w:val="da1"/>
          <w:sz w:val="24"/>
          <w:szCs w:val="24"/>
        </w:rPr>
        <w:t>五）公司的文化建设；</w:t>
      </w:r>
    </w:p>
    <w:p w14:paraId="44DF7CAE"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（六）股东权利行使的方式、途径和程序等；</w:t>
      </w:r>
    </w:p>
    <w:p w14:paraId="5AECD913"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（七）投资者诉求处理信息；</w:t>
      </w:r>
    </w:p>
    <w:p w14:paraId="43C5831B"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（八）公司正在或者可能面临的风险和挑战；</w:t>
      </w:r>
    </w:p>
    <w:p w14:paraId="2F0B7288"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（九）公司的其他相关信息。</w:t>
      </w:r>
    </w:p>
    <w:p w14:paraId="2720C4FA"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第七条　公司与投资者沟通的方式包括但不限于</w:t>
      </w:r>
      <w:r w:rsidRPr="00BC326B">
        <w:rPr>
          <w:rStyle w:val="da1"/>
          <w:sz w:val="24"/>
          <w:szCs w:val="24"/>
        </w:rPr>
        <w:t>：</w:t>
      </w:r>
    </w:p>
    <w:p w14:paraId="36AD6AD1"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lastRenderedPageBreak/>
        <w:t>（一）</w:t>
      </w:r>
      <w:r w:rsidRPr="00BC326B">
        <w:rPr>
          <w:rStyle w:val="da1"/>
          <w:rFonts w:hint="eastAsia"/>
          <w:sz w:val="24"/>
          <w:szCs w:val="24"/>
        </w:rPr>
        <w:t>公告，包括定期报告和临时报告</w:t>
      </w:r>
      <w:r w:rsidRPr="00BC326B">
        <w:rPr>
          <w:rStyle w:val="da1"/>
          <w:sz w:val="24"/>
          <w:szCs w:val="24"/>
        </w:rPr>
        <w:t>；</w:t>
      </w:r>
    </w:p>
    <w:p w14:paraId="167847CA"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（二）</w:t>
      </w:r>
      <w:r w:rsidRPr="00BC326B">
        <w:rPr>
          <w:rStyle w:val="da1"/>
          <w:rFonts w:hint="eastAsia"/>
          <w:sz w:val="24"/>
          <w:szCs w:val="24"/>
        </w:rPr>
        <w:t>股东会</w:t>
      </w:r>
      <w:r w:rsidRPr="00BC326B">
        <w:rPr>
          <w:rStyle w:val="da1"/>
          <w:sz w:val="24"/>
          <w:szCs w:val="24"/>
        </w:rPr>
        <w:t>；</w:t>
      </w:r>
    </w:p>
    <w:p w14:paraId="3BEB0ECE"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（三）公司</w:t>
      </w:r>
      <w:r w:rsidRPr="00BC326B">
        <w:rPr>
          <w:rStyle w:val="da1"/>
          <w:rFonts w:hint="eastAsia"/>
          <w:sz w:val="24"/>
          <w:szCs w:val="24"/>
        </w:rPr>
        <w:t>网站</w:t>
      </w:r>
      <w:r w:rsidRPr="00BC326B">
        <w:rPr>
          <w:rStyle w:val="da1"/>
          <w:sz w:val="24"/>
          <w:szCs w:val="24"/>
        </w:rPr>
        <w:t>；</w:t>
      </w:r>
    </w:p>
    <w:p w14:paraId="351A2311"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（四）</w:t>
      </w:r>
      <w:r w:rsidRPr="00BC326B">
        <w:rPr>
          <w:rStyle w:val="da1"/>
          <w:rFonts w:hint="eastAsia"/>
          <w:sz w:val="24"/>
          <w:szCs w:val="24"/>
        </w:rPr>
        <w:t>分析师会议或说明会</w:t>
      </w:r>
      <w:r w:rsidRPr="00BC326B">
        <w:rPr>
          <w:rStyle w:val="da1"/>
          <w:sz w:val="24"/>
          <w:szCs w:val="24"/>
        </w:rPr>
        <w:t>；</w:t>
      </w:r>
    </w:p>
    <w:p w14:paraId="1E33B6A5"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（五）</w:t>
      </w:r>
      <w:r w:rsidRPr="00BC326B">
        <w:rPr>
          <w:rStyle w:val="da1"/>
          <w:rFonts w:hint="eastAsia"/>
          <w:sz w:val="24"/>
          <w:szCs w:val="24"/>
        </w:rPr>
        <w:t>一对一沟通</w:t>
      </w:r>
      <w:r w:rsidRPr="00BC326B">
        <w:rPr>
          <w:rStyle w:val="da1"/>
          <w:sz w:val="24"/>
          <w:szCs w:val="24"/>
        </w:rPr>
        <w:t>；</w:t>
      </w:r>
    </w:p>
    <w:p w14:paraId="3D0A5273"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（六）</w:t>
      </w:r>
      <w:r w:rsidRPr="00BC326B">
        <w:rPr>
          <w:rStyle w:val="da1"/>
          <w:rFonts w:hint="eastAsia"/>
          <w:sz w:val="24"/>
          <w:szCs w:val="24"/>
        </w:rPr>
        <w:t>邮寄资料</w:t>
      </w:r>
      <w:r w:rsidRPr="00BC326B">
        <w:rPr>
          <w:rStyle w:val="da1"/>
          <w:sz w:val="24"/>
          <w:szCs w:val="24"/>
        </w:rPr>
        <w:t>；</w:t>
      </w:r>
    </w:p>
    <w:p w14:paraId="7A89FE86"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（七）</w:t>
      </w:r>
      <w:r w:rsidRPr="00BC326B">
        <w:rPr>
          <w:rStyle w:val="da1"/>
          <w:rFonts w:hint="eastAsia"/>
          <w:sz w:val="24"/>
          <w:szCs w:val="24"/>
        </w:rPr>
        <w:t>电话咨询</w:t>
      </w:r>
      <w:r w:rsidRPr="00BC326B">
        <w:rPr>
          <w:rStyle w:val="da1"/>
          <w:sz w:val="24"/>
          <w:szCs w:val="24"/>
        </w:rPr>
        <w:t>；</w:t>
      </w:r>
    </w:p>
    <w:p w14:paraId="65DC0E3B"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（八）</w:t>
      </w:r>
      <w:r w:rsidRPr="00BC326B">
        <w:rPr>
          <w:rStyle w:val="da1"/>
          <w:rFonts w:hint="eastAsia"/>
          <w:sz w:val="24"/>
          <w:szCs w:val="24"/>
        </w:rPr>
        <w:t>现场参观</w:t>
      </w:r>
      <w:r w:rsidRPr="00BC326B">
        <w:rPr>
          <w:rStyle w:val="da1"/>
          <w:sz w:val="24"/>
          <w:szCs w:val="24"/>
        </w:rPr>
        <w:t>；</w:t>
      </w:r>
    </w:p>
    <w:p w14:paraId="41A4840F"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Style w:val="da1"/>
          <w:sz w:val="24"/>
          <w:szCs w:val="24"/>
        </w:rPr>
        <w:t>（</w:t>
      </w:r>
      <w:r w:rsidRPr="00BC326B">
        <w:rPr>
          <w:rStyle w:val="da1"/>
          <w:rFonts w:hint="eastAsia"/>
          <w:sz w:val="24"/>
          <w:szCs w:val="24"/>
        </w:rPr>
        <w:t>九</w:t>
      </w:r>
      <w:r w:rsidRPr="00BC326B">
        <w:rPr>
          <w:rStyle w:val="da1"/>
          <w:sz w:val="24"/>
          <w:szCs w:val="24"/>
        </w:rPr>
        <w:t>）</w:t>
      </w:r>
      <w:r w:rsidRPr="00BC326B">
        <w:rPr>
          <w:rFonts w:hint="eastAsia"/>
          <w:color w:val="000000"/>
          <w:sz w:val="24"/>
          <w:szCs w:val="24"/>
        </w:rPr>
        <w:t>广告、宣传单或其他宣传材料；</w:t>
      </w:r>
    </w:p>
    <w:p w14:paraId="6867CE72"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Style w:val="da1"/>
          <w:sz w:val="24"/>
          <w:szCs w:val="24"/>
        </w:rPr>
        <w:t>（</w:t>
      </w:r>
      <w:r w:rsidRPr="00BC326B">
        <w:rPr>
          <w:rStyle w:val="da1"/>
          <w:rFonts w:hint="eastAsia"/>
          <w:sz w:val="24"/>
          <w:szCs w:val="24"/>
        </w:rPr>
        <w:t>十</w:t>
      </w:r>
      <w:r w:rsidRPr="00BC326B">
        <w:rPr>
          <w:rStyle w:val="da1"/>
          <w:sz w:val="24"/>
          <w:szCs w:val="24"/>
        </w:rPr>
        <w:t>）</w:t>
      </w:r>
      <w:r w:rsidRPr="00BC326B">
        <w:rPr>
          <w:rFonts w:hint="eastAsia"/>
          <w:color w:val="000000"/>
          <w:sz w:val="24"/>
          <w:szCs w:val="24"/>
        </w:rPr>
        <w:t>媒体采访和报道；</w:t>
      </w:r>
    </w:p>
    <w:p w14:paraId="768E7C05"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Style w:val="da1"/>
          <w:sz w:val="24"/>
          <w:szCs w:val="24"/>
        </w:rPr>
        <w:t>（</w:t>
      </w:r>
      <w:r w:rsidRPr="00BC326B">
        <w:rPr>
          <w:rStyle w:val="da1"/>
          <w:rFonts w:hint="eastAsia"/>
          <w:sz w:val="24"/>
          <w:szCs w:val="24"/>
        </w:rPr>
        <w:t>十一</w:t>
      </w:r>
      <w:r w:rsidRPr="00BC326B">
        <w:rPr>
          <w:rStyle w:val="da1"/>
          <w:sz w:val="24"/>
          <w:szCs w:val="24"/>
        </w:rPr>
        <w:t>）</w:t>
      </w:r>
      <w:r w:rsidRPr="00BC326B">
        <w:rPr>
          <w:rFonts w:hint="eastAsia"/>
          <w:color w:val="000000"/>
          <w:sz w:val="24"/>
          <w:szCs w:val="24"/>
        </w:rPr>
        <w:t>路演；</w:t>
      </w:r>
    </w:p>
    <w:p w14:paraId="0ADABC67"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Style w:val="da1"/>
          <w:sz w:val="24"/>
          <w:szCs w:val="24"/>
        </w:rPr>
        <w:t>（</w:t>
      </w:r>
      <w:r w:rsidRPr="00BC326B">
        <w:rPr>
          <w:rStyle w:val="da1"/>
          <w:rFonts w:hint="eastAsia"/>
          <w:sz w:val="24"/>
          <w:szCs w:val="24"/>
        </w:rPr>
        <w:t>十二</w:t>
      </w:r>
      <w:r w:rsidRPr="00BC326B">
        <w:rPr>
          <w:rStyle w:val="da1"/>
          <w:sz w:val="24"/>
          <w:szCs w:val="24"/>
        </w:rPr>
        <w:t>）</w:t>
      </w:r>
      <w:r w:rsidRPr="00BC326B">
        <w:rPr>
          <w:rFonts w:hint="eastAsia"/>
          <w:color w:val="000000"/>
          <w:sz w:val="24"/>
          <w:szCs w:val="24"/>
        </w:rPr>
        <w:t>投资者说明会。</w:t>
      </w:r>
    </w:p>
    <w:p w14:paraId="6E6E45A3" w14:textId="5261A1BC" w:rsidR="00DD3058"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Fonts w:hint="eastAsia"/>
          <w:color w:val="000000"/>
          <w:sz w:val="24"/>
          <w:szCs w:val="24"/>
        </w:rPr>
        <w:t>公司应明确区分宣传广告与媒体的报道，不应以宣传广告材料以及有偿手段影响媒体的客观独立报道。公司应及时关注媒体的宣传报道，必要时可适当回应。</w:t>
      </w:r>
    </w:p>
    <w:p w14:paraId="5034E34A" w14:textId="77777777" w:rsidR="00AD4846" w:rsidRPr="00BC326B" w:rsidRDefault="00AD4846" w:rsidP="00E85DE0">
      <w:pPr>
        <w:pStyle w:val="a4"/>
        <w:adjustRightInd w:val="0"/>
        <w:snapToGrid w:val="0"/>
        <w:spacing w:before="0" w:beforeAutospacing="0" w:after="0" w:afterAutospacing="0" w:line="360" w:lineRule="auto"/>
        <w:jc w:val="both"/>
        <w:rPr>
          <w:b/>
          <w:bCs/>
          <w:sz w:val="24"/>
          <w:szCs w:val="24"/>
        </w:rPr>
      </w:pPr>
    </w:p>
    <w:p w14:paraId="5347BA5B" w14:textId="07A14085" w:rsidR="00DD3058" w:rsidRPr="00BC326B" w:rsidRDefault="00BC326B" w:rsidP="00E85DE0">
      <w:pPr>
        <w:pStyle w:val="a4"/>
        <w:adjustRightInd w:val="0"/>
        <w:snapToGrid w:val="0"/>
        <w:spacing w:before="0" w:beforeAutospacing="0" w:after="0" w:afterAutospacing="0" w:line="360" w:lineRule="auto"/>
        <w:jc w:val="center"/>
        <w:rPr>
          <w:b/>
          <w:bCs/>
          <w:sz w:val="24"/>
          <w:szCs w:val="24"/>
        </w:rPr>
      </w:pPr>
      <w:r w:rsidRPr="00BC326B">
        <w:rPr>
          <w:rFonts w:hint="eastAsia"/>
          <w:b/>
          <w:bCs/>
          <w:sz w:val="24"/>
          <w:szCs w:val="24"/>
        </w:rPr>
        <w:t>第三章  投资者关系管理的组织与实施</w:t>
      </w:r>
    </w:p>
    <w:p w14:paraId="6501FA12" w14:textId="77777777" w:rsidR="00AD4846" w:rsidRPr="00BC326B" w:rsidRDefault="00AD4846" w:rsidP="00E85DE0">
      <w:pPr>
        <w:pStyle w:val="a4"/>
        <w:adjustRightInd w:val="0"/>
        <w:snapToGrid w:val="0"/>
        <w:spacing w:before="0" w:beforeAutospacing="0" w:after="0" w:afterAutospacing="0" w:line="360" w:lineRule="auto"/>
        <w:jc w:val="both"/>
        <w:rPr>
          <w:rStyle w:val="da1"/>
          <w:sz w:val="24"/>
          <w:szCs w:val="24"/>
        </w:rPr>
      </w:pPr>
    </w:p>
    <w:p w14:paraId="0DCA25D0" w14:textId="28880829"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AD4846">
        <w:rPr>
          <w:rFonts w:hint="eastAsia"/>
          <w:sz w:val="24"/>
          <w:szCs w:val="24"/>
        </w:rPr>
        <w:t xml:space="preserve">第八条　</w:t>
      </w:r>
      <w:r w:rsidRPr="00BC326B">
        <w:rPr>
          <w:rFonts w:hint="eastAsia"/>
          <w:color w:val="000000"/>
          <w:sz w:val="24"/>
          <w:szCs w:val="24"/>
        </w:rPr>
        <w:t>公司从事投资者关系管理工作的人员需要具备以下素质和技能：</w:t>
      </w:r>
    </w:p>
    <w:p w14:paraId="32328C39"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（一）良好的品行和职业素养，诚实守信；</w:t>
      </w:r>
      <w:r w:rsidRPr="00BC326B">
        <w:rPr>
          <w:rFonts w:hint="eastAsia"/>
          <w:color w:val="000000"/>
          <w:sz w:val="24"/>
          <w:szCs w:val="24"/>
        </w:rPr>
        <w:br/>
      </w:r>
      <w:r w:rsidRPr="00AD4846">
        <w:rPr>
          <w:rFonts w:hint="eastAsia"/>
          <w:sz w:val="24"/>
          <w:szCs w:val="24"/>
        </w:rPr>
        <w:t xml:space="preserve">　　</w:t>
      </w:r>
      <w:r w:rsidRPr="00BC326B">
        <w:rPr>
          <w:rFonts w:hint="eastAsia"/>
          <w:color w:val="000000"/>
          <w:sz w:val="24"/>
          <w:szCs w:val="24"/>
        </w:rPr>
        <w:t>（二）良好的专业知识结构，熟悉公司治理、财务会计等相关法律、法规和证券市场的运作机制；</w:t>
      </w:r>
    </w:p>
    <w:p w14:paraId="334D2F9D"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（三）良好的沟通和协调能力；</w:t>
      </w:r>
    </w:p>
    <w:p w14:paraId="352CA2A0"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（四）全面了解公司以及公司所处行业的情况。</w:t>
      </w:r>
    </w:p>
    <w:p w14:paraId="0D4E78C8"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AD4846">
        <w:rPr>
          <w:rFonts w:hint="eastAsia"/>
          <w:sz w:val="24"/>
          <w:szCs w:val="24"/>
        </w:rPr>
        <w:t xml:space="preserve">第九条　</w:t>
      </w:r>
      <w:r w:rsidRPr="00BC326B">
        <w:rPr>
          <w:rFonts w:hint="eastAsia"/>
          <w:color w:val="000000"/>
          <w:sz w:val="24"/>
          <w:szCs w:val="24"/>
        </w:rPr>
        <w:t>公司投资者关系管理工作的主要职责包括：</w:t>
      </w:r>
    </w:p>
    <w:p w14:paraId="4B327BCD"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（一）拟定投资者关系管理制度，建立工作机制；</w:t>
      </w:r>
    </w:p>
    <w:p w14:paraId="5B713BB0"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（二）组织与投资者沟通联络的投资者关系管理活动；</w:t>
      </w:r>
    </w:p>
    <w:p w14:paraId="241CFD5F"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（三）组织及时妥善处理投资者咨询、投诉和建议等诉求，定期反馈给公司董事会以及管理层；</w:t>
      </w:r>
    </w:p>
    <w:p w14:paraId="27F1878D"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（四）管理、运行和维护投资者关系管理的相关渠道和平台；</w:t>
      </w:r>
    </w:p>
    <w:p w14:paraId="680BA7CE"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（五）保障投资者依法行使股东权利；</w:t>
      </w:r>
    </w:p>
    <w:p w14:paraId="479294F2"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lastRenderedPageBreak/>
        <w:t>（六）配合支持投资者保护机构开展维护投资者合法权益的相关工作；</w:t>
      </w:r>
    </w:p>
    <w:p w14:paraId="1325B6EC"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（七）统计分析公司投资者的数量、构成以及变动等情况；</w:t>
      </w:r>
    </w:p>
    <w:p w14:paraId="6DBD1267"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（八）开展有利于改善投资者关系的其他活动。</w:t>
      </w:r>
    </w:p>
    <w:p w14:paraId="488925A4" w14:textId="2376FA58" w:rsidR="00AD4846" w:rsidRDefault="00BC326B" w:rsidP="00E85DE0">
      <w:pPr>
        <w:pStyle w:val="a4"/>
        <w:adjustRightInd w:val="0"/>
        <w:snapToGrid w:val="0"/>
        <w:spacing w:before="0" w:beforeAutospacing="0" w:after="0" w:afterAutospacing="0" w:line="360" w:lineRule="auto"/>
        <w:ind w:firstLine="480"/>
        <w:jc w:val="both"/>
        <w:rPr>
          <w:sz w:val="24"/>
          <w:szCs w:val="24"/>
        </w:rPr>
      </w:pPr>
      <w:r w:rsidRPr="00AD4846">
        <w:rPr>
          <w:rFonts w:hint="eastAsia"/>
          <w:sz w:val="24"/>
          <w:szCs w:val="24"/>
        </w:rPr>
        <w:t>第十条　公司指定董事会秘书担任投资者关系管理负责人，</w:t>
      </w:r>
      <w:r w:rsidR="00302DD4">
        <w:rPr>
          <w:rFonts w:hint="eastAsia"/>
          <w:sz w:val="24"/>
          <w:szCs w:val="24"/>
        </w:rPr>
        <w:t>董事会办公室</w:t>
      </w:r>
      <w:r w:rsidRPr="00AD4846">
        <w:rPr>
          <w:rFonts w:hint="eastAsia"/>
          <w:sz w:val="24"/>
          <w:szCs w:val="24"/>
        </w:rPr>
        <w:t>承办投资者关系的日常管理工作。</w:t>
      </w:r>
    </w:p>
    <w:p w14:paraId="46998ED9"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除非得到明确授权并经过培训，公司其他董事、高级管理人员和员工应当避免在投资者关系活动中代表公司发言。</w:t>
      </w:r>
    </w:p>
    <w:p w14:paraId="462F7C33" w14:textId="77777777" w:rsidR="00AD4846" w:rsidRDefault="00BC326B" w:rsidP="00E85DE0">
      <w:pPr>
        <w:pStyle w:val="a4"/>
        <w:adjustRightInd w:val="0"/>
        <w:snapToGrid w:val="0"/>
        <w:spacing w:before="0" w:beforeAutospacing="0" w:after="0" w:afterAutospacing="0" w:line="360" w:lineRule="auto"/>
        <w:ind w:firstLine="480"/>
        <w:jc w:val="both"/>
        <w:rPr>
          <w:sz w:val="24"/>
          <w:szCs w:val="24"/>
        </w:rPr>
      </w:pPr>
      <w:r w:rsidRPr="00AD4846">
        <w:rPr>
          <w:rFonts w:hint="eastAsia"/>
          <w:sz w:val="24"/>
          <w:szCs w:val="24"/>
        </w:rPr>
        <w:t>第十一条　投资者关系管理负责人全面负责公司投资者关系管理工作。投资者关系管理负责人在全面深入地了解公司运作和管理、经营状况、发展战略等情况下，负责策划、安排和组织各类投资者关系管理活动。</w:t>
      </w:r>
    </w:p>
    <w:p w14:paraId="25B70FF5" w14:textId="77777777" w:rsidR="00AD4846" w:rsidRDefault="00BC326B" w:rsidP="00E85DE0">
      <w:pPr>
        <w:pStyle w:val="a4"/>
        <w:adjustRightInd w:val="0"/>
        <w:snapToGrid w:val="0"/>
        <w:spacing w:before="0" w:beforeAutospacing="0" w:after="0" w:afterAutospacing="0" w:line="360" w:lineRule="auto"/>
        <w:ind w:firstLine="480"/>
        <w:jc w:val="both"/>
        <w:rPr>
          <w:sz w:val="24"/>
          <w:szCs w:val="24"/>
        </w:rPr>
      </w:pPr>
      <w:r w:rsidRPr="00AD4846">
        <w:rPr>
          <w:rFonts w:hint="eastAsia"/>
          <w:sz w:val="24"/>
          <w:szCs w:val="24"/>
        </w:rPr>
        <w:t>第十二条　投资者关系管理负责人负责制定公司投资者关系管理的工作管理办法和实施细则，并负责具体落实和实施。</w:t>
      </w:r>
    </w:p>
    <w:p w14:paraId="304F89E9" w14:textId="77777777" w:rsidR="00AD4846" w:rsidRDefault="00BC326B" w:rsidP="00E85DE0">
      <w:pPr>
        <w:pStyle w:val="a4"/>
        <w:adjustRightInd w:val="0"/>
        <w:snapToGrid w:val="0"/>
        <w:spacing w:before="0" w:beforeAutospacing="0" w:after="0" w:afterAutospacing="0" w:line="360" w:lineRule="auto"/>
        <w:ind w:firstLine="480"/>
        <w:jc w:val="both"/>
        <w:rPr>
          <w:sz w:val="24"/>
          <w:szCs w:val="24"/>
        </w:rPr>
      </w:pPr>
      <w:r w:rsidRPr="00AD4846">
        <w:rPr>
          <w:rFonts w:hint="eastAsia"/>
          <w:sz w:val="24"/>
          <w:szCs w:val="24"/>
        </w:rPr>
        <w:t>第十三条　投资者关系管理负责人负责对公司高级管理人员及相关人员就投资者关系管理进行全面和系统的培训。</w:t>
      </w:r>
    </w:p>
    <w:p w14:paraId="10CE0FFE" w14:textId="77777777" w:rsidR="00AD4846" w:rsidRDefault="00BC326B" w:rsidP="00E85DE0">
      <w:pPr>
        <w:pStyle w:val="a4"/>
        <w:adjustRightInd w:val="0"/>
        <w:snapToGrid w:val="0"/>
        <w:spacing w:before="0" w:beforeAutospacing="0" w:after="0" w:afterAutospacing="0" w:line="360" w:lineRule="auto"/>
        <w:ind w:firstLine="480"/>
        <w:jc w:val="both"/>
        <w:rPr>
          <w:sz w:val="24"/>
          <w:szCs w:val="24"/>
        </w:rPr>
      </w:pPr>
      <w:r w:rsidRPr="00AD4846">
        <w:rPr>
          <w:rFonts w:hint="eastAsia"/>
          <w:sz w:val="24"/>
          <w:szCs w:val="24"/>
        </w:rPr>
        <w:t>第十四条　在进行投资者关系活动之前，投资者关系管理负责人应对公司高级管理人员及相关人员进行有针对性的培训和指导。</w:t>
      </w:r>
    </w:p>
    <w:p w14:paraId="26D35F1A" w14:textId="77777777" w:rsidR="00AD4846" w:rsidRDefault="00BC326B" w:rsidP="00E85DE0">
      <w:pPr>
        <w:pStyle w:val="a4"/>
        <w:adjustRightInd w:val="0"/>
        <w:snapToGrid w:val="0"/>
        <w:spacing w:before="0" w:beforeAutospacing="0" w:after="0" w:afterAutospacing="0" w:line="360" w:lineRule="auto"/>
        <w:ind w:firstLine="480"/>
        <w:jc w:val="both"/>
        <w:rPr>
          <w:sz w:val="24"/>
          <w:szCs w:val="24"/>
        </w:rPr>
      </w:pPr>
      <w:r w:rsidRPr="00AD4846">
        <w:rPr>
          <w:rFonts w:hint="eastAsia"/>
          <w:sz w:val="24"/>
          <w:szCs w:val="24"/>
        </w:rPr>
        <w:t>第十五条　投资者关系负责人应持续关注新闻媒体及互联网上有关公司的各类信息并及时反馈给公司董事会及管理层。</w:t>
      </w:r>
    </w:p>
    <w:p w14:paraId="1C9512DB"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AD4846">
        <w:rPr>
          <w:rFonts w:hint="eastAsia"/>
          <w:sz w:val="24"/>
          <w:szCs w:val="24"/>
        </w:rPr>
        <w:t xml:space="preserve">第十六条　</w:t>
      </w:r>
      <w:r w:rsidRPr="00BC326B">
        <w:rPr>
          <w:rFonts w:hint="eastAsia"/>
          <w:color w:val="000000"/>
          <w:sz w:val="24"/>
          <w:szCs w:val="24"/>
        </w:rPr>
        <w:t>公司进行投资者关系活动应建立完备的投资者关系管理档案制度，投资者关系管理档案至少应包括下列内容：</w:t>
      </w:r>
    </w:p>
    <w:p w14:paraId="03E68DC8"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（一）投资者关系活动参与人员、时间、地点；</w:t>
      </w:r>
    </w:p>
    <w:p w14:paraId="6E89B4F4"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（二）投资者关系活动的交流内容；</w:t>
      </w:r>
    </w:p>
    <w:p w14:paraId="196F9F5A"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（三）未公开重大信息泄密的处理过程及责任追究情况（如有）；</w:t>
      </w:r>
    </w:p>
    <w:p w14:paraId="001CA920" w14:textId="77777777" w:rsidR="00302DD4"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（四）其他内容。</w:t>
      </w:r>
    </w:p>
    <w:p w14:paraId="15531078" w14:textId="6DF0A233" w:rsidR="00AD4846" w:rsidRDefault="00BC326B" w:rsidP="00E85DE0">
      <w:pPr>
        <w:pStyle w:val="a4"/>
        <w:adjustRightInd w:val="0"/>
        <w:snapToGrid w:val="0"/>
        <w:spacing w:before="0" w:beforeAutospacing="0" w:after="0" w:afterAutospacing="0" w:line="360" w:lineRule="auto"/>
        <w:ind w:firstLine="480"/>
        <w:jc w:val="both"/>
        <w:rPr>
          <w:sz w:val="24"/>
          <w:szCs w:val="24"/>
        </w:rPr>
      </w:pPr>
      <w:r w:rsidRPr="00AD4846">
        <w:rPr>
          <w:sz w:val="24"/>
          <w:szCs w:val="24"/>
        </w:rPr>
        <w:t>投资者关系管理档案应当按照投资者关系管理的方式进行分类，将相关记录、现场录音、演示文稿、活动中提供的文档（如有）等文件资料存档并妥善保管，保存期限不得少于3年。</w:t>
      </w:r>
    </w:p>
    <w:p w14:paraId="24F48C71"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AD4846">
        <w:rPr>
          <w:rFonts w:hint="eastAsia"/>
          <w:sz w:val="24"/>
          <w:szCs w:val="24"/>
        </w:rPr>
        <w:t xml:space="preserve">第十七条　</w:t>
      </w:r>
      <w:r w:rsidRPr="00BC326B">
        <w:rPr>
          <w:rFonts w:hint="eastAsia"/>
          <w:color w:val="000000"/>
          <w:sz w:val="24"/>
          <w:szCs w:val="24"/>
        </w:rPr>
        <w:t>公司应当在定期报告中公布公司网址和咨询电话号码。当网址或者咨询电话号码发生变更后，公司应当及时进行公告。</w:t>
      </w:r>
    </w:p>
    <w:p w14:paraId="6763217F"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lastRenderedPageBreak/>
        <w:t>公司应当保证咨询电话、传真和电子信箱等对外联系渠道畅通，确保咨询电话在工作时间有专人接听，并通过有效形式及时向投资者答复和反馈相关信息。</w:t>
      </w:r>
    </w:p>
    <w:p w14:paraId="09E638D4"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AD4846">
        <w:rPr>
          <w:rFonts w:hint="eastAsia"/>
          <w:sz w:val="24"/>
          <w:szCs w:val="24"/>
        </w:rPr>
        <w:t xml:space="preserve">第十八条　</w:t>
      </w:r>
      <w:r w:rsidRPr="00AD4846">
        <w:rPr>
          <w:sz w:val="24"/>
          <w:szCs w:val="24"/>
        </w:rPr>
        <w:t>公司应</w:t>
      </w:r>
      <w:r w:rsidRPr="00BC326B">
        <w:rPr>
          <w:rFonts w:hint="eastAsia"/>
          <w:color w:val="000000"/>
          <w:sz w:val="24"/>
          <w:szCs w:val="24"/>
        </w:rPr>
        <w:t>对接受或者邀请特定对象的调研、沟通、采访等活动予以详细记载，并</w:t>
      </w:r>
      <w:r w:rsidRPr="00AD4846">
        <w:rPr>
          <w:sz w:val="24"/>
          <w:szCs w:val="24"/>
        </w:rPr>
        <w:t>在定期报告中披露公司接待调研及采访等相关情况。内容包括：接</w:t>
      </w:r>
      <w:r w:rsidRPr="00BC326B">
        <w:rPr>
          <w:rStyle w:val="da1"/>
          <w:sz w:val="24"/>
          <w:szCs w:val="24"/>
        </w:rPr>
        <w:t>待时间、接待地点、接待方式</w:t>
      </w:r>
      <w:r w:rsidRPr="00BC326B">
        <w:rPr>
          <w:rFonts w:hint="eastAsia"/>
          <w:color w:val="000000"/>
          <w:sz w:val="24"/>
          <w:szCs w:val="24"/>
        </w:rPr>
        <w:t>（书面或者口头）</w:t>
      </w:r>
      <w:r w:rsidRPr="00BC326B">
        <w:rPr>
          <w:rStyle w:val="da1"/>
          <w:sz w:val="24"/>
          <w:szCs w:val="24"/>
        </w:rPr>
        <w:t>、接待对象、谈论的主要内容及提供的资料</w:t>
      </w:r>
      <w:r w:rsidRPr="00BC326B">
        <w:rPr>
          <w:rStyle w:val="da1"/>
          <w:rFonts w:hint="eastAsia"/>
          <w:sz w:val="24"/>
          <w:szCs w:val="24"/>
        </w:rPr>
        <w:t>。</w:t>
      </w:r>
    </w:p>
    <w:p w14:paraId="52445BB6"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Style w:val="da1"/>
          <w:rFonts w:hint="eastAsia"/>
          <w:sz w:val="24"/>
          <w:szCs w:val="24"/>
        </w:rPr>
        <w:t xml:space="preserve">第十九条　</w:t>
      </w:r>
      <w:r w:rsidRPr="00BC326B">
        <w:rPr>
          <w:rFonts w:hint="eastAsia"/>
          <w:color w:val="000000"/>
          <w:sz w:val="24"/>
          <w:szCs w:val="24"/>
        </w:rPr>
        <w:t>公司应当对以非正式公告方式向外界传达的信息进行严格审查，设置审阅或者记录程序，防止泄露未公开重大信息。</w:t>
      </w:r>
    </w:p>
    <w:p w14:paraId="2A24AEDC"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上述非正式公告的方式包括：股东会、新闻发布会、产品推介会；公司或者相关个人接受媒体采访；直接或者间接向媒体发布新闻稿；公司（含子公司）网站与内部刊物；董事或者高级管理人员博客、微博、微信等社交媒体；以书面或者口头方式与特定投资者沟通；以书面或者口头方式与证券分析师沟通；公司其他各种形式的对外宣传、报告等；深圳证券交易所认定的其他形式。</w:t>
      </w:r>
    </w:p>
    <w:p w14:paraId="078C129D" w14:textId="514B81B3"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Style w:val="da1"/>
          <w:rFonts w:hint="eastAsia"/>
          <w:sz w:val="24"/>
          <w:szCs w:val="24"/>
        </w:rPr>
        <w:t xml:space="preserve">第二十条　</w:t>
      </w:r>
      <w:r w:rsidRPr="00BC326B">
        <w:rPr>
          <w:rFonts w:hint="eastAsia"/>
          <w:color w:val="000000"/>
          <w:sz w:val="24"/>
          <w:szCs w:val="24"/>
        </w:rPr>
        <w:t>公司开展投资者关系管理活动，应当以已公开披露信息作为交流内容，不得以任何方式透露或者泄露未公开披露的重大信息。投资者关系活动中涉及或者可能涉及股价敏感事项、未公开披露的重大信息或者可以推测出未公开披露的重大信息的提问的，公司应当告知投资者关注公司公告，并就信息披露规则进行必要的解释说明。公司不得以投资者关系管理活动中的交流代替信息披露。公司在投资者关系管理活动中不慎泄露未公开披露的重大信息的，应当立即依法依规发布公告，并采取其他必要措施</w:t>
      </w:r>
      <w:r w:rsidR="00AD4846" w:rsidRPr="00BC326B">
        <w:rPr>
          <w:rFonts w:hint="eastAsia"/>
          <w:color w:val="000000"/>
          <w:sz w:val="24"/>
          <w:szCs w:val="24"/>
        </w:rPr>
        <w:t>。</w:t>
      </w:r>
    </w:p>
    <w:p w14:paraId="04A5376A" w14:textId="77777777" w:rsidR="00AD4846" w:rsidRPr="00BC326B" w:rsidRDefault="00AD4846" w:rsidP="00E85DE0">
      <w:pPr>
        <w:pStyle w:val="a4"/>
        <w:adjustRightInd w:val="0"/>
        <w:snapToGrid w:val="0"/>
        <w:spacing w:before="0" w:beforeAutospacing="0" w:after="0" w:afterAutospacing="0" w:line="360" w:lineRule="auto"/>
        <w:ind w:firstLine="480"/>
        <w:jc w:val="both"/>
        <w:rPr>
          <w:color w:val="000000"/>
          <w:sz w:val="24"/>
          <w:szCs w:val="24"/>
        </w:rPr>
      </w:pPr>
    </w:p>
    <w:p w14:paraId="1DE77819" w14:textId="23B2D320" w:rsidR="00DD3058" w:rsidRPr="00BC326B" w:rsidRDefault="00BC326B" w:rsidP="00E85DE0">
      <w:pPr>
        <w:pStyle w:val="a4"/>
        <w:adjustRightInd w:val="0"/>
        <w:snapToGrid w:val="0"/>
        <w:spacing w:before="0" w:beforeAutospacing="0" w:after="0" w:afterAutospacing="0" w:line="360" w:lineRule="auto"/>
        <w:jc w:val="center"/>
        <w:rPr>
          <w:b/>
          <w:bCs/>
          <w:sz w:val="24"/>
          <w:szCs w:val="24"/>
        </w:rPr>
      </w:pPr>
      <w:r w:rsidRPr="00BC326B">
        <w:rPr>
          <w:rFonts w:hint="eastAsia"/>
          <w:b/>
          <w:bCs/>
          <w:sz w:val="24"/>
          <w:szCs w:val="24"/>
        </w:rPr>
        <w:t>第四章  自愿性信息披露</w:t>
      </w:r>
    </w:p>
    <w:p w14:paraId="2C1B0D0A" w14:textId="77777777" w:rsidR="00AD4846" w:rsidRPr="00BC326B" w:rsidRDefault="00AD4846" w:rsidP="00E85DE0">
      <w:pPr>
        <w:pStyle w:val="a4"/>
        <w:adjustRightInd w:val="0"/>
        <w:snapToGrid w:val="0"/>
        <w:spacing w:before="0" w:beforeAutospacing="0" w:after="0" w:afterAutospacing="0" w:line="360" w:lineRule="auto"/>
        <w:jc w:val="both"/>
        <w:rPr>
          <w:rStyle w:val="da1"/>
          <w:sz w:val="24"/>
          <w:szCs w:val="24"/>
        </w:rPr>
      </w:pPr>
    </w:p>
    <w:p w14:paraId="5BAF7128" w14:textId="1063D159"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第二十一条　公司通过投资者关系管理的各种活动和方式，自愿地披露现行法律法规和规则规定应披露信息以外的信息。</w:t>
      </w:r>
    </w:p>
    <w:p w14:paraId="6F425925"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公司对自愿性披露信息有任何疑问，可向深圳证券交易所咨询。</w:t>
      </w:r>
    </w:p>
    <w:p w14:paraId="428C49BF"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第二十二条　公司进行自愿性信息披露应遵循本制度第三条规定的原则。</w:t>
      </w:r>
    </w:p>
    <w:p w14:paraId="687A54A5"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第二十三条　公司在自愿披露具有一定预测性质的信息时，应以明确的警示性文字，具体列明相关的风险因素，提示投资者可能出现的不确定性和风险。</w:t>
      </w:r>
    </w:p>
    <w:p w14:paraId="31F6C001"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lastRenderedPageBreak/>
        <w:t>第二十四条　在自愿性信息披露过程中，当情况发生重大变化导致已披露信息不真实、不准确或不完整，或者已披露的预测难以实现的，公司应对已披露的信息及时进行更新。对于已披露的尚未完结的事项，公司有持续和完整披露义务，直至该事项最后结束。</w:t>
      </w:r>
    </w:p>
    <w:p w14:paraId="5AF2E831" w14:textId="10A22FE9" w:rsidR="00DD3058"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第二十五条　公司在投资者关系活动中一旦以任何方式发布了法规和规则规定应披露的重大信息，应及时向深圳证券交易所报告，并按其要求履行信息披露义务。</w:t>
      </w:r>
    </w:p>
    <w:p w14:paraId="69744896" w14:textId="77777777" w:rsidR="00AD4846" w:rsidRPr="00BC326B" w:rsidRDefault="00AD4846" w:rsidP="00E85DE0">
      <w:pPr>
        <w:pStyle w:val="a4"/>
        <w:adjustRightInd w:val="0"/>
        <w:snapToGrid w:val="0"/>
        <w:spacing w:before="0" w:beforeAutospacing="0" w:after="0" w:afterAutospacing="0" w:line="360" w:lineRule="auto"/>
        <w:jc w:val="center"/>
        <w:rPr>
          <w:b/>
          <w:bCs/>
          <w:sz w:val="24"/>
          <w:szCs w:val="24"/>
        </w:rPr>
      </w:pPr>
    </w:p>
    <w:p w14:paraId="4DFB3BF9" w14:textId="3914AE6C" w:rsidR="00DD3058" w:rsidRPr="00BC326B" w:rsidRDefault="00BC326B" w:rsidP="00E85DE0">
      <w:pPr>
        <w:pStyle w:val="a4"/>
        <w:adjustRightInd w:val="0"/>
        <w:snapToGrid w:val="0"/>
        <w:spacing w:before="0" w:beforeAutospacing="0" w:after="0" w:afterAutospacing="0" w:line="360" w:lineRule="auto"/>
        <w:jc w:val="center"/>
        <w:rPr>
          <w:b/>
          <w:bCs/>
          <w:sz w:val="24"/>
          <w:szCs w:val="24"/>
        </w:rPr>
      </w:pPr>
      <w:r w:rsidRPr="00BC326B">
        <w:rPr>
          <w:rFonts w:hint="eastAsia"/>
          <w:b/>
          <w:bCs/>
          <w:sz w:val="24"/>
          <w:szCs w:val="24"/>
        </w:rPr>
        <w:t>第五章  投资者关系活动</w:t>
      </w:r>
    </w:p>
    <w:p w14:paraId="2D119D27" w14:textId="77777777" w:rsidR="00AD4846" w:rsidRPr="00BC326B" w:rsidRDefault="00AD4846" w:rsidP="00E85DE0">
      <w:pPr>
        <w:pStyle w:val="a4"/>
        <w:adjustRightInd w:val="0"/>
        <w:snapToGrid w:val="0"/>
        <w:spacing w:before="0" w:beforeAutospacing="0" w:after="0" w:afterAutospacing="0" w:line="360" w:lineRule="auto"/>
        <w:jc w:val="center"/>
        <w:rPr>
          <w:b/>
          <w:bCs/>
          <w:sz w:val="24"/>
          <w:szCs w:val="24"/>
        </w:rPr>
      </w:pPr>
    </w:p>
    <w:p w14:paraId="5A863593" w14:textId="77777777" w:rsidR="00DD3058" w:rsidRPr="00BC326B" w:rsidRDefault="00BC326B" w:rsidP="00E85DE0">
      <w:pPr>
        <w:pStyle w:val="a4"/>
        <w:adjustRightInd w:val="0"/>
        <w:snapToGrid w:val="0"/>
        <w:spacing w:before="0" w:beforeAutospacing="0" w:after="0" w:afterAutospacing="0" w:line="360" w:lineRule="auto"/>
        <w:jc w:val="center"/>
        <w:rPr>
          <w:rStyle w:val="da1"/>
          <w:b/>
          <w:sz w:val="24"/>
          <w:szCs w:val="24"/>
        </w:rPr>
      </w:pPr>
      <w:r w:rsidRPr="00BC326B">
        <w:rPr>
          <w:rStyle w:val="da1"/>
          <w:rFonts w:hint="eastAsia"/>
          <w:b/>
          <w:sz w:val="24"/>
          <w:szCs w:val="24"/>
        </w:rPr>
        <w:t>第一节  形式和要求</w:t>
      </w:r>
    </w:p>
    <w:p w14:paraId="3A3E18B9" w14:textId="78F17EB6"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 xml:space="preserve">第二十六条　</w:t>
      </w:r>
      <w:r w:rsidRPr="00BC326B">
        <w:rPr>
          <w:rStyle w:val="da1"/>
          <w:sz w:val="24"/>
          <w:szCs w:val="24"/>
        </w:rPr>
        <w:t>公司可以通过公司官方网站、</w:t>
      </w:r>
      <w:r w:rsidRPr="00BC326B">
        <w:rPr>
          <w:rStyle w:val="da1"/>
          <w:rFonts w:hint="eastAsia"/>
          <w:sz w:val="24"/>
          <w:szCs w:val="24"/>
        </w:rPr>
        <w:t>深圳证券交易所</w:t>
      </w:r>
      <w:r w:rsidRPr="00BC326B">
        <w:rPr>
          <w:rStyle w:val="da1"/>
          <w:sz w:val="24"/>
          <w:szCs w:val="24"/>
        </w:rPr>
        <w:t>网站和投资者关系互动平台（以下简称互动易平台）、新媒体平台、电话、传真、邮箱、投资者教育基地等方式，采取股东会、投资者说明会、路演、投资者调研、证券分析师调研等形式，建立与投资者的重大事件沟通机制。</w:t>
      </w:r>
    </w:p>
    <w:p w14:paraId="2C02936D"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Style w:val="da1"/>
          <w:rFonts w:hint="eastAsia"/>
          <w:sz w:val="24"/>
          <w:szCs w:val="24"/>
        </w:rPr>
        <w:t xml:space="preserve">第二十七条　</w:t>
      </w:r>
      <w:r w:rsidRPr="00BC326B">
        <w:rPr>
          <w:rFonts w:hint="eastAsia"/>
          <w:color w:val="000000"/>
          <w:sz w:val="24"/>
          <w:szCs w:val="24"/>
        </w:rPr>
        <w:t>公司应当为中小股东、机构投资者到公司现场参观、座谈沟通提供便利，合理、妥善地安排活动过程，做好信息隔离，不得使来访者接触到未公开披露的重大信息。</w:t>
      </w:r>
    </w:p>
    <w:p w14:paraId="1054EE4B"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Style w:val="da1"/>
          <w:rFonts w:hint="eastAsia"/>
          <w:sz w:val="24"/>
          <w:szCs w:val="24"/>
        </w:rPr>
        <w:t xml:space="preserve">第二十八条　</w:t>
      </w:r>
      <w:r w:rsidRPr="00BC326B">
        <w:rPr>
          <w:rFonts w:hint="eastAsia"/>
          <w:color w:val="000000"/>
          <w:sz w:val="24"/>
          <w:szCs w:val="24"/>
        </w:rPr>
        <w:t>公司应当承担投资者投诉处理的首要责任，完善投诉处理机制，妥善处理投资者诉求。</w:t>
      </w:r>
    </w:p>
    <w:p w14:paraId="219AE894"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公司与投资者之间发生的纠纷，可以自行协商解决、向调解组织申请调解、向仲裁机构申请仲裁或者向人民法院提起诉讼。</w:t>
      </w:r>
    </w:p>
    <w:p w14:paraId="245CCFE6"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Style w:val="da1"/>
          <w:rFonts w:hint="eastAsia"/>
          <w:sz w:val="24"/>
          <w:szCs w:val="24"/>
        </w:rPr>
        <w:t xml:space="preserve">第二十九条　</w:t>
      </w:r>
      <w:r w:rsidRPr="00BC326B">
        <w:rPr>
          <w:rFonts w:hint="eastAsia"/>
          <w:color w:val="000000"/>
          <w:sz w:val="24"/>
          <w:szCs w:val="24"/>
        </w:rPr>
        <w:t>公司应当充分关注互动易收集的信息以及其他媒体关于本公司的报道，充分重视并依法履行有关公司的媒体报道信息引发或者可能引发的信息披露义务。</w:t>
      </w:r>
    </w:p>
    <w:p w14:paraId="1BD0F635" w14:textId="4DC8D4BC"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Style w:val="da1"/>
          <w:rFonts w:hint="eastAsia"/>
          <w:sz w:val="24"/>
          <w:szCs w:val="24"/>
        </w:rPr>
        <w:t xml:space="preserve">第三十条　</w:t>
      </w:r>
      <w:r w:rsidRPr="00BC326B">
        <w:rPr>
          <w:rFonts w:hint="eastAsia"/>
          <w:color w:val="000000"/>
          <w:sz w:val="24"/>
          <w:szCs w:val="24"/>
        </w:rPr>
        <w:t>公司在投资者说明会、业绩说明会、分析师会议、路演等投资者关系活动结束后应当及时编制投资者关系活动记录表并</w:t>
      </w:r>
      <w:r w:rsidR="00E85DE0" w:rsidRPr="00BC326B">
        <w:rPr>
          <w:rFonts w:hint="eastAsia"/>
          <w:color w:val="000000"/>
          <w:sz w:val="24"/>
          <w:szCs w:val="24"/>
        </w:rPr>
        <w:t>披露</w:t>
      </w:r>
      <w:r w:rsidRPr="00BC326B">
        <w:rPr>
          <w:rFonts w:hint="eastAsia"/>
          <w:color w:val="000000"/>
          <w:sz w:val="24"/>
          <w:szCs w:val="24"/>
        </w:rPr>
        <w:t>。活动记录表至少应当包括以下内容：</w:t>
      </w:r>
    </w:p>
    <w:p w14:paraId="5A3265F6"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（一）活动参与人员、时间、地点、形式；</w:t>
      </w:r>
    </w:p>
    <w:p w14:paraId="65C226D9"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（二）交流内容及具体问答记录；</w:t>
      </w:r>
    </w:p>
    <w:p w14:paraId="786C8DEE"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lastRenderedPageBreak/>
        <w:t>（三）关于本次活动是否涉及应披露重大信息的说明；</w:t>
      </w:r>
    </w:p>
    <w:p w14:paraId="330ED2EF" w14:textId="77777777" w:rsidR="00AD4846"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（四）活动过程中所使用的演示文稿、提供的文档等附件（如有）；</w:t>
      </w:r>
    </w:p>
    <w:p w14:paraId="404573D2" w14:textId="0CA1523B" w:rsidR="00DD3058" w:rsidRPr="00BC326B" w:rsidRDefault="00BC326B" w:rsidP="00E85DE0">
      <w:pPr>
        <w:pStyle w:val="a4"/>
        <w:adjustRightInd w:val="0"/>
        <w:snapToGrid w:val="0"/>
        <w:spacing w:before="0" w:beforeAutospacing="0" w:after="0" w:afterAutospacing="0" w:line="360" w:lineRule="auto"/>
        <w:ind w:firstLine="480"/>
        <w:jc w:val="both"/>
        <w:rPr>
          <w:color w:val="000000"/>
          <w:sz w:val="24"/>
          <w:szCs w:val="24"/>
        </w:rPr>
      </w:pPr>
      <w:r w:rsidRPr="00BC326B">
        <w:rPr>
          <w:rFonts w:hint="eastAsia"/>
          <w:color w:val="000000"/>
          <w:sz w:val="24"/>
          <w:szCs w:val="24"/>
        </w:rPr>
        <w:t>（五）深圳证券交易所要求的其他内容。</w:t>
      </w:r>
    </w:p>
    <w:p w14:paraId="23DC5E5A" w14:textId="77777777" w:rsidR="00AD4846" w:rsidRPr="00BC326B" w:rsidRDefault="00AD4846" w:rsidP="00E85DE0">
      <w:pPr>
        <w:pStyle w:val="a4"/>
        <w:adjustRightInd w:val="0"/>
        <w:snapToGrid w:val="0"/>
        <w:spacing w:before="0" w:beforeAutospacing="0" w:after="0" w:afterAutospacing="0" w:line="360" w:lineRule="auto"/>
        <w:ind w:firstLine="480"/>
        <w:jc w:val="both"/>
        <w:rPr>
          <w:rStyle w:val="da1"/>
          <w:sz w:val="24"/>
          <w:szCs w:val="24"/>
        </w:rPr>
      </w:pPr>
    </w:p>
    <w:p w14:paraId="4395F5D8" w14:textId="2EB224DD" w:rsidR="00DD3058" w:rsidRPr="00BC326B" w:rsidRDefault="00BC326B" w:rsidP="00E85DE0">
      <w:pPr>
        <w:pStyle w:val="a4"/>
        <w:adjustRightInd w:val="0"/>
        <w:snapToGrid w:val="0"/>
        <w:spacing w:before="0" w:beforeAutospacing="0" w:after="0" w:afterAutospacing="0" w:line="360" w:lineRule="auto"/>
        <w:jc w:val="center"/>
        <w:rPr>
          <w:rStyle w:val="da1"/>
          <w:b/>
          <w:sz w:val="24"/>
          <w:szCs w:val="24"/>
        </w:rPr>
      </w:pPr>
      <w:r w:rsidRPr="00BC326B">
        <w:rPr>
          <w:rStyle w:val="da1"/>
          <w:rFonts w:hint="eastAsia"/>
          <w:b/>
          <w:sz w:val="24"/>
          <w:szCs w:val="24"/>
        </w:rPr>
        <w:t>第二节  股东会</w:t>
      </w:r>
    </w:p>
    <w:p w14:paraId="56025B0A" w14:textId="3A29606A"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第三十一条　公司应根据法律法规的要求，认真做好股东会的安排组织工作。</w:t>
      </w:r>
    </w:p>
    <w:p w14:paraId="1CFADD7D"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第三十二条　公司应努力为中小股东参加股东会创造条件，在召开时间和地点等方面充分考虑便于股东参加。在条件许可的情况下，可利用互联网络对股东会进行直播。</w:t>
      </w:r>
    </w:p>
    <w:p w14:paraId="35AD6E4F"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股东会对现金分红具体方案进行审议前，公司应当通过多种渠道主动与股东特别是中小股东进行沟通和交流，充分听取中小股东的意见和诉求，及时答复中小股东关心的问题。</w:t>
      </w:r>
    </w:p>
    <w:p w14:paraId="53EBAEB2"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第三十三条　为了提高股东会的透明性，公司可广泛邀请新闻媒体参加并对会议情况进行详细报道。</w:t>
      </w:r>
    </w:p>
    <w:p w14:paraId="5195B540" w14:textId="79E59907" w:rsidR="00DD3058"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第三十四条　股东会过程中如对到会的股东进行自愿性信息披露，公司应尽快在公司网站或以及其他可行的方式公布。</w:t>
      </w:r>
    </w:p>
    <w:p w14:paraId="782CAC88" w14:textId="77777777" w:rsidR="00AD4846" w:rsidRPr="00BC326B" w:rsidRDefault="00AD4846" w:rsidP="00E85DE0">
      <w:pPr>
        <w:pStyle w:val="a4"/>
        <w:adjustRightInd w:val="0"/>
        <w:snapToGrid w:val="0"/>
        <w:spacing w:before="0" w:beforeAutospacing="0" w:after="0" w:afterAutospacing="0" w:line="360" w:lineRule="auto"/>
        <w:ind w:firstLine="480"/>
        <w:jc w:val="both"/>
        <w:rPr>
          <w:rStyle w:val="da1"/>
          <w:sz w:val="24"/>
          <w:szCs w:val="24"/>
        </w:rPr>
      </w:pPr>
    </w:p>
    <w:p w14:paraId="684879CB" w14:textId="337AD6FE" w:rsidR="00DD3058" w:rsidRPr="00BC326B" w:rsidRDefault="00BC326B" w:rsidP="00E85DE0">
      <w:pPr>
        <w:pStyle w:val="a4"/>
        <w:adjustRightInd w:val="0"/>
        <w:snapToGrid w:val="0"/>
        <w:spacing w:before="0" w:beforeAutospacing="0" w:after="0" w:afterAutospacing="0" w:line="360" w:lineRule="auto"/>
        <w:jc w:val="center"/>
        <w:rPr>
          <w:rStyle w:val="da1"/>
          <w:b/>
          <w:sz w:val="24"/>
          <w:szCs w:val="24"/>
        </w:rPr>
      </w:pPr>
      <w:r w:rsidRPr="00BC326B">
        <w:rPr>
          <w:rStyle w:val="da1"/>
          <w:rFonts w:hint="eastAsia"/>
          <w:b/>
          <w:sz w:val="24"/>
          <w:szCs w:val="24"/>
        </w:rPr>
        <w:t>第三节  网站</w:t>
      </w:r>
    </w:p>
    <w:p w14:paraId="1468FF0B" w14:textId="5D4413DC"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第三十五条　公司可以通过建立公司网站并开设投资者关系专栏的方式开展投资者关系活动。</w:t>
      </w:r>
    </w:p>
    <w:p w14:paraId="01625584"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第三十六条　公司应避免在公司网站上刊登传媒对公司的有关报告以及分析师对公司的分析报告。公司刊登有关报告和分析报告，有可能被视为赞同有关观点而对投资者的投资决策产生影响，并有可能承担或被追究相关责任。</w:t>
      </w:r>
    </w:p>
    <w:p w14:paraId="44911C8C"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第三十七条　公司应对公司网站进行及时更新，并将历史信息与当前信息以显著标识加以区分，对错误信息应及时更正，避免对投资者产生误导。</w:t>
      </w:r>
    </w:p>
    <w:p w14:paraId="4B54C215"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第三十八条　公司可在网站上开设论坛，投资者可以通过论坛向公司提出问题和建议，公司也可通过论坛直接回答有关问题。</w:t>
      </w:r>
    </w:p>
    <w:p w14:paraId="0BD02B1D"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第三十九条　公司可设立公开电子信箱与投资者进行交流。投资者可以通过信箱向公司提出问题和了解情况，公司也可通过信箱回复或解答有关问题。</w:t>
      </w:r>
    </w:p>
    <w:p w14:paraId="54C9B452" w14:textId="41D55F53" w:rsidR="00DD3058"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lastRenderedPageBreak/>
        <w:t>第四十条　对于论坛及电子信箱中涉及的比较重要的或带普遍性的问题及答复，公司应加以整理后在网站的投资者专栏中以显著方式刊载。</w:t>
      </w:r>
    </w:p>
    <w:p w14:paraId="31B6D59C" w14:textId="77777777" w:rsidR="00AD4846" w:rsidRPr="00BC326B" w:rsidRDefault="00AD4846" w:rsidP="00E85DE0">
      <w:pPr>
        <w:pStyle w:val="a4"/>
        <w:adjustRightInd w:val="0"/>
        <w:snapToGrid w:val="0"/>
        <w:spacing w:before="0" w:beforeAutospacing="0" w:after="0" w:afterAutospacing="0" w:line="360" w:lineRule="auto"/>
        <w:ind w:firstLine="480"/>
        <w:jc w:val="both"/>
        <w:rPr>
          <w:rStyle w:val="da1"/>
          <w:sz w:val="24"/>
          <w:szCs w:val="24"/>
        </w:rPr>
      </w:pPr>
    </w:p>
    <w:p w14:paraId="4FF3E755" w14:textId="0DCFB902" w:rsidR="00DD3058" w:rsidRPr="00BC326B" w:rsidRDefault="00BC326B" w:rsidP="00E85DE0">
      <w:pPr>
        <w:pStyle w:val="a4"/>
        <w:adjustRightInd w:val="0"/>
        <w:snapToGrid w:val="0"/>
        <w:spacing w:before="0" w:beforeAutospacing="0" w:after="0" w:afterAutospacing="0" w:line="360" w:lineRule="auto"/>
        <w:jc w:val="center"/>
        <w:rPr>
          <w:rStyle w:val="da1"/>
          <w:b/>
          <w:sz w:val="24"/>
          <w:szCs w:val="24"/>
        </w:rPr>
      </w:pPr>
      <w:r w:rsidRPr="00BC326B">
        <w:rPr>
          <w:rStyle w:val="da1"/>
          <w:rFonts w:hint="eastAsia"/>
          <w:b/>
          <w:sz w:val="24"/>
          <w:szCs w:val="24"/>
        </w:rPr>
        <w:t>第四节  分析师会议、业绩说明会和路演</w:t>
      </w:r>
    </w:p>
    <w:p w14:paraId="7AB65264" w14:textId="3C3C0E66"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第四十一条　公司可在定期报告结束后、实施融资计划或其他公司认为必要的时候举行分析师会议、业绩说明会或路演活动。</w:t>
      </w:r>
    </w:p>
    <w:p w14:paraId="69283A4C"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 xml:space="preserve">第四十二条　</w:t>
      </w:r>
      <w:r w:rsidRPr="00BC326B">
        <w:rPr>
          <w:rStyle w:val="da1"/>
          <w:sz w:val="24"/>
          <w:szCs w:val="24"/>
        </w:rPr>
        <w:t>在进行分析师会议、业绩说明会或路演前，公司应事先确定提问可回答范围。若回答的问题涉及未公开重大信息，或者回答的问题可以推理出未公开重大信息的，公司应拒绝回答，不得泄露未公开重大信息</w:t>
      </w:r>
      <w:r w:rsidRPr="00BC326B">
        <w:rPr>
          <w:rStyle w:val="da1"/>
          <w:rFonts w:hint="eastAsia"/>
          <w:sz w:val="24"/>
          <w:szCs w:val="24"/>
        </w:rPr>
        <w:t>。</w:t>
      </w:r>
    </w:p>
    <w:p w14:paraId="5B4933C3"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第四十三条　分析师会议、业绩说明会和路演活动应采取尽量公开的方式进行，在有条件的情况下，可采取网上直播的方式。</w:t>
      </w:r>
    </w:p>
    <w:p w14:paraId="0287A364"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第四十四条　分析师会议、业绩说明会或路演活动如采取网上直播方式，可事先以公开方式就会议举办时间，登陆网址以及登陆方式等向投资者发出通知。</w:t>
      </w:r>
    </w:p>
    <w:p w14:paraId="3EE8464F"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第四十五条　公司可事先通过电子信箱、网上论坛、电话和信函等方式收集中小投资者的有关问题，并在分析师会议、业绩说明会及路演活动上通过网络予以答复。</w:t>
      </w:r>
    </w:p>
    <w:p w14:paraId="7AA5CE96"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第四十六条　分析师会议或业绩说明会可采取网上互动方式，投资者可以通过网络直接提问，公司也可在网上直接回答有关问题。</w:t>
      </w:r>
    </w:p>
    <w:p w14:paraId="2BECB11C"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第四十七条　分析师会议、业绩说明会或路演活动如不能采取网上公开直播方式，公司可以邀请新闻媒体的记者参加，并作出客观报道。</w:t>
      </w:r>
    </w:p>
    <w:p w14:paraId="293DCA25" w14:textId="23835829" w:rsidR="00DD3058"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第四十八条　公司可将分析师会议、业绩说明会和路演活动的影象资料放置于公司网站上，供投资者随时点播。在条件尚不具备的情况下，公司可将有关分析师会议或业绩说明会的文字资料放置于公司网站供投资者查看。</w:t>
      </w:r>
    </w:p>
    <w:p w14:paraId="00D9E26F" w14:textId="77777777" w:rsidR="00AD4846" w:rsidRPr="00BC326B" w:rsidRDefault="00AD4846" w:rsidP="00E85DE0">
      <w:pPr>
        <w:pStyle w:val="a4"/>
        <w:adjustRightInd w:val="0"/>
        <w:snapToGrid w:val="0"/>
        <w:spacing w:before="0" w:beforeAutospacing="0" w:after="0" w:afterAutospacing="0" w:line="360" w:lineRule="auto"/>
        <w:ind w:firstLine="480"/>
        <w:jc w:val="both"/>
        <w:rPr>
          <w:rStyle w:val="da1"/>
          <w:sz w:val="24"/>
          <w:szCs w:val="24"/>
        </w:rPr>
      </w:pPr>
    </w:p>
    <w:p w14:paraId="69B75648" w14:textId="481A3ADA" w:rsidR="00DD3058" w:rsidRPr="00BC326B" w:rsidRDefault="00BC326B" w:rsidP="00E85DE0">
      <w:pPr>
        <w:pStyle w:val="a4"/>
        <w:adjustRightInd w:val="0"/>
        <w:snapToGrid w:val="0"/>
        <w:spacing w:before="0" w:beforeAutospacing="0" w:after="0" w:afterAutospacing="0" w:line="360" w:lineRule="auto"/>
        <w:jc w:val="center"/>
        <w:rPr>
          <w:rStyle w:val="da1"/>
          <w:b/>
          <w:sz w:val="24"/>
          <w:szCs w:val="24"/>
        </w:rPr>
      </w:pPr>
      <w:r w:rsidRPr="00BC326B">
        <w:rPr>
          <w:rStyle w:val="da1"/>
          <w:rFonts w:hint="eastAsia"/>
          <w:b/>
          <w:sz w:val="24"/>
          <w:szCs w:val="24"/>
        </w:rPr>
        <w:t>第五节  一对一沟通</w:t>
      </w:r>
    </w:p>
    <w:p w14:paraId="71D9FA1D" w14:textId="57803165"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第四十九条　公司可在认为必要的时候，就公司的经营情况、财务状况及其他事项与投资者、基金经理、分析师等进行一对一的沟通，介绍公司情况、回答有关问题并听取相关建议。</w:t>
      </w:r>
    </w:p>
    <w:p w14:paraId="297E1833" w14:textId="77777777" w:rsidR="00AD484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第五十条　公司一对一沟通中，应平等对待投资者，为中小投资者参与一对一沟通活动创造机会。</w:t>
      </w:r>
    </w:p>
    <w:p w14:paraId="5E1AA570" w14:textId="6B3109FA" w:rsidR="00DD3058"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lastRenderedPageBreak/>
        <w:t>第五十一条　为避免一对一沟通中可能出现选择性信息披露，公司可将一对一沟通的相关音像和文字记录资料在公司网站上公布，还可邀请新闻机构参加一对一沟通活动并作出报道。</w:t>
      </w:r>
    </w:p>
    <w:p w14:paraId="5358B38E" w14:textId="77777777" w:rsidR="00AD4846" w:rsidRPr="00BC326B" w:rsidRDefault="00AD4846" w:rsidP="00E85DE0">
      <w:pPr>
        <w:pStyle w:val="a4"/>
        <w:adjustRightInd w:val="0"/>
        <w:snapToGrid w:val="0"/>
        <w:spacing w:before="0" w:beforeAutospacing="0" w:after="0" w:afterAutospacing="0" w:line="360" w:lineRule="auto"/>
        <w:ind w:firstLine="480"/>
        <w:jc w:val="both"/>
        <w:rPr>
          <w:rStyle w:val="da1"/>
          <w:sz w:val="24"/>
          <w:szCs w:val="24"/>
        </w:rPr>
      </w:pPr>
    </w:p>
    <w:p w14:paraId="19E6B859" w14:textId="782853B3" w:rsidR="00DD3058" w:rsidRPr="00BC326B" w:rsidRDefault="00BC326B" w:rsidP="00E85DE0">
      <w:pPr>
        <w:pStyle w:val="a4"/>
        <w:adjustRightInd w:val="0"/>
        <w:snapToGrid w:val="0"/>
        <w:spacing w:before="0" w:beforeAutospacing="0" w:after="0" w:afterAutospacing="0" w:line="360" w:lineRule="auto"/>
        <w:jc w:val="center"/>
        <w:rPr>
          <w:rStyle w:val="da1"/>
          <w:b/>
          <w:sz w:val="24"/>
          <w:szCs w:val="24"/>
        </w:rPr>
      </w:pPr>
      <w:r w:rsidRPr="00BC326B">
        <w:rPr>
          <w:rStyle w:val="da1"/>
          <w:rFonts w:hint="eastAsia"/>
          <w:b/>
          <w:sz w:val="24"/>
          <w:szCs w:val="24"/>
        </w:rPr>
        <w:t>第六节  现场参观</w:t>
      </w:r>
    </w:p>
    <w:p w14:paraId="0B7F0A05" w14:textId="77777777" w:rsidR="00F20E3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第五十二条　公司可尽量安排投资者、分析师及基金经理等到公司或募集资金项目所在地进行现场参观。</w:t>
      </w:r>
    </w:p>
    <w:p w14:paraId="336470DF" w14:textId="402BFC25" w:rsidR="00F20E3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第五十三条　公司应合理、妥善地安排参观过程，使参观人员了解公司业务和经营情况，同时应注意避免在参观过程中使参观者有机会得到未公开的重要信息。</w:t>
      </w:r>
    </w:p>
    <w:p w14:paraId="71F94585" w14:textId="77777777" w:rsidR="00302DD4"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第五十四条　公司有必要在事前对相关的接待人员给予有关投资者关系及信息披露方面必要的培训和指导。</w:t>
      </w:r>
    </w:p>
    <w:p w14:paraId="551F9096" w14:textId="77777777" w:rsidR="00302DD4" w:rsidRPr="00BC326B" w:rsidRDefault="00302DD4" w:rsidP="00E85DE0">
      <w:pPr>
        <w:pStyle w:val="a4"/>
        <w:adjustRightInd w:val="0"/>
        <w:snapToGrid w:val="0"/>
        <w:spacing w:before="0" w:beforeAutospacing="0" w:after="0" w:afterAutospacing="0" w:line="360" w:lineRule="auto"/>
        <w:ind w:firstLine="480"/>
        <w:jc w:val="both"/>
        <w:rPr>
          <w:rStyle w:val="da1"/>
          <w:sz w:val="24"/>
          <w:szCs w:val="24"/>
        </w:rPr>
      </w:pPr>
    </w:p>
    <w:p w14:paraId="02153AFE" w14:textId="02ECE526" w:rsidR="00DD3058" w:rsidRPr="00BC326B" w:rsidRDefault="00BC326B" w:rsidP="00E85DE0">
      <w:pPr>
        <w:pStyle w:val="a4"/>
        <w:adjustRightInd w:val="0"/>
        <w:snapToGrid w:val="0"/>
        <w:spacing w:before="0" w:beforeAutospacing="0" w:after="0" w:afterAutospacing="0" w:line="360" w:lineRule="auto"/>
        <w:jc w:val="center"/>
        <w:rPr>
          <w:rStyle w:val="da1"/>
          <w:b/>
          <w:sz w:val="24"/>
          <w:szCs w:val="24"/>
        </w:rPr>
      </w:pPr>
      <w:r w:rsidRPr="00BC326B">
        <w:rPr>
          <w:rStyle w:val="da1"/>
          <w:rFonts w:hint="eastAsia"/>
          <w:b/>
          <w:sz w:val="24"/>
          <w:szCs w:val="24"/>
        </w:rPr>
        <w:t>第七节  电话咨询</w:t>
      </w:r>
    </w:p>
    <w:p w14:paraId="410F4705" w14:textId="77777777" w:rsidR="00302DD4"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第五十五条　公司应设立专门的投资者咨询电话，投资者可利用咨询电话向公司询问、了解其关心的问题。</w:t>
      </w:r>
    </w:p>
    <w:p w14:paraId="040E50C9" w14:textId="730B3E7D" w:rsidR="00DD3058"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第五十六条　咨询电话应有专人负责，并保证在工作时间电话有专人接听和线路畅通。如遇重大事件或其他必要时候，公司应开通多部电话回答投资者咨询。</w:t>
      </w:r>
    </w:p>
    <w:p w14:paraId="36FAA3A9" w14:textId="77777777" w:rsidR="00302DD4" w:rsidRPr="00BC326B" w:rsidRDefault="00302DD4" w:rsidP="00E85DE0">
      <w:pPr>
        <w:pStyle w:val="a4"/>
        <w:adjustRightInd w:val="0"/>
        <w:snapToGrid w:val="0"/>
        <w:spacing w:before="0" w:beforeAutospacing="0" w:after="0" w:afterAutospacing="0" w:line="360" w:lineRule="auto"/>
        <w:ind w:firstLine="480"/>
        <w:jc w:val="both"/>
        <w:rPr>
          <w:rStyle w:val="da1"/>
          <w:sz w:val="24"/>
          <w:szCs w:val="24"/>
        </w:rPr>
      </w:pPr>
    </w:p>
    <w:p w14:paraId="66950C97" w14:textId="52B88DFD" w:rsidR="00DD3058" w:rsidRPr="00BC326B" w:rsidRDefault="00BC326B" w:rsidP="00E85DE0">
      <w:pPr>
        <w:pStyle w:val="a4"/>
        <w:adjustRightInd w:val="0"/>
        <w:snapToGrid w:val="0"/>
        <w:spacing w:before="0" w:beforeAutospacing="0" w:after="0" w:afterAutospacing="0" w:line="360" w:lineRule="auto"/>
        <w:jc w:val="center"/>
        <w:rPr>
          <w:rStyle w:val="da1"/>
          <w:b/>
          <w:sz w:val="24"/>
          <w:szCs w:val="24"/>
        </w:rPr>
      </w:pPr>
      <w:r w:rsidRPr="00BC326B">
        <w:rPr>
          <w:rStyle w:val="da1"/>
          <w:rFonts w:hint="eastAsia"/>
          <w:b/>
          <w:sz w:val="24"/>
          <w:szCs w:val="24"/>
        </w:rPr>
        <w:t>第八节  投资者说明会</w:t>
      </w:r>
    </w:p>
    <w:p w14:paraId="0C99E623" w14:textId="77777777" w:rsidR="00302DD4"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 xml:space="preserve">第五十七条　</w:t>
      </w:r>
      <w:r w:rsidRPr="00BC326B">
        <w:rPr>
          <w:rStyle w:val="da1"/>
          <w:sz w:val="24"/>
          <w:szCs w:val="24"/>
        </w:rPr>
        <w:t>公司召开投资者说明会的，应当采取便于投资者参与的方式进行。公司应当在投资者说明会召开前发布公告，说明投资者关系活动的时间、方式、地点、网址、公司出席人员名单和活动主题等。投资者说明会原则上应当安排在非交易时段召开。</w:t>
      </w:r>
    </w:p>
    <w:p w14:paraId="07AFACF7" w14:textId="77777777" w:rsidR="00302DD4"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公司应当在投资者说明会召开前以及召开期间为投资者开通提问渠道，做好投资者提问征集工作，并在说明会上对投资者关注的问题予以答复。</w:t>
      </w:r>
    </w:p>
    <w:p w14:paraId="5AB7EE9E" w14:textId="77777777" w:rsidR="00302DD4"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 xml:space="preserve">第五十八条　</w:t>
      </w:r>
      <w:r w:rsidRPr="00BC326B">
        <w:rPr>
          <w:rStyle w:val="da1"/>
          <w:sz w:val="24"/>
          <w:szCs w:val="24"/>
        </w:rPr>
        <w:t>参与投资者说明会的公司人员应当包括公司董事长（或者总经理）、财务负责人、独立董事和董事会秘书。</w:t>
      </w:r>
    </w:p>
    <w:p w14:paraId="7D94BAA9" w14:textId="77777777" w:rsidR="00302DD4"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lastRenderedPageBreak/>
        <w:t xml:space="preserve">第五十九条　</w:t>
      </w:r>
      <w:r w:rsidRPr="00BC326B">
        <w:rPr>
          <w:rStyle w:val="da1"/>
          <w:sz w:val="24"/>
          <w:szCs w:val="24"/>
        </w:rPr>
        <w:t>除依法履行信息披露义务外，公司应当积极召开投资者说明会，向投资者介绍情况、回答问题、听取建议。存在下列情形的，公司应当及时召开投资者说明会：</w:t>
      </w:r>
    </w:p>
    <w:p w14:paraId="3641A6CE" w14:textId="77777777" w:rsidR="00302DD4"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（一）公司当年现金分红水平未达相关规定，需要说明原因的；</w:t>
      </w:r>
    </w:p>
    <w:p w14:paraId="24B88C50" w14:textId="77777777" w:rsidR="00302DD4"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（二）公司在披露重组预案或重组报告书后终止重组的；</w:t>
      </w:r>
    </w:p>
    <w:p w14:paraId="69DB8EDA" w14:textId="4D6C2FF3" w:rsidR="00302DD4"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（三）公司股票交易出现相关规则规定的异常波动</w:t>
      </w:r>
      <w:r w:rsidR="00302DD4" w:rsidRPr="00BC326B">
        <w:rPr>
          <w:rStyle w:val="da1"/>
          <w:sz w:val="24"/>
          <w:szCs w:val="24"/>
        </w:rPr>
        <w:t>，</w:t>
      </w:r>
      <w:r w:rsidRPr="00BC326B">
        <w:rPr>
          <w:rStyle w:val="da1"/>
          <w:sz w:val="24"/>
          <w:szCs w:val="24"/>
        </w:rPr>
        <w:t>公司核查后发现存在未披露重大事件的；</w:t>
      </w:r>
    </w:p>
    <w:p w14:paraId="41DDFCCC" w14:textId="77777777" w:rsidR="00302DD4"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（四）公司相关重大事件受到市场高度关注或质疑的；</w:t>
      </w:r>
    </w:p>
    <w:p w14:paraId="2D2C6CD9" w14:textId="77777777" w:rsidR="00302DD4"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（五）公司在年度报告披露后，按照中国证监会和</w:t>
      </w:r>
      <w:r w:rsidRPr="00BC326B">
        <w:rPr>
          <w:rStyle w:val="da1"/>
          <w:rFonts w:hint="eastAsia"/>
          <w:sz w:val="24"/>
          <w:szCs w:val="24"/>
        </w:rPr>
        <w:t>深圳证券交易所</w:t>
      </w:r>
      <w:r w:rsidRPr="00BC326B">
        <w:rPr>
          <w:rStyle w:val="da1"/>
          <w:sz w:val="24"/>
          <w:szCs w:val="24"/>
        </w:rPr>
        <w:t>相关规定应当召开年度报告业绩说明会的；</w:t>
      </w:r>
    </w:p>
    <w:p w14:paraId="4CB938DA" w14:textId="776F1265" w:rsidR="00DD3058"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sz w:val="24"/>
          <w:szCs w:val="24"/>
        </w:rPr>
        <w:t>（六）其他按照中国证监会和</w:t>
      </w:r>
      <w:r w:rsidRPr="00BC326B">
        <w:rPr>
          <w:rStyle w:val="da1"/>
          <w:rFonts w:hint="eastAsia"/>
          <w:sz w:val="24"/>
          <w:szCs w:val="24"/>
        </w:rPr>
        <w:t>深圳证券交易所</w:t>
      </w:r>
      <w:r w:rsidRPr="00BC326B">
        <w:rPr>
          <w:rStyle w:val="da1"/>
          <w:sz w:val="24"/>
          <w:szCs w:val="24"/>
        </w:rPr>
        <w:t>规定应当召开投资者说明会的情形。</w:t>
      </w:r>
    </w:p>
    <w:p w14:paraId="6368203E" w14:textId="77777777" w:rsidR="00AD4846" w:rsidRPr="00BC326B" w:rsidRDefault="00AD4846" w:rsidP="00E85DE0">
      <w:pPr>
        <w:pStyle w:val="a4"/>
        <w:adjustRightInd w:val="0"/>
        <w:snapToGrid w:val="0"/>
        <w:spacing w:before="0" w:beforeAutospacing="0" w:after="0" w:afterAutospacing="0" w:line="360" w:lineRule="auto"/>
        <w:ind w:firstLine="480"/>
        <w:jc w:val="both"/>
        <w:rPr>
          <w:rStyle w:val="da1"/>
          <w:sz w:val="24"/>
          <w:szCs w:val="24"/>
        </w:rPr>
      </w:pPr>
    </w:p>
    <w:p w14:paraId="50A6BCD8" w14:textId="6319019B" w:rsidR="00DD3058" w:rsidRPr="00BC326B" w:rsidRDefault="00BC326B" w:rsidP="00E85DE0">
      <w:pPr>
        <w:pStyle w:val="a4"/>
        <w:adjustRightInd w:val="0"/>
        <w:snapToGrid w:val="0"/>
        <w:spacing w:before="0" w:beforeAutospacing="0" w:after="0" w:afterAutospacing="0" w:line="360" w:lineRule="auto"/>
        <w:jc w:val="center"/>
        <w:rPr>
          <w:rStyle w:val="da1"/>
          <w:b/>
          <w:bCs/>
          <w:sz w:val="24"/>
          <w:szCs w:val="24"/>
        </w:rPr>
      </w:pPr>
      <w:r w:rsidRPr="00BC326B">
        <w:rPr>
          <w:rStyle w:val="da1"/>
          <w:rFonts w:hint="eastAsia"/>
          <w:b/>
          <w:bCs/>
          <w:sz w:val="24"/>
          <w:szCs w:val="24"/>
        </w:rPr>
        <w:t>第六章  附则</w:t>
      </w:r>
    </w:p>
    <w:p w14:paraId="56144A02" w14:textId="77777777" w:rsidR="00AD4846" w:rsidRPr="00BC326B" w:rsidRDefault="00AD4846" w:rsidP="00E85DE0">
      <w:pPr>
        <w:pStyle w:val="a4"/>
        <w:adjustRightInd w:val="0"/>
        <w:snapToGrid w:val="0"/>
        <w:spacing w:before="0" w:beforeAutospacing="0" w:after="0" w:afterAutospacing="0" w:line="360" w:lineRule="auto"/>
        <w:jc w:val="both"/>
        <w:rPr>
          <w:rStyle w:val="da1"/>
          <w:b/>
          <w:bCs/>
          <w:sz w:val="24"/>
          <w:szCs w:val="24"/>
        </w:rPr>
      </w:pPr>
    </w:p>
    <w:p w14:paraId="56379BD5" w14:textId="4D991A1B" w:rsidR="00302DD4"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 xml:space="preserve">第六十条　</w:t>
      </w:r>
      <w:r w:rsidR="00AD75DE" w:rsidRPr="00BC326B">
        <w:rPr>
          <w:rStyle w:val="da1"/>
          <w:rFonts w:hint="eastAsia"/>
          <w:sz w:val="24"/>
          <w:szCs w:val="24"/>
        </w:rPr>
        <w:t>按照国家有关法律、法规、规范性文件和《公司章程》的规定执行。如本制度与国家有关部门或机构日后颁布的法律、法规、规范性文件及《公司章程》相抵触，以国家有关部门或机构日后颁布的法律、法规、规范性文件及《公司章程》为准。</w:t>
      </w:r>
    </w:p>
    <w:p w14:paraId="2E1118D1" w14:textId="12AA9E57" w:rsidR="00F20E36" w:rsidRPr="00BC326B" w:rsidRDefault="00BC326B" w:rsidP="00E85DE0">
      <w:pPr>
        <w:pStyle w:val="a4"/>
        <w:adjustRightInd w:val="0"/>
        <w:snapToGrid w:val="0"/>
        <w:spacing w:before="0" w:beforeAutospacing="0" w:after="0" w:afterAutospacing="0" w:line="360" w:lineRule="auto"/>
        <w:ind w:firstLine="480"/>
        <w:jc w:val="both"/>
        <w:rPr>
          <w:rStyle w:val="da1"/>
          <w:sz w:val="24"/>
          <w:szCs w:val="24"/>
        </w:rPr>
      </w:pPr>
      <w:r w:rsidRPr="00BC326B">
        <w:rPr>
          <w:rStyle w:val="da1"/>
          <w:rFonts w:hint="eastAsia"/>
          <w:sz w:val="24"/>
          <w:szCs w:val="24"/>
        </w:rPr>
        <w:t>第六十一条　本制度</w:t>
      </w:r>
      <w:r w:rsidR="00AD75DE" w:rsidRPr="00BC326B">
        <w:rPr>
          <w:rStyle w:val="da1"/>
          <w:rFonts w:hint="eastAsia"/>
          <w:sz w:val="24"/>
          <w:szCs w:val="24"/>
        </w:rPr>
        <w:t>由公司董事会负责修订和解释</w:t>
      </w:r>
      <w:r w:rsidRPr="00BC326B">
        <w:rPr>
          <w:rStyle w:val="da1"/>
          <w:rFonts w:hint="eastAsia"/>
          <w:sz w:val="24"/>
          <w:szCs w:val="24"/>
        </w:rPr>
        <w:t>。</w:t>
      </w:r>
    </w:p>
    <w:p w14:paraId="3861957A" w14:textId="60F1C9EA" w:rsidR="00DD3058" w:rsidRPr="00BC326B" w:rsidRDefault="00BC326B" w:rsidP="00E85DE0">
      <w:pPr>
        <w:pStyle w:val="a4"/>
        <w:adjustRightInd w:val="0"/>
        <w:snapToGrid w:val="0"/>
        <w:spacing w:before="0" w:beforeAutospacing="0" w:after="0" w:afterAutospacing="0" w:line="360" w:lineRule="auto"/>
        <w:jc w:val="both"/>
        <w:rPr>
          <w:rStyle w:val="da1"/>
          <w:sz w:val="24"/>
          <w:szCs w:val="24"/>
        </w:rPr>
      </w:pPr>
      <w:r w:rsidRPr="00BC326B">
        <w:rPr>
          <w:rStyle w:val="da1"/>
          <w:rFonts w:hint="eastAsia"/>
          <w:sz w:val="24"/>
          <w:szCs w:val="24"/>
        </w:rPr>
        <w:t xml:space="preserve">　　第六十二条　本制度自公司董事会通过之日起</w:t>
      </w:r>
      <w:r w:rsidR="00AD75DE" w:rsidRPr="00BC326B">
        <w:rPr>
          <w:rStyle w:val="da1"/>
          <w:rFonts w:hint="eastAsia"/>
          <w:sz w:val="24"/>
          <w:szCs w:val="24"/>
        </w:rPr>
        <w:t>执行，修改时亦同。原《投资者关系管理制度（2003年10月）》同时废止</w:t>
      </w:r>
      <w:r w:rsidRPr="00BC326B">
        <w:rPr>
          <w:rStyle w:val="da1"/>
          <w:rFonts w:hint="eastAsia"/>
          <w:sz w:val="24"/>
          <w:szCs w:val="24"/>
        </w:rPr>
        <w:t>。</w:t>
      </w:r>
    </w:p>
    <w:p w14:paraId="54A614CB" w14:textId="77777777" w:rsidR="00DD3058" w:rsidRPr="00BC326B" w:rsidRDefault="00DD3058" w:rsidP="00E85DE0">
      <w:pPr>
        <w:adjustRightInd w:val="0"/>
        <w:snapToGrid w:val="0"/>
        <w:spacing w:line="360" w:lineRule="auto"/>
        <w:rPr>
          <w:rFonts w:ascii="宋体" w:hAnsi="宋体"/>
          <w:sz w:val="24"/>
        </w:rPr>
      </w:pPr>
    </w:p>
    <w:p w14:paraId="53C80005" w14:textId="77777777" w:rsidR="00DD3058" w:rsidRPr="00BC326B" w:rsidRDefault="00DD3058" w:rsidP="00E85DE0">
      <w:pPr>
        <w:adjustRightInd w:val="0"/>
        <w:snapToGrid w:val="0"/>
        <w:spacing w:line="360" w:lineRule="auto"/>
        <w:rPr>
          <w:rFonts w:ascii="宋体" w:hAnsi="宋体"/>
          <w:sz w:val="24"/>
        </w:rPr>
      </w:pPr>
    </w:p>
    <w:p w14:paraId="72FD7A9E" w14:textId="77777777" w:rsidR="00DD3058" w:rsidRPr="00BC326B" w:rsidRDefault="00DD3058" w:rsidP="00E85DE0">
      <w:pPr>
        <w:adjustRightInd w:val="0"/>
        <w:snapToGrid w:val="0"/>
        <w:spacing w:line="360" w:lineRule="auto"/>
        <w:rPr>
          <w:rFonts w:ascii="宋体" w:hAnsi="宋体"/>
          <w:sz w:val="24"/>
        </w:rPr>
      </w:pPr>
    </w:p>
    <w:p w14:paraId="6C852726" w14:textId="1EC4965E" w:rsidR="00DD3058" w:rsidRPr="00BC326B" w:rsidRDefault="00BC326B" w:rsidP="00E85DE0">
      <w:pPr>
        <w:adjustRightInd w:val="0"/>
        <w:snapToGrid w:val="0"/>
        <w:spacing w:line="360" w:lineRule="auto"/>
        <w:ind w:right="480"/>
        <w:jc w:val="right"/>
        <w:rPr>
          <w:rFonts w:ascii="宋体" w:hAnsi="宋体"/>
          <w:sz w:val="24"/>
        </w:rPr>
      </w:pPr>
      <w:bookmarkStart w:id="1" w:name="_GoBack"/>
      <w:bookmarkEnd w:id="1"/>
      <w:r w:rsidRPr="00BC326B">
        <w:rPr>
          <w:rFonts w:ascii="宋体" w:hAnsi="宋体" w:hint="eastAsia"/>
          <w:sz w:val="24"/>
        </w:rPr>
        <w:t>江苏华西村股份有限公司</w:t>
      </w:r>
      <w:r w:rsidR="00F20E36" w:rsidRPr="00BC326B">
        <w:rPr>
          <w:rFonts w:ascii="宋体" w:hAnsi="宋体" w:hint="eastAsia"/>
          <w:sz w:val="24"/>
        </w:rPr>
        <w:t>董事会</w:t>
      </w:r>
    </w:p>
    <w:p w14:paraId="6F96BED8" w14:textId="22E803CF" w:rsidR="00DD3058" w:rsidRPr="00BC326B" w:rsidRDefault="00F20E36" w:rsidP="00E85DE0">
      <w:pPr>
        <w:adjustRightInd w:val="0"/>
        <w:snapToGrid w:val="0"/>
        <w:spacing w:line="360" w:lineRule="auto"/>
        <w:ind w:right="960"/>
        <w:jc w:val="right"/>
        <w:rPr>
          <w:rFonts w:ascii="宋体" w:hAnsi="宋体"/>
          <w:sz w:val="24"/>
        </w:rPr>
      </w:pPr>
      <w:r w:rsidRPr="00BC326B">
        <w:rPr>
          <w:rFonts w:ascii="宋体" w:hAnsi="宋体" w:hint="eastAsia"/>
          <w:sz w:val="24"/>
        </w:rPr>
        <w:t>2025年4月</w:t>
      </w:r>
      <w:r w:rsidR="00203C6F">
        <w:rPr>
          <w:rFonts w:ascii="宋体" w:hAnsi="宋体" w:hint="eastAsia"/>
          <w:sz w:val="24"/>
        </w:rPr>
        <w:t>28</w:t>
      </w:r>
      <w:r w:rsidRPr="00BC326B">
        <w:rPr>
          <w:rFonts w:ascii="宋体" w:hAnsi="宋体" w:hint="eastAsia"/>
          <w:sz w:val="24"/>
        </w:rPr>
        <w:t>日</w:t>
      </w:r>
    </w:p>
    <w:sectPr w:rsidR="00DD3058" w:rsidRPr="00BC326B">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76806" w14:textId="77777777" w:rsidR="00167825" w:rsidRDefault="00167825">
      <w:r>
        <w:separator/>
      </w:r>
    </w:p>
  </w:endnote>
  <w:endnote w:type="continuationSeparator" w:id="0">
    <w:p w14:paraId="1CE40B23" w14:textId="77777777" w:rsidR="00167825" w:rsidRDefault="0016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A5BDF" w14:textId="77777777" w:rsidR="00DD3058" w:rsidRDefault="00BC326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D6F1E59" w14:textId="77777777" w:rsidR="00DD3058" w:rsidRDefault="00DD305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77062" w14:textId="77777777" w:rsidR="00DD3058" w:rsidRDefault="00BC326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03C6F">
      <w:rPr>
        <w:rStyle w:val="a5"/>
        <w:noProof/>
      </w:rPr>
      <w:t>10</w:t>
    </w:r>
    <w:r>
      <w:rPr>
        <w:rStyle w:val="a5"/>
      </w:rPr>
      <w:fldChar w:fldCharType="end"/>
    </w:r>
  </w:p>
  <w:p w14:paraId="140FAEA8" w14:textId="77777777" w:rsidR="00DD3058" w:rsidRDefault="00DD305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015E4" w14:textId="77777777" w:rsidR="00167825" w:rsidRDefault="00167825">
      <w:r>
        <w:separator/>
      </w:r>
    </w:p>
  </w:footnote>
  <w:footnote w:type="continuationSeparator" w:id="0">
    <w:p w14:paraId="5BDD99D0" w14:textId="77777777" w:rsidR="00167825" w:rsidRDefault="0016782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rr">
    <w15:presenceInfo w15:providerId="None" w15:userId="xurr"/>
  </w15:person>
  <w15:person w15:author="wyx">
    <w15:presenceInfo w15:providerId="None" w15:userId="w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05FD"/>
    <w:rsid w:val="B37FB6F1"/>
    <w:rsid w:val="B6F35F4C"/>
    <w:rsid w:val="BBBB0A5A"/>
    <w:rsid w:val="CBB9BD37"/>
    <w:rsid w:val="D4EB987F"/>
    <w:rsid w:val="D6FF0443"/>
    <w:rsid w:val="DCF38849"/>
    <w:rsid w:val="DFC3319F"/>
    <w:rsid w:val="DFDFAB84"/>
    <w:rsid w:val="DFFBED95"/>
    <w:rsid w:val="E73BE811"/>
    <w:rsid w:val="EACF7BE7"/>
    <w:rsid w:val="ECEBF67D"/>
    <w:rsid w:val="EDFBDAEF"/>
    <w:rsid w:val="EDFF4CC2"/>
    <w:rsid w:val="EFBF6B5E"/>
    <w:rsid w:val="EFF3A74D"/>
    <w:rsid w:val="F0F37669"/>
    <w:rsid w:val="F77979F8"/>
    <w:rsid w:val="F77D8B00"/>
    <w:rsid w:val="F8BD2E8F"/>
    <w:rsid w:val="FBBE4023"/>
    <w:rsid w:val="FC7FAE2B"/>
    <w:rsid w:val="FCFFDE93"/>
    <w:rsid w:val="FD87FD53"/>
    <w:rsid w:val="FDFAD070"/>
    <w:rsid w:val="FF53B46F"/>
    <w:rsid w:val="FF5702DF"/>
    <w:rsid w:val="FF7F8464"/>
    <w:rsid w:val="FFBBB604"/>
    <w:rsid w:val="FFEDBE07"/>
    <w:rsid w:val="FFEE8422"/>
    <w:rsid w:val="FFFEA0CD"/>
    <w:rsid w:val="FFFF1034"/>
    <w:rsid w:val="FFFF37AC"/>
    <w:rsid w:val="000E1D57"/>
    <w:rsid w:val="00167825"/>
    <w:rsid w:val="00203C6F"/>
    <w:rsid w:val="00302DD4"/>
    <w:rsid w:val="00484556"/>
    <w:rsid w:val="00570B78"/>
    <w:rsid w:val="00602F6B"/>
    <w:rsid w:val="00A505FD"/>
    <w:rsid w:val="00AD4846"/>
    <w:rsid w:val="00AD75DE"/>
    <w:rsid w:val="00BC326B"/>
    <w:rsid w:val="00CB5946"/>
    <w:rsid w:val="00D65D22"/>
    <w:rsid w:val="00DD3058"/>
    <w:rsid w:val="00E262A9"/>
    <w:rsid w:val="00E52760"/>
    <w:rsid w:val="00E85DE0"/>
    <w:rsid w:val="00EA4E54"/>
    <w:rsid w:val="00F156D9"/>
    <w:rsid w:val="00F20E36"/>
    <w:rsid w:val="00F67EE0"/>
    <w:rsid w:val="0FFD527B"/>
    <w:rsid w:val="27F5C30F"/>
    <w:rsid w:val="27FFC2C5"/>
    <w:rsid w:val="2FDFFD33"/>
    <w:rsid w:val="3D175E61"/>
    <w:rsid w:val="3EFB3AEF"/>
    <w:rsid w:val="3EFE7608"/>
    <w:rsid w:val="3FFA2F1D"/>
    <w:rsid w:val="47DE1E45"/>
    <w:rsid w:val="5ED7DC93"/>
    <w:rsid w:val="5FBFE3FA"/>
    <w:rsid w:val="665B2536"/>
    <w:rsid w:val="6DFD67ED"/>
    <w:rsid w:val="6F2644EE"/>
    <w:rsid w:val="6F732E56"/>
    <w:rsid w:val="6FFF71AE"/>
    <w:rsid w:val="755DCBF1"/>
    <w:rsid w:val="76FF87EA"/>
    <w:rsid w:val="773DDB38"/>
    <w:rsid w:val="7BDFDE95"/>
    <w:rsid w:val="7EF4FC9F"/>
    <w:rsid w:val="7FFF0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B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unhideWhenUsed="0" w:qFormat="1"/>
    <w:lsdException w:name="caption" w:uiPriority="35" w:qFormat="1"/>
    <w:lsdException w:name="page number" w:uiPriority="0" w:unhideWhenUsed="0" w:qFormat="1"/>
    <w:lsdException w:name="Title" w:semiHidden="0" w:uiPriority="10" w:unhideWhenUsed="0" w:qFormat="1"/>
    <w:lsdException w:name="Default Paragraph Font"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qFormat/>
    <w:pPr>
      <w:tabs>
        <w:tab w:val="center" w:pos="4153"/>
        <w:tab w:val="right" w:pos="8306"/>
      </w:tabs>
      <w:snapToGrid w:val="0"/>
      <w:jc w:val="left"/>
    </w:pPr>
    <w:rPr>
      <w:sz w:val="18"/>
      <w:szCs w:val="18"/>
    </w:rPr>
  </w:style>
  <w:style w:type="paragraph" w:styleId="a4">
    <w:name w:val="Normal (Web)"/>
    <w:basedOn w:val="a"/>
    <w:semiHidden/>
    <w:qFormat/>
    <w:pPr>
      <w:widowControl/>
      <w:spacing w:before="100" w:beforeAutospacing="1" w:after="100" w:afterAutospacing="1"/>
      <w:jc w:val="left"/>
    </w:pPr>
    <w:rPr>
      <w:rFonts w:ascii="宋体" w:hAnsi="宋体"/>
      <w:kern w:val="0"/>
      <w:sz w:val="18"/>
      <w:szCs w:val="18"/>
    </w:rPr>
  </w:style>
  <w:style w:type="character" w:styleId="a5">
    <w:name w:val="page number"/>
    <w:basedOn w:val="a0"/>
    <w:semiHidden/>
    <w:qFormat/>
  </w:style>
  <w:style w:type="character" w:customStyle="1" w:styleId="da1">
    <w:name w:val="da1"/>
    <w:qFormat/>
    <w:rPr>
      <w:rFonts w:hint="default"/>
      <w:color w:val="000000"/>
      <w:sz w:val="21"/>
      <w:szCs w:val="21"/>
      <w:u w:val="none"/>
    </w:rPr>
  </w:style>
  <w:style w:type="paragraph" w:styleId="a6">
    <w:name w:val="Revision"/>
    <w:hidden/>
    <w:uiPriority w:val="99"/>
    <w:unhideWhenUsed/>
    <w:rsid w:val="00570B78"/>
    <w:rPr>
      <w:kern w:val="2"/>
      <w:sz w:val="21"/>
      <w:szCs w:val="24"/>
    </w:rPr>
  </w:style>
  <w:style w:type="paragraph" w:styleId="a7">
    <w:name w:val="Balloon Text"/>
    <w:basedOn w:val="a"/>
    <w:link w:val="Char"/>
    <w:uiPriority w:val="99"/>
    <w:semiHidden/>
    <w:unhideWhenUsed/>
    <w:rsid w:val="00F20E36"/>
    <w:rPr>
      <w:sz w:val="18"/>
      <w:szCs w:val="18"/>
    </w:rPr>
  </w:style>
  <w:style w:type="character" w:customStyle="1" w:styleId="Char">
    <w:name w:val="批注框文本 Char"/>
    <w:link w:val="a7"/>
    <w:uiPriority w:val="99"/>
    <w:semiHidden/>
    <w:rsid w:val="00F20E3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785500">
      <w:bodyDiv w:val="1"/>
      <w:marLeft w:val="0"/>
      <w:marRight w:val="0"/>
      <w:marTop w:val="0"/>
      <w:marBottom w:val="0"/>
      <w:divBdr>
        <w:top w:val="none" w:sz="0" w:space="0" w:color="auto"/>
        <w:left w:val="none" w:sz="0" w:space="0" w:color="auto"/>
        <w:bottom w:val="none" w:sz="0" w:space="0" w:color="auto"/>
        <w:right w:val="none" w:sz="0" w:space="0" w:color="auto"/>
      </w:divBdr>
    </w:div>
    <w:div w:id="1851485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996</Words>
  <Characters>5679</Characters>
  <Application>Microsoft Office Word</Application>
  <DocSecurity>0</DocSecurity>
  <Lines>47</Lines>
  <Paragraphs>13</Paragraphs>
  <ScaleCrop>false</ScaleCrop>
  <Company>huaxi</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江苏华西村股份有限公司投资者关系管理制度 </dc:title>
  <dc:creator>huaxi</dc:creator>
  <cp:lastModifiedBy>Lenovo</cp:lastModifiedBy>
  <cp:revision>12</cp:revision>
  <cp:lastPrinted>2003-10-22T18:11:00Z</cp:lastPrinted>
  <dcterms:created xsi:type="dcterms:W3CDTF">2025-04-01T17:25:00Z</dcterms:created>
  <dcterms:modified xsi:type="dcterms:W3CDTF">2025-04-27T00:28:00Z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75E4E59350CC7C90FD34F76714134170_42</vt:lpwstr>
  </property>
</Properties>
</file>