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46DD7" w14:textId="77777777" w:rsidR="00233980" w:rsidRPr="005F0F62" w:rsidRDefault="00667B8F">
      <w:pPr>
        <w:snapToGrid w:val="0"/>
        <w:spacing w:line="360" w:lineRule="auto"/>
        <w:jc w:val="center"/>
        <w:rPr>
          <w:rFonts w:eastAsia="黑体"/>
          <w:b/>
          <w:sz w:val="30"/>
          <w:szCs w:val="30"/>
        </w:rPr>
      </w:pPr>
      <w:r w:rsidRPr="005F0F62">
        <w:rPr>
          <w:rFonts w:eastAsia="黑体" w:hint="eastAsia"/>
          <w:b/>
          <w:sz w:val="30"/>
          <w:szCs w:val="30"/>
        </w:rPr>
        <w:t>江苏华西村股份有限公司</w:t>
      </w:r>
    </w:p>
    <w:p w14:paraId="7AEE4CC3" w14:textId="77777777" w:rsidR="00233980" w:rsidRPr="005F0F62" w:rsidRDefault="00667B8F">
      <w:pPr>
        <w:snapToGrid w:val="0"/>
        <w:spacing w:line="360" w:lineRule="auto"/>
        <w:jc w:val="center"/>
        <w:rPr>
          <w:rFonts w:eastAsia="黑体"/>
          <w:b/>
          <w:sz w:val="30"/>
          <w:szCs w:val="30"/>
        </w:rPr>
      </w:pPr>
      <w:r w:rsidRPr="005F0F62">
        <w:rPr>
          <w:rFonts w:eastAsia="黑体" w:hint="eastAsia"/>
          <w:b/>
          <w:sz w:val="30"/>
          <w:szCs w:val="30"/>
        </w:rPr>
        <w:t>募集资金管理制度</w:t>
      </w:r>
    </w:p>
    <w:p w14:paraId="76B6945E" w14:textId="77777777" w:rsidR="00915F6D" w:rsidRPr="00085387" w:rsidRDefault="00915F6D" w:rsidP="00915F6D">
      <w:pPr>
        <w:adjustRightInd w:val="0"/>
        <w:snapToGrid w:val="0"/>
        <w:spacing w:line="360" w:lineRule="auto"/>
        <w:jc w:val="center"/>
        <w:rPr>
          <w:rFonts w:ascii="楷体" w:eastAsia="楷体" w:hAnsi="楷体"/>
          <w:sz w:val="28"/>
          <w:szCs w:val="28"/>
        </w:rPr>
      </w:pPr>
      <w:r w:rsidRPr="00085387">
        <w:rPr>
          <w:rFonts w:ascii="楷体" w:eastAsia="楷体" w:hAnsi="楷体" w:hint="eastAsia"/>
          <w:sz w:val="28"/>
          <w:szCs w:val="28"/>
        </w:rPr>
        <w:t>（修订稿）</w:t>
      </w:r>
    </w:p>
    <w:p w14:paraId="7A4A06C6" w14:textId="77777777" w:rsidR="005F0F62" w:rsidRPr="00646E5B" w:rsidRDefault="005F0F62" w:rsidP="005F0F62">
      <w:pPr>
        <w:adjustRightInd w:val="0"/>
        <w:snapToGrid w:val="0"/>
        <w:spacing w:line="360" w:lineRule="auto"/>
        <w:jc w:val="center"/>
        <w:rPr>
          <w:rFonts w:ascii="宋体" w:hAnsi="宋体"/>
          <w:sz w:val="24"/>
        </w:rPr>
      </w:pPr>
      <w:bookmarkStart w:id="0" w:name="OLE_LINK7"/>
      <w:bookmarkStart w:id="1" w:name="OLE_LINK8"/>
      <w:r w:rsidRPr="00646E5B">
        <w:rPr>
          <w:rFonts w:ascii="宋体" w:hAnsi="宋体" w:hint="eastAsia"/>
          <w:sz w:val="24"/>
        </w:rPr>
        <w:t>（经公司第九届董事会第七次会议审议通过，尚需提交股东会审议）</w:t>
      </w:r>
    </w:p>
    <w:bookmarkEnd w:id="0"/>
    <w:bookmarkEnd w:id="1"/>
    <w:p w14:paraId="7786F9CB" w14:textId="77777777" w:rsidR="00233980" w:rsidRDefault="00233980">
      <w:pPr>
        <w:spacing w:line="360" w:lineRule="auto"/>
        <w:jc w:val="center"/>
      </w:pPr>
    </w:p>
    <w:p w14:paraId="0D3FF37E" w14:textId="77777777" w:rsidR="00233980" w:rsidRDefault="00667B8F">
      <w:pPr>
        <w:spacing w:line="360" w:lineRule="auto"/>
        <w:jc w:val="center"/>
        <w:rPr>
          <w:b/>
          <w:sz w:val="24"/>
        </w:rPr>
      </w:pPr>
      <w:r>
        <w:rPr>
          <w:rFonts w:hint="eastAsia"/>
          <w:b/>
          <w:sz w:val="24"/>
        </w:rPr>
        <w:t>第一章</w:t>
      </w:r>
      <w:r>
        <w:rPr>
          <w:rFonts w:hint="eastAsia"/>
          <w:b/>
          <w:sz w:val="24"/>
        </w:rPr>
        <w:t xml:space="preserve">  </w:t>
      </w:r>
      <w:r>
        <w:rPr>
          <w:rFonts w:hint="eastAsia"/>
          <w:b/>
          <w:sz w:val="24"/>
        </w:rPr>
        <w:t>总则</w:t>
      </w:r>
    </w:p>
    <w:p w14:paraId="2FA3C093" w14:textId="77777777" w:rsidR="00233980" w:rsidRDefault="00233980">
      <w:pPr>
        <w:spacing w:line="360" w:lineRule="auto"/>
        <w:rPr>
          <w:b/>
          <w:sz w:val="24"/>
        </w:rPr>
      </w:pPr>
    </w:p>
    <w:p w14:paraId="03A2873D" w14:textId="5420D0D4"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第一条  为规范江苏华西村股份有限公司（以下简称“公司”）募集资金的使用和管理，提高募集资金的使用效率，切实保护投资者的合法权益，根据《中华人民共和国公司法》（以下简称“《公司法》”）、《中华人民共和国证券法》（以下简称“《证券法》”）、《深圳证券交易所股票上市规则》（以下简称“《上市规则》”）、《上市公司监管指引第2号—上市公司募集资金管理和使用的监管要求》《深圳证券交易所上市公司自律监管指引第1号—主板上市公司规范运作》等有关法律、法规和规范性文件以及《江苏华西村股份有限公司章程》的要求，结合公司的实际情况，特制定本制度。</w:t>
      </w:r>
    </w:p>
    <w:p w14:paraId="19F2A305" w14:textId="7C9923D9"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第二条  本制度所指称募集资金是指公司通过发行股票及其衍生品种</w:t>
      </w:r>
      <w:r w:rsidR="00ED4CAE" w:rsidRPr="00667B8F">
        <w:rPr>
          <w:rFonts w:ascii="宋体" w:hAnsi="宋体" w:hint="eastAsia"/>
          <w:sz w:val="24"/>
        </w:rPr>
        <w:t>，</w:t>
      </w:r>
      <w:r w:rsidRPr="00667B8F">
        <w:rPr>
          <w:rFonts w:ascii="宋体" w:hAnsi="宋体" w:hint="eastAsia"/>
          <w:sz w:val="24"/>
        </w:rPr>
        <w:t>向投资者募集并用于特定用途的资金。</w:t>
      </w:r>
    </w:p>
    <w:p w14:paraId="28B8418C"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第三条  本制度是公司对募集资金使用和管理的基本行为准则。募集资金投资项目通过公司的子公司或公司控制的其他企业实施的，公司子公司或受公司控制的其他企业也应遵守本制度。</w:t>
      </w:r>
    </w:p>
    <w:p w14:paraId="5C78244B" w14:textId="77777777" w:rsidR="00233980" w:rsidRPr="00667B8F" w:rsidRDefault="00233980">
      <w:pPr>
        <w:spacing w:line="360" w:lineRule="auto"/>
        <w:rPr>
          <w:rFonts w:ascii="宋体" w:hAnsi="宋体"/>
          <w:sz w:val="24"/>
        </w:rPr>
      </w:pPr>
    </w:p>
    <w:p w14:paraId="3B897FBC" w14:textId="77777777" w:rsidR="00233980" w:rsidRPr="00667B8F" w:rsidRDefault="00667B8F">
      <w:pPr>
        <w:spacing w:line="360" w:lineRule="auto"/>
        <w:jc w:val="center"/>
        <w:rPr>
          <w:rFonts w:ascii="宋体" w:hAnsi="宋体"/>
          <w:b/>
          <w:sz w:val="24"/>
        </w:rPr>
      </w:pPr>
      <w:r w:rsidRPr="00667B8F">
        <w:rPr>
          <w:rFonts w:ascii="宋体" w:hAnsi="宋体" w:hint="eastAsia"/>
          <w:b/>
          <w:sz w:val="24"/>
        </w:rPr>
        <w:t>第二章  募集资金的使用和管理原则</w:t>
      </w:r>
    </w:p>
    <w:p w14:paraId="4F85EAA3" w14:textId="77777777" w:rsidR="00233980" w:rsidRPr="00667B8F" w:rsidRDefault="00233980">
      <w:pPr>
        <w:spacing w:line="360" w:lineRule="auto"/>
        <w:rPr>
          <w:rFonts w:ascii="宋体" w:hAnsi="宋体"/>
          <w:sz w:val="24"/>
        </w:rPr>
      </w:pPr>
    </w:p>
    <w:p w14:paraId="492D14E5" w14:textId="2E294121"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第四条  公司应当审慎使用募集资金，保证募集资金的使用与</w:t>
      </w:r>
      <w:r w:rsidR="00ED4CAE" w:rsidRPr="00667B8F">
        <w:rPr>
          <w:rFonts w:ascii="宋体" w:hAnsi="宋体" w:hint="eastAsia"/>
          <w:sz w:val="24"/>
        </w:rPr>
        <w:t>发行申请文件的承诺</w:t>
      </w:r>
      <w:r w:rsidRPr="00667B8F">
        <w:rPr>
          <w:rFonts w:ascii="宋体" w:hAnsi="宋体" w:hint="eastAsia"/>
          <w:sz w:val="24"/>
        </w:rPr>
        <w:t>相一致</w:t>
      </w:r>
      <w:r w:rsidR="00ED4CAE" w:rsidRPr="00667B8F">
        <w:rPr>
          <w:rFonts w:ascii="宋体" w:hAnsi="宋体" w:hint="eastAsia"/>
          <w:sz w:val="24"/>
        </w:rPr>
        <w:t>，不得随意改变募集资金的投向</w:t>
      </w:r>
      <w:r w:rsidRPr="00667B8F">
        <w:rPr>
          <w:rFonts w:ascii="宋体" w:hAnsi="宋体" w:hint="eastAsia"/>
          <w:sz w:val="24"/>
        </w:rPr>
        <w:t>。公司变更募集资金运用项目必须经过股东会批准，并履行信息披露和其他相关法律义务。</w:t>
      </w:r>
    </w:p>
    <w:p w14:paraId="74E60427" w14:textId="1A9BC014"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第五条  公司的董事和高级管理人员应当勤勉尽责，督促公司规范使用募集资金，自觉维护公司募集资金安全，不得参与、协助或纵容公司擅自或变相改变募集资金用途。</w:t>
      </w:r>
    </w:p>
    <w:p w14:paraId="6682555C"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lastRenderedPageBreak/>
        <w:t>公司的控股股东、实际控制人及其他关联人不得占用公司募集资金，不得利用公司募集资金投资项目获取不正当利益。</w:t>
      </w:r>
    </w:p>
    <w:p w14:paraId="2ECD5191" w14:textId="64248CBD"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第六条  公司董事会应当对募集资金投资项目的可行性进行充分论证，确信投资项目具有较好的市场前景和盈利能力，有效防范投资风险，提高募集资金使用效益。</w:t>
      </w:r>
    </w:p>
    <w:p w14:paraId="6E8EEDFB" w14:textId="2A5C721E"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第七条  违反国家法律、法规、《公司章程》以及本制度的规定使用募集资金,致使公司遭受损失的，相关责任人应承担相应的民事赔偿责任。</w:t>
      </w:r>
    </w:p>
    <w:p w14:paraId="40FAB68E" w14:textId="77777777" w:rsidR="00233980" w:rsidRPr="00667B8F" w:rsidRDefault="00233980">
      <w:pPr>
        <w:spacing w:line="360" w:lineRule="auto"/>
        <w:ind w:firstLineChars="192" w:firstLine="461"/>
        <w:rPr>
          <w:rFonts w:ascii="宋体" w:hAnsi="宋体"/>
          <w:sz w:val="24"/>
        </w:rPr>
      </w:pPr>
    </w:p>
    <w:p w14:paraId="64261D6A" w14:textId="77777777" w:rsidR="00233980" w:rsidRPr="00667B8F" w:rsidRDefault="00667B8F">
      <w:pPr>
        <w:numPr>
          <w:ilvl w:val="0"/>
          <w:numId w:val="1"/>
        </w:numPr>
        <w:spacing w:line="360" w:lineRule="auto"/>
        <w:jc w:val="center"/>
        <w:rPr>
          <w:rFonts w:ascii="宋体" w:hAnsi="宋体"/>
          <w:b/>
          <w:sz w:val="24"/>
        </w:rPr>
      </w:pPr>
      <w:r w:rsidRPr="00667B8F">
        <w:rPr>
          <w:rFonts w:ascii="宋体" w:hAnsi="宋体" w:hint="eastAsia"/>
          <w:b/>
          <w:sz w:val="24"/>
        </w:rPr>
        <w:t xml:space="preserve"> 募集资金的到位与存放</w:t>
      </w:r>
    </w:p>
    <w:p w14:paraId="5E7328ED" w14:textId="77777777" w:rsidR="00233980" w:rsidRPr="00667B8F" w:rsidRDefault="00233980">
      <w:pPr>
        <w:spacing w:line="360" w:lineRule="auto"/>
        <w:rPr>
          <w:rFonts w:ascii="宋体" w:hAnsi="宋体"/>
          <w:b/>
          <w:sz w:val="24"/>
        </w:rPr>
      </w:pPr>
    </w:p>
    <w:p w14:paraId="18306ECE" w14:textId="37929FAC"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第八条  募集资金到位后，公司应及时办理验资手续，由具有证券从业资格的会计师事务所出具验资报告。</w:t>
      </w:r>
    </w:p>
    <w:p w14:paraId="6606C7C2" w14:textId="0F045ADC"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第九条  公司募集资金应在公司设立的专项账户集中存放。募集资金专项账户（以下简称“专户”）的设立应经公司董事会批准，专户不得存放非募集资金或用作其他用途。募集资金专户数量不得超过募集资金投资项目的个数。</w:t>
      </w:r>
    </w:p>
    <w:p w14:paraId="044FAAE0"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公司存在两次以上融资的，应当独立设置募集资金专户。同一投资项目所需资金应当在同一专户存储。</w:t>
      </w:r>
    </w:p>
    <w:p w14:paraId="30F9621D"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公司募集资金数额较大时，可以结合投资项目的资金安排，经董事会批准后，在一家以上银行开设专用账户，但同一投资项目所需资金应当在同一专户存储。</w:t>
      </w:r>
    </w:p>
    <w:p w14:paraId="6EC21A3F"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sz w:val="24"/>
        </w:rPr>
        <w:t>超募资金也应当存放于募集资金专户管理。</w:t>
      </w:r>
    </w:p>
    <w:p w14:paraId="72B9533C" w14:textId="6A731265"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第十条  公司应当在募集资金到位后一个月内与保荐机构或者独立财务顾问或者独立财务顾问、存放募集资金的商业银行（以下简称“商业银行”）签订三方监管协议(以下简称“协议”)。协议至少应当包括以下内容：</w:t>
      </w:r>
    </w:p>
    <w:p w14:paraId="0B8FEDC7"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（一）公司应当将募集资金集中存放于专户；</w:t>
      </w:r>
    </w:p>
    <w:p w14:paraId="0409E3BF"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（二）募集资金专户账号、该专户涉及的募集资金项目、存放金额；</w:t>
      </w:r>
    </w:p>
    <w:p w14:paraId="3C8884AC" w14:textId="7FB44F20"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（三）公司一次或十二个月内累计从该专户中支取的金额超过5</w:t>
      </w:r>
      <w:r w:rsidR="00ED4CAE" w:rsidRPr="00667B8F">
        <w:rPr>
          <w:rFonts w:ascii="宋体" w:hAnsi="宋体" w:hint="eastAsia"/>
          <w:sz w:val="24"/>
        </w:rPr>
        <w:t>,</w:t>
      </w:r>
      <w:r w:rsidRPr="00667B8F">
        <w:rPr>
          <w:rFonts w:ascii="宋体" w:hAnsi="宋体" w:hint="eastAsia"/>
          <w:sz w:val="24"/>
        </w:rPr>
        <w:t>000万元人民币或者募集资金净额的20%的，公司及商业银行应当及时通知保荐机构或者独立财务顾问或者独立财务顾问；</w:t>
      </w:r>
    </w:p>
    <w:p w14:paraId="514C7A5A" w14:textId="1DEA59E6"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（四）商业银行每月向公司出具银行对账单，并抄送保荐机构或者独立财务</w:t>
      </w:r>
      <w:r w:rsidRPr="00667B8F">
        <w:rPr>
          <w:rFonts w:ascii="宋体" w:hAnsi="宋体" w:hint="eastAsia"/>
          <w:sz w:val="24"/>
        </w:rPr>
        <w:lastRenderedPageBreak/>
        <w:t>顾问；</w:t>
      </w:r>
    </w:p>
    <w:p w14:paraId="1EC67BC3" w14:textId="42879BE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（五）保荐机构或者独立财务顾问可以随时到商业银行查询专户资料；</w:t>
      </w:r>
    </w:p>
    <w:p w14:paraId="25EB1C1B" w14:textId="5C30027E"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（六）保荐机构或者独立财务顾问的督导职责、商业银行的告知及配合职责、保荐机构或者独立财务顾问和商业银行对公司募集资金使用的监管方式；</w:t>
      </w:r>
    </w:p>
    <w:p w14:paraId="5703A22E" w14:textId="0164427D"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（七）公司、商业银行、保荐机构或者独立财务顾问的权利、义务和违约责任；</w:t>
      </w:r>
    </w:p>
    <w:p w14:paraId="5BA48D12" w14:textId="0809C4E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（八）商业银行三次未及时向保荐机构或者独立财务顾问出具对账单或通知专户大额支取情况，以及存在未配合保荐机构或者独立财务顾问查询与调查专户资料情形的，公司可以终止协议并注销该募集资金专户。</w:t>
      </w:r>
    </w:p>
    <w:p w14:paraId="7E6BEB3B" w14:textId="65B37EE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公司应当在上述协议签订后及时公告三方协议主要内容。。</w:t>
      </w:r>
    </w:p>
    <w:p w14:paraId="470955E0"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公司通过控股子公司实施募集资金投资项目的，应当由公司、实施募集资金投资项目的控股子公司、商业银行和保荐机构或独立财务顾问共同签署三方协议，公司及其控股子公司应当视为共同一方。</w:t>
      </w:r>
    </w:p>
    <w:p w14:paraId="35CE9470" w14:textId="19D90D5E"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上述协议在有效期届满前提前终止的，公司应当自协议终止之日起一个月内与相关当事人签订新的协议，并及时公告。</w:t>
      </w:r>
    </w:p>
    <w:p w14:paraId="06D4D1EC" w14:textId="77777777" w:rsidR="00233980" w:rsidRPr="00667B8F" w:rsidRDefault="00233980">
      <w:pPr>
        <w:spacing w:line="360" w:lineRule="auto"/>
        <w:ind w:firstLineChars="191" w:firstLine="458"/>
        <w:rPr>
          <w:rFonts w:ascii="宋体" w:hAnsi="宋体"/>
          <w:sz w:val="24"/>
        </w:rPr>
      </w:pPr>
    </w:p>
    <w:p w14:paraId="46042D13" w14:textId="77777777" w:rsidR="00233980" w:rsidRPr="00667B8F" w:rsidRDefault="00667B8F">
      <w:pPr>
        <w:spacing w:line="360" w:lineRule="auto"/>
        <w:jc w:val="center"/>
        <w:rPr>
          <w:rFonts w:ascii="宋体" w:hAnsi="宋体"/>
          <w:b/>
          <w:sz w:val="24"/>
        </w:rPr>
      </w:pPr>
      <w:r w:rsidRPr="00667B8F">
        <w:rPr>
          <w:rFonts w:ascii="宋体" w:hAnsi="宋体" w:hint="eastAsia"/>
          <w:b/>
          <w:sz w:val="24"/>
        </w:rPr>
        <w:t>第四章  募集资金的使用和管理</w:t>
      </w:r>
    </w:p>
    <w:p w14:paraId="1FF596DF" w14:textId="77777777" w:rsidR="00233980" w:rsidRPr="00667B8F" w:rsidRDefault="00233980">
      <w:pPr>
        <w:spacing w:line="360" w:lineRule="auto"/>
        <w:jc w:val="center"/>
        <w:rPr>
          <w:rFonts w:ascii="宋体" w:hAnsi="宋体"/>
          <w:b/>
          <w:sz w:val="24"/>
        </w:rPr>
      </w:pPr>
    </w:p>
    <w:p w14:paraId="3B339AA5" w14:textId="3A2C93F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第十一条  公司应当按照</w:t>
      </w:r>
      <w:r w:rsidR="00FE07E1" w:rsidRPr="00667B8F">
        <w:rPr>
          <w:rFonts w:ascii="宋体" w:hAnsi="宋体" w:hint="eastAsia"/>
          <w:sz w:val="24"/>
        </w:rPr>
        <w:t>发行申请文件</w:t>
      </w:r>
      <w:r w:rsidRPr="00667B8F">
        <w:rPr>
          <w:rFonts w:ascii="宋体" w:hAnsi="宋体" w:hint="eastAsia"/>
          <w:sz w:val="24"/>
        </w:rPr>
        <w:t>中承诺的募集资金用途和投资计划使用募集资金。出现严重影响募集资金投资计划正常进行的情形时，公司应当及时公告。</w:t>
      </w:r>
    </w:p>
    <w:p w14:paraId="34B6F26D" w14:textId="3D5E1F64"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第十二条  公司应谨慎地使用募集资金，坚持以最低投资成本产出最大效益的原则，正确把握投资时机，正确处理投资金额、投资进度、投资项目效益的关系。</w:t>
      </w:r>
    </w:p>
    <w:p w14:paraId="0D993894"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第十三条  公司募集资金原则上应当用于主营业务。募集资金投资项目不得用于证券投资、衍生品交易等高风险投资或者为他人提供财务资助，不得直接或间接投资于以买卖有价证券为主要业务的公司，不得将募集资金用于质押、委托贷款或进行其他变相改变募集资金用途的投资。</w:t>
      </w:r>
    </w:p>
    <w:p w14:paraId="0F3C3F87" w14:textId="5EE725E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第十四条  公司应当确保募集资金使用的真实性和公允性，防止募集资金被</w:t>
      </w:r>
      <w:r w:rsidRPr="00667B8F">
        <w:rPr>
          <w:rFonts w:ascii="宋体" w:hAnsi="宋体" w:hint="eastAsia"/>
          <w:sz w:val="24"/>
        </w:rPr>
        <w:lastRenderedPageBreak/>
        <w:t>控股股东、实际控制人等关联人占用或挪用，并采取有效措施避免关联人利用募集资金投资项目获取不正当利益。</w:t>
      </w:r>
    </w:p>
    <w:p w14:paraId="1B974565" w14:textId="53AE4A5D"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第十五条  公司在进行项目投资时，资金支出必须严格按照公司资金管理制度履行资金使用审批手续，凡涉及每一笔募集资金的支出，均须由有关部门提出资金使用计划，在董事会授权范围内，逐级由经办人、项目负责人、财务负责人及总经理签字后予以付款，同时，应及时通知</w:t>
      </w:r>
      <w:r w:rsidR="00FE07E1" w:rsidRPr="00667B8F">
        <w:rPr>
          <w:rFonts w:ascii="宋体" w:hAnsi="宋体" w:hint="eastAsia"/>
          <w:sz w:val="24"/>
        </w:rPr>
        <w:t>董事会办公室</w:t>
      </w:r>
      <w:r w:rsidRPr="00667B8F">
        <w:rPr>
          <w:rFonts w:ascii="宋体" w:hAnsi="宋体" w:hint="eastAsia"/>
          <w:sz w:val="24"/>
        </w:rPr>
        <w:t>，以履行信息披露等工作。</w:t>
      </w:r>
    </w:p>
    <w:p w14:paraId="3E8C6FE9" w14:textId="3D417A19"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第十六条  募集资金投资项目出现下列情形的，公司应当对该项目的可行性、预计收益等重新进行论证，决定是否继续实施该项目：</w:t>
      </w:r>
    </w:p>
    <w:p w14:paraId="76017E57"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（一）募集资金投资项目涉及的市场环境发生重大变化的；</w:t>
      </w:r>
    </w:p>
    <w:p w14:paraId="60B4E01B"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（二）募集资金投资项目搁置时间超过一年的；</w:t>
      </w:r>
    </w:p>
    <w:p w14:paraId="0FF2A1AB"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（三）超过最近一次募集资金投资计划的完成期限且募集资金投入金额未达到相关计划金额50%的；</w:t>
      </w:r>
    </w:p>
    <w:p w14:paraId="57689F62"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（四）募集资金投资项目出现其他异常情形的。</w:t>
      </w:r>
    </w:p>
    <w:p w14:paraId="1FE6BCA5"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公司应当在最近一期定期报告中披露项目的进展情况、出现异常的原因以及调整后的募集资金投资计划（如有）。</w:t>
      </w:r>
    </w:p>
    <w:p w14:paraId="3D80B827" w14:textId="13F5EF7F"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第十七条  公司决定终止原募集资金投资项目的，应当尽快、科学地选择新的投资项目。</w:t>
      </w:r>
    </w:p>
    <w:p w14:paraId="1C3C4B59"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第十八条  公司将募集资金用作以下事项时，应当经董事会审议通过，并由审计委员会以及保荐机构或者独立财务顾问发表明确同意意见：</w:t>
      </w:r>
    </w:p>
    <w:p w14:paraId="0A17BCD4"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（一）以募集资金置换预先已投入募集资金投资项目的自筹资金；</w:t>
      </w:r>
    </w:p>
    <w:p w14:paraId="5716D4CF"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（二）使用暂时闲置的募集资金进行现金管理；</w:t>
      </w:r>
    </w:p>
    <w:p w14:paraId="72709FAE"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（三）使用暂时闲置的募集资金暂时补充流动资金；</w:t>
      </w:r>
    </w:p>
    <w:p w14:paraId="20062809"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（四）变更募集资金用途；</w:t>
      </w:r>
    </w:p>
    <w:p w14:paraId="665B082E"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（五）改变募集资金投资项目实施地点；</w:t>
      </w:r>
    </w:p>
    <w:p w14:paraId="549A2657"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（六）使用节余募集资金；</w:t>
      </w:r>
    </w:p>
    <w:p w14:paraId="37C164DF"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（七）超募资金用于在建项目及新项目。</w:t>
      </w:r>
    </w:p>
    <w:p w14:paraId="53DE93DD"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公司变更募集资金用途，还应当经股东会审议通过。</w:t>
      </w:r>
    </w:p>
    <w:p w14:paraId="68F770CB"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相关事项涉及关联交易、购买资产、对外投资等的，还应当按照《上市规则》</w:t>
      </w:r>
      <w:r w:rsidRPr="00667B8F">
        <w:rPr>
          <w:rFonts w:ascii="宋体" w:hAnsi="宋体" w:hint="eastAsia"/>
          <w:sz w:val="24"/>
        </w:rPr>
        <w:lastRenderedPageBreak/>
        <w:t>第六章的规定履行审议程序和信息披露义务。</w:t>
      </w:r>
    </w:p>
    <w:p w14:paraId="2A00CC76" w14:textId="65715EE0"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第十九条  公司以自筹资金预先投入募集资金投资项目的，可以在募集资金到账后6个月内，以募集资金置换自筹资金。置换事项应当经董事会审议通过，会计师事务所出具鉴证报告，并由审计委员会、保荐机构或者独立财务顾问发表明确同意意见并披露。</w:t>
      </w:r>
    </w:p>
    <w:p w14:paraId="0F816C43"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公司已在发行申请文件披露拟以募集资金置换预先投入的自筹资金且预先投入金额确定的，应当在置换实施前对外公告。</w:t>
      </w:r>
    </w:p>
    <w:p w14:paraId="415A0F4E"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第二十条  暂时闲置的募集资金可进行现金管理，其投资的产品须符合以下条件：</w:t>
      </w:r>
    </w:p>
    <w:p w14:paraId="58DC13DD" w14:textId="05577B14"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（一）结构性存款、大额存单等安全性高的保本型产品；</w:t>
      </w:r>
    </w:p>
    <w:p w14:paraId="2CAA2643" w14:textId="08196484"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二）流动性好，不得影响募集资金投资计划正常进行。投资产品不得质押，产品专用结算账户（如适用）不得存放非募集资金或用作其他用途，开立或注销产品专用结算账户的，公司应当及时报深交所备案并公告。</w:t>
      </w:r>
    </w:p>
    <w:p w14:paraId="6E5E68D5" w14:textId="01DADF03"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第二十一条  使用闲置募集资金投资产品的，应当经公司董事会审议通过，公司应当在董事会会议后两个交易日内公告下列内容：</w:t>
      </w:r>
    </w:p>
    <w:p w14:paraId="7204022A"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（一）本次募集资金的基本情况，包括募集时间、募集资金金额、募集资金净额及投资计划等；</w:t>
      </w:r>
    </w:p>
    <w:p w14:paraId="4711B97A"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（二）募集资金使用情况；</w:t>
      </w:r>
    </w:p>
    <w:p w14:paraId="782BE583"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（三）闲置募集资金投资产品的额度及期限，是否存在变相改变募集资金用途的行为和保证不影响募集资金项目正常进行的措施；</w:t>
      </w:r>
    </w:p>
    <w:p w14:paraId="736909AA"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（四）投资产品的收益分配方式、投资范围及安全性；</w:t>
      </w:r>
    </w:p>
    <w:p w14:paraId="71D5F2D6" w14:textId="248EBC72"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（五）审计委员会、保荐机构或者独立财务顾问出具的意见。</w:t>
      </w:r>
    </w:p>
    <w:p w14:paraId="168A9AF4"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公司应当在出现产品发行主体财务状况恶化、所投资的产品面临亏损等重大风险情形时，及时对外披露风险提示性公告，并说明公司为确保资金安全采取的风险控制措施。</w:t>
      </w:r>
    </w:p>
    <w:p w14:paraId="317308B3" w14:textId="3DE3CE95"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第二十二条  公司可以用暂时闲置的募集资金暂时用于补充流动资金，仅限于与主营业务相关的生产经营使用，且应当符合下列条件：</w:t>
      </w:r>
    </w:p>
    <w:p w14:paraId="38C4743D"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（一）不得变相改变募集资金用途或者影响募集资金投资计划的正常进行；</w:t>
      </w:r>
    </w:p>
    <w:p w14:paraId="03B92429" w14:textId="25DCB253"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（二）单次补充流动资金时间不得超过十二个月；</w:t>
      </w:r>
    </w:p>
    <w:p w14:paraId="4C5665EA" w14:textId="3066FC6E"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lastRenderedPageBreak/>
        <w:t>（三）已归还前次用于暂时补充流动资金的募集资金（如适用）；</w:t>
      </w:r>
    </w:p>
    <w:p w14:paraId="0633FD4E" w14:textId="3EB9A0C5"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（四）不使用闲置募集资金直接或者间接进行证券投资、衍生品交易等高风险投资。</w:t>
      </w:r>
    </w:p>
    <w:p w14:paraId="2796B0B1"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第二十三条  公司用暂时闲置的募集资金暂时补充流动资金的，应当在董事会审议通过后及时公告下列内容：</w:t>
      </w:r>
    </w:p>
    <w:p w14:paraId="6269D502"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（一）本次募集资金的基本情况，包括募集时间、募集资金金额、募集资金净额及投资计划等；</w:t>
      </w:r>
    </w:p>
    <w:p w14:paraId="7A5C0E7D"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（二）募集资金使用情况；</w:t>
      </w:r>
    </w:p>
    <w:p w14:paraId="7455C7D8"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（三）闲置募集资金补充流动资金的金额及期限；</w:t>
      </w:r>
    </w:p>
    <w:p w14:paraId="006F99E8"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（四）闲置募集资金补充流动资金预计节约财务费用的金额、导致流动资金不足的原因、是否存在变相改变募集资金用途的行为和保证不影响募集资金项目正常进行的措施；</w:t>
      </w:r>
    </w:p>
    <w:p w14:paraId="07011948"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（五）审计委员会以及保荐机构或者独立财务顾问出具的意见；</w:t>
      </w:r>
    </w:p>
    <w:p w14:paraId="0956D462"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（六）深交所要求的其他内容。</w:t>
      </w:r>
    </w:p>
    <w:p w14:paraId="08F866A5" w14:textId="06CDEB81"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补充流动资金到期日之前，公司应当将该部分资金归还至募集资金专户，并在资金全部归还后及时公告。公司预计无法按期将该部分资金归还至募集资金专户的，应当在到期日前按照前款要求履行审议程序并及时公告，公告内容应当包括资金去向、无法归还的原因、继续用于补充流动资金的原因及期限等。</w:t>
      </w:r>
    </w:p>
    <w:p w14:paraId="28541C97"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第二十四条  单个或者全部募集资金投资项目完成后，节余资金（包括利息收入）低于该项目募集资金净额10%的，公司使用节余资金应当按照第十八条第一款履行相应程序。</w:t>
      </w:r>
    </w:p>
    <w:p w14:paraId="58ACBB31"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节余资金（包括利息收入）达到或者超过该项目募集资金净额10%的，公司使用节余资金还应当经股东会审议通过。</w:t>
      </w:r>
    </w:p>
    <w:p w14:paraId="2432B651"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节余资金（包括利息收入）低于五百万元或者低于项目募集资金净额1%的，可以豁免履行前述程序，其使用情况应当在年度报告中披露。</w:t>
      </w:r>
    </w:p>
    <w:p w14:paraId="4EF05060"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第二十五条  公司应当根据企业实际生产经营需求，提交董事会或者股东会审议通过后，按照以下先后顺序有计划地使用公司实际募集资金净额超过计划募集资金金额的部分（以下简称“超募资金”）：</w:t>
      </w:r>
    </w:p>
    <w:p w14:paraId="19AB3024"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（一）补充募集资金投资项目资金缺口；</w:t>
      </w:r>
    </w:p>
    <w:p w14:paraId="0353869A"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lastRenderedPageBreak/>
        <w:t>（二）用于在建项目及新项目；</w:t>
      </w:r>
    </w:p>
    <w:p w14:paraId="55DBA068"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（三）归还银行借款；</w:t>
      </w:r>
    </w:p>
    <w:p w14:paraId="6BDF5A2F"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（四）暂时补充流动资金；</w:t>
      </w:r>
    </w:p>
    <w:p w14:paraId="606E9E39"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（五）进行现金管理；</w:t>
      </w:r>
    </w:p>
    <w:p w14:paraId="40853106" w14:textId="77777777" w:rsidR="00233980" w:rsidRPr="00667B8F" w:rsidRDefault="00667B8F">
      <w:pPr>
        <w:spacing w:line="360" w:lineRule="auto"/>
        <w:ind w:firstLineChars="192" w:firstLine="461"/>
        <w:rPr>
          <w:rFonts w:ascii="宋体" w:hAnsi="宋体"/>
          <w:color w:val="FF6600"/>
          <w:sz w:val="24"/>
        </w:rPr>
      </w:pPr>
      <w:r w:rsidRPr="00667B8F">
        <w:rPr>
          <w:rFonts w:ascii="宋体" w:hAnsi="宋体" w:hint="eastAsia"/>
          <w:sz w:val="24"/>
        </w:rPr>
        <w:t>（六）永久补充流动资金。</w:t>
      </w:r>
    </w:p>
    <w:p w14:paraId="304F7C9A" w14:textId="77777777" w:rsidR="00233980" w:rsidRPr="00B6346B" w:rsidRDefault="00667B8F">
      <w:pPr>
        <w:spacing w:line="360" w:lineRule="auto"/>
        <w:ind w:firstLineChars="192" w:firstLine="461"/>
        <w:rPr>
          <w:rFonts w:ascii="宋体" w:hAnsi="宋体"/>
          <w:sz w:val="24"/>
        </w:rPr>
      </w:pPr>
      <w:r w:rsidRPr="00667B8F">
        <w:rPr>
          <w:rFonts w:ascii="宋体" w:hAnsi="宋体" w:hint="eastAsia"/>
          <w:sz w:val="24"/>
        </w:rPr>
        <w:t xml:space="preserve">第二十六条  </w:t>
      </w:r>
      <w:r w:rsidRPr="00B6346B">
        <w:rPr>
          <w:rFonts w:ascii="宋体" w:hAnsi="宋体" w:hint="eastAsia"/>
          <w:sz w:val="24"/>
        </w:rPr>
        <w:t>公司将超募资金用于在建项目及新项目，应当按照在建项目和新项目的进度情况使用。</w:t>
      </w:r>
    </w:p>
    <w:p w14:paraId="5A328916" w14:textId="77777777" w:rsidR="00233980" w:rsidRPr="00B6346B" w:rsidRDefault="00667B8F">
      <w:pPr>
        <w:spacing w:line="360" w:lineRule="auto"/>
        <w:ind w:firstLineChars="192" w:firstLine="461"/>
        <w:rPr>
          <w:rFonts w:ascii="宋体" w:hAnsi="宋体"/>
          <w:sz w:val="24"/>
        </w:rPr>
      </w:pPr>
      <w:r w:rsidRPr="00B6346B">
        <w:rPr>
          <w:rFonts w:ascii="宋体" w:hAnsi="宋体" w:hint="eastAsia"/>
          <w:sz w:val="24"/>
        </w:rPr>
        <w:t>公司使用超募资金用于在建项目及新项目，保荐机构或者独立财务顾问应当出具专项意见。项目涉及关联交易、购买资产、对外投资等的，还应当按照《上市规则》第六章等规定履行审议程序和信息披露义务。</w:t>
      </w:r>
    </w:p>
    <w:p w14:paraId="290A27CA" w14:textId="079A4993" w:rsidR="00233980" w:rsidRPr="00667B8F" w:rsidRDefault="00667B8F" w:rsidP="00B6346B">
      <w:pPr>
        <w:spacing w:line="360" w:lineRule="auto"/>
        <w:ind w:firstLineChars="192" w:firstLine="461"/>
        <w:rPr>
          <w:rFonts w:ascii="宋体" w:hAnsi="宋体"/>
          <w:sz w:val="24"/>
        </w:rPr>
      </w:pPr>
      <w:r w:rsidRPr="00667B8F">
        <w:rPr>
          <w:rFonts w:ascii="宋体" w:hAnsi="宋体" w:hint="eastAsia"/>
          <w:sz w:val="24"/>
        </w:rPr>
        <w:t>第二十七条  公司超募资金可用于永久补充流动资金和归还银行借款，每十二个月内累计金额不得超过超募资金总额的30%。</w:t>
      </w:r>
    </w:p>
    <w:p w14:paraId="39A93D73" w14:textId="7615934C"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超募资金用于永久补充流动资金和归还银行借款的，应当经公司股东会审议批准，审计委员会、保荐机构或者独立财务顾问应当发表明确同意意见并披露。公司应当承诺在补充流动资金后的十二个月内不进行</w:t>
      </w:r>
      <w:r w:rsidRPr="00B6346B">
        <w:rPr>
          <w:rFonts w:ascii="宋体" w:hAnsi="宋体" w:hint="eastAsia"/>
          <w:sz w:val="24"/>
        </w:rPr>
        <w:t>证券投资、</w:t>
      </w:r>
      <w:r w:rsidR="00915F6D" w:rsidRPr="00B6346B">
        <w:rPr>
          <w:rFonts w:ascii="宋体" w:hAnsi="宋体" w:hint="eastAsia"/>
          <w:sz w:val="24"/>
        </w:rPr>
        <w:t>期货与</w:t>
      </w:r>
      <w:r w:rsidRPr="00B6346B">
        <w:rPr>
          <w:rFonts w:ascii="宋体" w:hAnsi="宋体" w:hint="eastAsia"/>
          <w:sz w:val="24"/>
        </w:rPr>
        <w:t>衍生品交易等</w:t>
      </w:r>
      <w:r w:rsidRPr="00667B8F">
        <w:rPr>
          <w:rFonts w:ascii="宋体" w:hAnsi="宋体" w:hint="eastAsia"/>
          <w:sz w:val="24"/>
        </w:rPr>
        <w:t>高风险投资以及为他人提供财务资助并披露。</w:t>
      </w:r>
    </w:p>
    <w:p w14:paraId="6ADA31D0" w14:textId="77777777" w:rsidR="00233980" w:rsidRPr="00667B8F" w:rsidRDefault="00233980">
      <w:pPr>
        <w:spacing w:line="360" w:lineRule="auto"/>
        <w:ind w:firstLineChars="192" w:firstLine="461"/>
        <w:rPr>
          <w:rFonts w:ascii="宋体" w:hAnsi="宋体"/>
          <w:color w:val="FF6600"/>
          <w:sz w:val="24"/>
        </w:rPr>
      </w:pPr>
    </w:p>
    <w:p w14:paraId="5FED436D" w14:textId="77777777" w:rsidR="00233980" w:rsidRPr="00667B8F" w:rsidRDefault="00667B8F">
      <w:pPr>
        <w:spacing w:line="360" w:lineRule="auto"/>
        <w:jc w:val="center"/>
        <w:rPr>
          <w:rFonts w:ascii="宋体" w:hAnsi="宋体"/>
          <w:b/>
          <w:sz w:val="24"/>
        </w:rPr>
      </w:pPr>
      <w:r w:rsidRPr="00667B8F">
        <w:rPr>
          <w:rFonts w:ascii="宋体" w:hAnsi="宋体" w:hint="eastAsia"/>
          <w:b/>
          <w:sz w:val="24"/>
        </w:rPr>
        <w:t>第五章  募集资金用途变更</w:t>
      </w:r>
    </w:p>
    <w:p w14:paraId="7D781DE7" w14:textId="77777777" w:rsidR="00233980" w:rsidRPr="00667B8F" w:rsidRDefault="00233980">
      <w:pPr>
        <w:spacing w:line="360" w:lineRule="auto"/>
        <w:jc w:val="center"/>
        <w:rPr>
          <w:rFonts w:ascii="宋体" w:hAnsi="宋体"/>
          <w:b/>
          <w:sz w:val="24"/>
        </w:rPr>
      </w:pPr>
    </w:p>
    <w:p w14:paraId="339CD6D1" w14:textId="639046EF"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第二十八条  公司存在以下情形的，视为募集资金用途变更：</w:t>
      </w:r>
    </w:p>
    <w:p w14:paraId="29A2B53E"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（一）取消或终止原募集资金项目，实施新项目；</w:t>
      </w:r>
    </w:p>
    <w:p w14:paraId="47655DC5"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（二）变更募集资金投资项目实施主体（实施主体在公司及全资子公司之间变更的除外）；</w:t>
      </w:r>
    </w:p>
    <w:p w14:paraId="14E314BE"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（三）变更募集资金投资项目实施方式；</w:t>
      </w:r>
    </w:p>
    <w:p w14:paraId="0209A97F"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（四）深交所认定为募集资金投向变更的其他情形。</w:t>
      </w:r>
    </w:p>
    <w:p w14:paraId="554AEEEF" w14:textId="30FE37AF"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第二十九条  公司应当经董事会审议、股东会批准后方可变更募集资金投向。公司变更后的募集资金投向原则上应当投资于主营业务。</w:t>
      </w:r>
    </w:p>
    <w:p w14:paraId="4BC55898" w14:textId="7440AB15"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第三十条  公司董事会应当科学、审慎地选择新的投资项目，对新募集资金投资项目进行可行性分析，确信投资项目具有较好的市场前景和盈利能力，有效</w:t>
      </w:r>
      <w:r w:rsidRPr="00667B8F">
        <w:rPr>
          <w:rFonts w:ascii="宋体" w:hAnsi="宋体" w:hint="eastAsia"/>
          <w:sz w:val="24"/>
        </w:rPr>
        <w:lastRenderedPageBreak/>
        <w:t>防范投资风险，提高募集资金使用效益。</w:t>
      </w:r>
    </w:p>
    <w:p w14:paraId="23721679"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第三十一条  公司拟将募集资金投资项目变更为合资经营的方式实施的，应当在充分了解合资方基本情况的基础上，慎重考虑合资的必要性，并且公司应当控股，确保对募集资金投资项目的有效控制。</w:t>
      </w:r>
    </w:p>
    <w:p w14:paraId="4FB74198"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第三十二条  公司变更募集资金用途用于收购控股股东或实际控制人资产（包括权益）的，应当确保在收购完成后能够有效避免同业竞争及减少关联交易。公司应当披露与控股股东或实际控制人进行交易的原因、关联交易的定价政策及定价依据、关联交易对公司的影响以及相关问题的解决措施。</w:t>
      </w:r>
    </w:p>
    <w:p w14:paraId="646EF48A" w14:textId="39C708D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第三十三条  公司改变募集资金投资项目实施地点的，应当经董事会审议通过，并及时公告，说明改变情况、原因、对募集资金投资项目实施造成的影响以及保荐机构或者独立财务顾问出具的意见。</w:t>
      </w:r>
    </w:p>
    <w:p w14:paraId="4AA3FCE8"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第三十四条  公司全部募集资金项目完成前，因项目终止出现节余资金，将部分募集资金用于永久补充流动资金的，应当符合以下要求：</w:t>
      </w:r>
    </w:p>
    <w:p w14:paraId="3C32343A"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（一）募集资金到账超过一年；</w:t>
      </w:r>
    </w:p>
    <w:p w14:paraId="7474068B"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（二）不影响其他募集资金项目的实施；</w:t>
      </w:r>
    </w:p>
    <w:p w14:paraId="3433FE63"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（三）按照募集资金用途变更的要求履行审批程序和信息披露义务。</w:t>
      </w:r>
    </w:p>
    <w:p w14:paraId="24E6FD45" w14:textId="77777777" w:rsidR="00233980" w:rsidRPr="00667B8F" w:rsidRDefault="00233980">
      <w:pPr>
        <w:spacing w:line="360" w:lineRule="auto"/>
        <w:ind w:firstLineChars="192" w:firstLine="461"/>
        <w:rPr>
          <w:rFonts w:ascii="宋体" w:hAnsi="宋体"/>
          <w:sz w:val="24"/>
        </w:rPr>
      </w:pPr>
    </w:p>
    <w:p w14:paraId="200B6D84" w14:textId="77777777" w:rsidR="00233980" w:rsidRPr="00667B8F" w:rsidRDefault="00667B8F">
      <w:pPr>
        <w:numPr>
          <w:ilvl w:val="0"/>
          <w:numId w:val="2"/>
        </w:numPr>
        <w:spacing w:line="360" w:lineRule="auto"/>
        <w:jc w:val="center"/>
        <w:rPr>
          <w:rFonts w:ascii="宋体" w:hAnsi="宋体"/>
          <w:b/>
          <w:sz w:val="24"/>
        </w:rPr>
      </w:pPr>
      <w:r w:rsidRPr="00667B8F">
        <w:rPr>
          <w:rFonts w:ascii="宋体" w:hAnsi="宋体" w:hint="eastAsia"/>
          <w:b/>
          <w:sz w:val="24"/>
        </w:rPr>
        <w:t xml:space="preserve"> 募集资金使用情况的监督和管理</w:t>
      </w:r>
    </w:p>
    <w:p w14:paraId="197EAD66" w14:textId="77777777" w:rsidR="00233980" w:rsidRPr="00667B8F" w:rsidRDefault="00233980">
      <w:pPr>
        <w:spacing w:line="360" w:lineRule="auto"/>
        <w:rPr>
          <w:rFonts w:ascii="宋体" w:hAnsi="宋体"/>
          <w:b/>
          <w:sz w:val="24"/>
        </w:rPr>
      </w:pPr>
    </w:p>
    <w:p w14:paraId="2B85219C" w14:textId="2EA9C294"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第三十五条  公司财务部门应当对募集资金的使用情况设立台帐，详细记录募集资金的支出情况和募集资金项目的投入情况。</w:t>
      </w:r>
    </w:p>
    <w:p w14:paraId="39B00215"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公司内部审计部门应当至少每季度对募集资金的存放与使用情况检查一次，并及时向董事会审计委员会报告检查结果。</w:t>
      </w:r>
    </w:p>
    <w:p w14:paraId="51EC9654" w14:textId="419A6282"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董事会审计委员会认为公司募集资金管理存在违规情形、重大风险或内部审计部门没有按前款规定提交检查结果报告的，应当及时向董事会报告。董事会应当在收到董事会审计委员会的报告后两个交易日内向深交所报告并公告。</w:t>
      </w:r>
    </w:p>
    <w:p w14:paraId="018CF888"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第三十六条  公司应当真实、准确、完整地披露募集资金的实际使用情况。出现严重影响募集资金投资计划正常进行的情形时，应当及时公告。董事会应当每半年度全面核查募集资金投资项目的进展情况，出具《公司募集资金存放与实</w:t>
      </w:r>
      <w:r w:rsidRPr="00667B8F">
        <w:rPr>
          <w:rFonts w:ascii="宋体" w:hAnsi="宋体" w:hint="eastAsia"/>
          <w:sz w:val="24"/>
        </w:rPr>
        <w:lastRenderedPageBreak/>
        <w:t>际使用情况的专项报告》并披露。</w:t>
      </w:r>
    </w:p>
    <w:p w14:paraId="24AE0229"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年度审计时，公司应当聘请会计师事务所对募集资金存放与使用情况出具鉴证报告。</w:t>
      </w:r>
    </w:p>
    <w:p w14:paraId="3714EDD1"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募集资金投资项目实际投资进度与投资计划存在差异的，公司应当解释具体原因。募集资金投资项目年度实际使用募集资金与前次披露的募集资金投资计划当年预计使用金额差异超过30%的，公司应当调整募集资金投资计划，并并在募集资金存放、管理与使用情况的专项报告和定期报告中披露前次募集资金年度投资计划、目前实际投资进度、调整后预计分年度投资计划以及投资计划变化的原因等。当期存在使用闲置募集资金投资产品情况的，公司应当披露本报告期的收益情况以及期末的投资份额、签约方、产品名称、期限等信息。</w:t>
      </w:r>
    </w:p>
    <w:p w14:paraId="7B146CDC" w14:textId="5AC1FEA6"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会计师事务所应当对董事会的专项报告是否已经按照规范指引及相关格式指引编制以及是否如实反映了年度募集资金实际存放、使用情况进行合理保证，提出鉴证结论。鉴证结论为“保留结论”、“否定结论”或“无法提出结论”的，公司董事会应当就鉴证报告中会计师事务所提出该结论的理由进行分析、提出整改措施并在年度报告中披露。</w:t>
      </w:r>
    </w:p>
    <w:p w14:paraId="49B493E2" w14:textId="23C0591C"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第三十七条  保荐机构或者独立财务顾问应当按照《证券发行上市保荐业务管理办法》的规定，对公司募集资金的管理和使用履行保荐职责，做好持续督导工作。保荐机构或者独立财务顾问应当至少每半年度对公司募集资金的存放与使用情况进行一次现场核查。每个会计年度结束后，保荐机构或者独立财务顾问应当对公司年度募集资金存放与使用情况出具专项核查报告并披露。公司募集资金存放与使用情况被会计师事务所出具了“保留结论”“否定结论”或者“无法提出结论”鉴证结论的，保荐机构或者独立财务顾问还应当在其核查报告中认真分析会计师事务所提出上述鉴证结论的原因，并提出明确的核查意见。保荐机构或者独立财务顾问发现公司、商业银行未按约定履行三方协议的，或者在对公司进行现场检查时发现公司募集资金管理存在重大违规情形或者重大风险等，应当督促公司及时整改并向深交所报告。</w:t>
      </w:r>
    </w:p>
    <w:p w14:paraId="728BA98F" w14:textId="77777777" w:rsidR="00233980"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第三十八条  独立董事应当关注募集资金实际使用情况与公司信息披露情况是否存在重大差异。经二分之一以上独立董事同意，独立董事可以聘请会计师事务所对募集资金使用情况出具鉴证报告。公司应当全力配合专项审计工作，并</w:t>
      </w:r>
      <w:r w:rsidRPr="00667B8F">
        <w:rPr>
          <w:rFonts w:ascii="宋体" w:hAnsi="宋体" w:hint="eastAsia"/>
          <w:sz w:val="24"/>
        </w:rPr>
        <w:lastRenderedPageBreak/>
        <w:t>承担必要的审计费用。</w:t>
      </w:r>
    </w:p>
    <w:p w14:paraId="34C0B1CA" w14:textId="77777777" w:rsidR="00915F6D" w:rsidRPr="00667B8F" w:rsidRDefault="00915F6D">
      <w:pPr>
        <w:numPr>
          <w:ilvl w:val="255"/>
          <w:numId w:val="0"/>
        </w:numPr>
        <w:spacing w:line="360" w:lineRule="auto"/>
        <w:ind w:firstLineChars="192" w:firstLine="461"/>
        <w:rPr>
          <w:rFonts w:ascii="宋体" w:hAnsi="宋体"/>
          <w:sz w:val="24"/>
        </w:rPr>
      </w:pPr>
    </w:p>
    <w:p w14:paraId="2EB505C8" w14:textId="77777777" w:rsidR="00233980" w:rsidRPr="00667B8F" w:rsidRDefault="00667B8F">
      <w:pPr>
        <w:spacing w:line="360" w:lineRule="auto"/>
        <w:jc w:val="center"/>
        <w:rPr>
          <w:rFonts w:ascii="宋体" w:hAnsi="宋体"/>
          <w:b/>
          <w:sz w:val="24"/>
        </w:rPr>
      </w:pPr>
      <w:r w:rsidRPr="00667B8F">
        <w:rPr>
          <w:rFonts w:ascii="宋体" w:hAnsi="宋体" w:hint="eastAsia"/>
          <w:b/>
          <w:sz w:val="24"/>
        </w:rPr>
        <w:t>第七章  附则</w:t>
      </w:r>
    </w:p>
    <w:p w14:paraId="571000D9" w14:textId="77777777" w:rsidR="00233980" w:rsidRPr="00667B8F" w:rsidRDefault="00233980">
      <w:pPr>
        <w:spacing w:line="360" w:lineRule="auto"/>
        <w:ind w:firstLineChars="192" w:firstLine="461"/>
        <w:rPr>
          <w:rFonts w:ascii="宋体" w:hAnsi="宋体"/>
          <w:sz w:val="24"/>
        </w:rPr>
      </w:pPr>
    </w:p>
    <w:p w14:paraId="2B4E13E3" w14:textId="1119B4C1"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第三十九条  本制度</w:t>
      </w:r>
      <w:r w:rsidR="00CE5856" w:rsidRPr="00667B8F">
        <w:rPr>
          <w:rFonts w:ascii="宋体" w:hAnsi="宋体" w:hint="eastAsia"/>
          <w:sz w:val="24"/>
        </w:rPr>
        <w:t>未尽事宜，按照国家有关法律、法规、规范性文件和《公司章程》的规定执行。如本制度与国家有关部门或机构日后颁布的法律、法规、规范性文件及《公司章程》相抵触，以国家有关部门或机构日后颁布的法律、法 规、规范性文件及《公司章程》为准。</w:t>
      </w:r>
    </w:p>
    <w:p w14:paraId="6703C6C9" w14:textId="77777777"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第四十条  本制度由公司董事会负责解释。</w:t>
      </w:r>
    </w:p>
    <w:p w14:paraId="63B388D3" w14:textId="5DC87D2B" w:rsidR="00233980" w:rsidRPr="00667B8F" w:rsidRDefault="00667B8F">
      <w:pPr>
        <w:numPr>
          <w:ilvl w:val="255"/>
          <w:numId w:val="0"/>
        </w:numPr>
        <w:spacing w:line="360" w:lineRule="auto"/>
        <w:ind w:firstLineChars="192" w:firstLine="461"/>
        <w:rPr>
          <w:rFonts w:ascii="宋体" w:hAnsi="宋体"/>
          <w:sz w:val="24"/>
        </w:rPr>
      </w:pPr>
      <w:r w:rsidRPr="00667B8F">
        <w:rPr>
          <w:rFonts w:ascii="宋体" w:hAnsi="宋体" w:hint="eastAsia"/>
          <w:sz w:val="24"/>
        </w:rPr>
        <w:t>第四十一条  本制度自公司股东会审议通过</w:t>
      </w:r>
      <w:r w:rsidR="00CE5856" w:rsidRPr="00667B8F">
        <w:rPr>
          <w:rFonts w:ascii="宋体" w:hAnsi="宋体" w:hint="eastAsia"/>
          <w:sz w:val="24"/>
        </w:rPr>
        <w:t>之日起执行，修改时亦同。</w:t>
      </w:r>
      <w:bookmarkStart w:id="2" w:name="OLE_LINK10"/>
      <w:bookmarkStart w:id="3" w:name="OLE_LINK11"/>
      <w:r w:rsidR="00CE5856" w:rsidRPr="00667B8F">
        <w:rPr>
          <w:rFonts w:ascii="宋体" w:hAnsi="宋体" w:hint="eastAsia"/>
          <w:sz w:val="24"/>
        </w:rPr>
        <w:t>原《募集资金管理制度（2014年11月）》同时废止</w:t>
      </w:r>
      <w:r w:rsidRPr="00667B8F">
        <w:rPr>
          <w:rFonts w:ascii="宋体" w:hAnsi="宋体" w:hint="eastAsia"/>
          <w:sz w:val="24"/>
        </w:rPr>
        <w:t>。</w:t>
      </w:r>
    </w:p>
    <w:p w14:paraId="2D21E50F" w14:textId="77777777" w:rsidR="00233980" w:rsidRPr="00667B8F" w:rsidRDefault="00233980">
      <w:pPr>
        <w:spacing w:line="360" w:lineRule="auto"/>
        <w:ind w:firstLineChars="192" w:firstLine="461"/>
        <w:rPr>
          <w:rFonts w:ascii="宋体" w:hAnsi="宋体"/>
          <w:sz w:val="24"/>
        </w:rPr>
      </w:pPr>
    </w:p>
    <w:bookmarkEnd w:id="2"/>
    <w:bookmarkEnd w:id="3"/>
    <w:p w14:paraId="2C7523A0" w14:textId="77777777" w:rsidR="00233980" w:rsidRPr="00667B8F" w:rsidRDefault="00233980">
      <w:pPr>
        <w:spacing w:line="360" w:lineRule="auto"/>
        <w:ind w:firstLineChars="192" w:firstLine="461"/>
        <w:rPr>
          <w:rFonts w:ascii="宋体" w:hAnsi="宋体"/>
          <w:sz w:val="24"/>
        </w:rPr>
      </w:pPr>
    </w:p>
    <w:p w14:paraId="5FED5588" w14:textId="77777777" w:rsidR="00233980" w:rsidRDefault="00233980">
      <w:pPr>
        <w:spacing w:line="360" w:lineRule="auto"/>
        <w:ind w:firstLineChars="192" w:firstLine="461"/>
        <w:rPr>
          <w:rFonts w:ascii="宋体" w:hAnsi="宋体"/>
          <w:sz w:val="24"/>
        </w:rPr>
      </w:pPr>
    </w:p>
    <w:p w14:paraId="5F71616E" w14:textId="77777777" w:rsidR="00915F6D" w:rsidRPr="00667B8F" w:rsidRDefault="00915F6D">
      <w:pPr>
        <w:spacing w:line="360" w:lineRule="auto"/>
        <w:ind w:firstLineChars="192" w:firstLine="461"/>
        <w:rPr>
          <w:rFonts w:ascii="宋体" w:hAnsi="宋体"/>
          <w:sz w:val="24"/>
        </w:rPr>
      </w:pPr>
    </w:p>
    <w:p w14:paraId="7FCB4E31" w14:textId="77777777"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t>江苏华西村股份有限公司董事会</w:t>
      </w:r>
    </w:p>
    <w:p w14:paraId="5604F122" w14:textId="73DAABAE" w:rsidR="00233980" w:rsidRPr="00667B8F" w:rsidRDefault="00667B8F">
      <w:pPr>
        <w:spacing w:line="360" w:lineRule="auto"/>
        <w:ind w:firstLineChars="192" w:firstLine="461"/>
        <w:rPr>
          <w:rFonts w:ascii="宋体" w:hAnsi="宋体"/>
          <w:sz w:val="24"/>
        </w:rPr>
      </w:pP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r>
      <w:r w:rsidRPr="00667B8F">
        <w:rPr>
          <w:rFonts w:ascii="宋体" w:hAnsi="宋体" w:hint="eastAsia"/>
          <w:sz w:val="24"/>
        </w:rPr>
        <w:tab/>
        <w:t xml:space="preserve">   </w:t>
      </w:r>
      <w:r w:rsidRPr="00667B8F">
        <w:rPr>
          <w:rFonts w:ascii="宋体" w:hAnsi="宋体" w:hint="eastAsia"/>
          <w:sz w:val="24"/>
        </w:rPr>
        <w:tab/>
        <w:t xml:space="preserve">       </w:t>
      </w:r>
      <w:r w:rsidR="00836262" w:rsidRPr="00667B8F">
        <w:rPr>
          <w:rFonts w:ascii="宋体" w:hAnsi="宋体" w:hint="eastAsia"/>
          <w:sz w:val="24"/>
        </w:rPr>
        <w:t xml:space="preserve">  </w:t>
      </w:r>
      <w:r w:rsidR="00CE5856" w:rsidRPr="00667B8F">
        <w:rPr>
          <w:rFonts w:ascii="宋体" w:hAnsi="宋体" w:hint="eastAsia"/>
          <w:sz w:val="24"/>
        </w:rPr>
        <w:t xml:space="preserve"> </w:t>
      </w:r>
      <w:r w:rsidR="00836262" w:rsidRPr="00667B8F">
        <w:rPr>
          <w:rFonts w:ascii="宋体" w:hAnsi="宋体" w:hint="eastAsia"/>
          <w:sz w:val="24"/>
        </w:rPr>
        <w:t>2025年4月</w:t>
      </w:r>
      <w:bookmarkStart w:id="4" w:name="_GoBack"/>
      <w:bookmarkEnd w:id="4"/>
      <w:r w:rsidR="00122682">
        <w:rPr>
          <w:rFonts w:ascii="宋体" w:hAnsi="宋体" w:hint="eastAsia"/>
          <w:sz w:val="24"/>
        </w:rPr>
        <w:t>28</w:t>
      </w:r>
      <w:r w:rsidR="00836262" w:rsidRPr="00667B8F">
        <w:rPr>
          <w:rFonts w:ascii="宋体" w:hAnsi="宋体" w:hint="eastAsia"/>
          <w:sz w:val="24"/>
        </w:rPr>
        <w:t>日</w:t>
      </w:r>
    </w:p>
    <w:sectPr w:rsidR="00233980" w:rsidRPr="00667B8F">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3DDE9" w14:textId="77777777" w:rsidR="00FD767E" w:rsidRDefault="00FD767E">
      <w:r>
        <w:separator/>
      </w:r>
    </w:p>
  </w:endnote>
  <w:endnote w:type="continuationSeparator" w:id="0">
    <w:p w14:paraId="1B044A24" w14:textId="77777777" w:rsidR="00FD767E" w:rsidRDefault="00FD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B6710" w14:textId="77777777" w:rsidR="00233980" w:rsidRDefault="00667B8F">
    <w:pPr>
      <w:pStyle w:val="a4"/>
      <w:framePr w:wrap="around" w:vAnchor="text" w:hAnchor="margin" w:xAlign="center" w:y="1"/>
      <w:rPr>
        <w:rStyle w:val="a6"/>
      </w:rPr>
    </w:pPr>
    <w:r>
      <w:fldChar w:fldCharType="begin"/>
    </w:r>
    <w:r>
      <w:rPr>
        <w:rStyle w:val="a6"/>
      </w:rPr>
      <w:instrText xml:space="preserve">PAGE  </w:instrText>
    </w:r>
    <w:r>
      <w:fldChar w:fldCharType="end"/>
    </w:r>
  </w:p>
  <w:p w14:paraId="206741AC" w14:textId="77777777" w:rsidR="00233980" w:rsidRDefault="0023398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9E393" w14:textId="77777777" w:rsidR="00233980" w:rsidRDefault="00FD767E">
    <w:pPr>
      <w:pStyle w:val="a4"/>
    </w:pPr>
    <w:r>
      <w:pict w14:anchorId="254B25A6">
        <v:shapetype id="_x0000_t202" coordsize="21600,21600" o:spt="202" path="m,l,21600r21600,l21600,xe">
          <v:stroke joinstyle="miter"/>
          <v:path gradientshapeok="t" o:connecttype="rect"/>
        </v:shapetype>
        <v:shape id="_x0000_s2049" type="#_x0000_t202" style="position:absolute;margin-left:0;margin-top:.05pt;width:85.75pt;height:11.65pt;z-index:1;mso-position-horizontal:center;mso-position-horizontal-relative:margin;mso-width-relative:page;mso-height-relative:page" filled="f" stroked="f">
          <v:textbox inset="0,0,0,0">
            <w:txbxContent>
              <w:p w14:paraId="0A7BC3D2" w14:textId="5F826145" w:rsidR="00233980" w:rsidRDefault="00667B8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22682">
                  <w:rPr>
                    <w:noProof/>
                    <w:sz w:val="18"/>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22682">
                  <w:rPr>
                    <w:noProof/>
                    <w:sz w:val="18"/>
                  </w:rPr>
                  <w:t>10</w:t>
                </w:r>
                <w:r>
                  <w:rPr>
                    <w:rFonts w:hint="eastAsia"/>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41229" w14:textId="77777777" w:rsidR="00FD767E" w:rsidRDefault="00FD767E">
      <w:r>
        <w:separator/>
      </w:r>
    </w:p>
  </w:footnote>
  <w:footnote w:type="continuationSeparator" w:id="0">
    <w:p w14:paraId="46A5005A" w14:textId="77777777" w:rsidR="00FD767E" w:rsidRDefault="00FD7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D2592"/>
    <w:multiLevelType w:val="singleLevel"/>
    <w:tmpl w:val="543D2592"/>
    <w:lvl w:ilvl="0">
      <w:start w:val="3"/>
      <w:numFmt w:val="chineseCounting"/>
      <w:suff w:val="space"/>
      <w:lvlText w:val="第%1章"/>
      <w:lvlJc w:val="left"/>
    </w:lvl>
  </w:abstractNum>
  <w:abstractNum w:abstractNumId="1">
    <w:nsid w:val="543D25E6"/>
    <w:multiLevelType w:val="singleLevel"/>
    <w:tmpl w:val="543D25E6"/>
    <w:lvl w:ilvl="0">
      <w:start w:val="6"/>
      <w:numFmt w:val="chineseCounting"/>
      <w:suff w:val="space"/>
      <w:lvlText w:val="第%1章"/>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yx">
    <w15:presenceInfo w15:providerId="None" w15:userId="wyx"/>
  </w15:person>
  <w15:person w15:author="xurr">
    <w15:presenceInfo w15:providerId="None" w15:userId="xu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0"/>
  <w:drawingGridVerticalSpacing w:val="156"/>
  <w:noPunctuationKerning/>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9E6FF43C"/>
    <w:rsid w:val="B7FFE765"/>
    <w:rsid w:val="BBFB9727"/>
    <w:rsid w:val="BD0163C7"/>
    <w:rsid w:val="BE9323AE"/>
    <w:rsid w:val="BFBD30B5"/>
    <w:rsid w:val="BFF38148"/>
    <w:rsid w:val="D5FDA333"/>
    <w:rsid w:val="D7F9ED0C"/>
    <w:rsid w:val="DBFEEE3F"/>
    <w:rsid w:val="E7CFE011"/>
    <w:rsid w:val="E9B7EA28"/>
    <w:rsid w:val="EBA6232B"/>
    <w:rsid w:val="EBF9E0AA"/>
    <w:rsid w:val="EFFF76F9"/>
    <w:rsid w:val="EFFF95A9"/>
    <w:rsid w:val="F2546D77"/>
    <w:rsid w:val="F3EE20F8"/>
    <w:rsid w:val="F8F6E11F"/>
    <w:rsid w:val="FC87E0B1"/>
    <w:rsid w:val="FCFDCBBD"/>
    <w:rsid w:val="FD79DCF3"/>
    <w:rsid w:val="FDFFFDE9"/>
    <w:rsid w:val="FEBD52A8"/>
    <w:rsid w:val="FF7BF17E"/>
    <w:rsid w:val="FFBB4C0F"/>
    <w:rsid w:val="FFED4EEC"/>
    <w:rsid w:val="FFF092CC"/>
    <w:rsid w:val="FFF923F9"/>
    <w:rsid w:val="FFFB1675"/>
    <w:rsid w:val="000E0FC5"/>
    <w:rsid w:val="00122682"/>
    <w:rsid w:val="00172A27"/>
    <w:rsid w:val="00233980"/>
    <w:rsid w:val="00412809"/>
    <w:rsid w:val="00484556"/>
    <w:rsid w:val="005B71C3"/>
    <w:rsid w:val="005F0F62"/>
    <w:rsid w:val="00667B8F"/>
    <w:rsid w:val="00687F7D"/>
    <w:rsid w:val="007C2BE7"/>
    <w:rsid w:val="0081140E"/>
    <w:rsid w:val="00836262"/>
    <w:rsid w:val="008C048A"/>
    <w:rsid w:val="00915F6D"/>
    <w:rsid w:val="00A307F4"/>
    <w:rsid w:val="00A41F79"/>
    <w:rsid w:val="00AF2C13"/>
    <w:rsid w:val="00B2789A"/>
    <w:rsid w:val="00B6346B"/>
    <w:rsid w:val="00BB04D0"/>
    <w:rsid w:val="00CA12C6"/>
    <w:rsid w:val="00CE5856"/>
    <w:rsid w:val="00CE6BE3"/>
    <w:rsid w:val="00CF51F3"/>
    <w:rsid w:val="00D93BEA"/>
    <w:rsid w:val="00ED4CAE"/>
    <w:rsid w:val="00F573AA"/>
    <w:rsid w:val="00FD767E"/>
    <w:rsid w:val="00FE07E1"/>
    <w:rsid w:val="0FFF2999"/>
    <w:rsid w:val="16ED43F7"/>
    <w:rsid w:val="369F14BB"/>
    <w:rsid w:val="3C9F32B5"/>
    <w:rsid w:val="3FB79FC8"/>
    <w:rsid w:val="3FEFE444"/>
    <w:rsid w:val="46ED670C"/>
    <w:rsid w:val="5FFFB3F4"/>
    <w:rsid w:val="632321F9"/>
    <w:rsid w:val="6DDA8829"/>
    <w:rsid w:val="73FE5BE9"/>
    <w:rsid w:val="75FF38C5"/>
    <w:rsid w:val="7BAAFB63"/>
    <w:rsid w:val="7DFB77DD"/>
    <w:rsid w:val="7E47F2A9"/>
    <w:rsid w:val="7E7B0FF7"/>
    <w:rsid w:val="7FBF10F0"/>
    <w:rsid w:val="7FF73A09"/>
    <w:rsid w:val="7FFF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98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页眉 Char"/>
    <w:link w:val="a5"/>
    <w:qFormat/>
    <w:rPr>
      <w:kern w:val="2"/>
      <w:sz w:val="18"/>
      <w:szCs w:val="18"/>
    </w:rPr>
  </w:style>
  <w:style w:type="paragraph" w:customStyle="1" w:styleId="Default">
    <w:name w:val="Default"/>
    <w:uiPriority w:val="99"/>
    <w:unhideWhenUsed/>
    <w:qFormat/>
    <w:pPr>
      <w:widowControl w:val="0"/>
      <w:autoSpaceDE w:val="0"/>
      <w:autoSpaceDN w:val="0"/>
    </w:pPr>
    <w:rPr>
      <w:rFonts w:ascii="宋体" w:hAnsi="宋体" w:hint="eastAsia"/>
      <w:color w:val="000000"/>
      <w:sz w:val="24"/>
    </w:rPr>
  </w:style>
  <w:style w:type="paragraph" w:styleId="a7">
    <w:name w:val="Revision"/>
    <w:hidden/>
    <w:uiPriority w:val="99"/>
    <w:unhideWhenUsed/>
    <w:rsid w:val="00CE585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1053</Words>
  <Characters>6005</Characters>
  <Application>Microsoft Office Word</Application>
  <DocSecurity>0</DocSecurity>
  <Lines>50</Lines>
  <Paragraphs>14</Paragraphs>
  <ScaleCrop>false</ScaleCrop>
  <Company>微软中国</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江苏华西村股份有限公司</dc:title>
  <dc:creator>微软用户</dc:creator>
  <cp:lastModifiedBy>Lenovo</cp:lastModifiedBy>
  <cp:revision>9</cp:revision>
  <cp:lastPrinted>2016-01-27T15:49:00Z</cp:lastPrinted>
  <dcterms:created xsi:type="dcterms:W3CDTF">2025-03-31T11:04:00Z</dcterms:created>
  <dcterms:modified xsi:type="dcterms:W3CDTF">2025-04-27T00:27:00Z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8FC2CEDB0210675068C7F867496741CE_42</vt:lpwstr>
  </property>
</Properties>
</file>