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B1" w:rsidRPr="00C574D4" w:rsidRDefault="005C72B1" w:rsidP="005C72B1">
      <w:pPr>
        <w:adjustRightInd w:val="0"/>
        <w:snapToGrid w:val="0"/>
        <w:spacing w:line="360" w:lineRule="auto"/>
        <w:jc w:val="center"/>
        <w:rPr>
          <w:rFonts w:asciiTheme="minorEastAsia" w:eastAsiaTheme="minorEastAsia" w:hAnsiTheme="minorEastAsia"/>
          <w:bCs/>
          <w:sz w:val="24"/>
        </w:rPr>
      </w:pPr>
      <w:r w:rsidRPr="003E7C55">
        <w:rPr>
          <w:rFonts w:asciiTheme="minorEastAsia" w:eastAsiaTheme="minorEastAsia" w:hAnsiTheme="minorEastAsia"/>
          <w:kern w:val="0"/>
          <w:sz w:val="24"/>
        </w:rPr>
        <w:t>证券</w:t>
      </w:r>
      <w:r w:rsidRPr="003E7C55">
        <w:rPr>
          <w:rFonts w:asciiTheme="minorEastAsia" w:eastAsiaTheme="minorEastAsia" w:hAnsiTheme="minorEastAsia"/>
          <w:bCs/>
          <w:sz w:val="24"/>
        </w:rPr>
        <w:t>代码：000936         证券简称：华西股份</w:t>
      </w:r>
      <w:r w:rsidR="003E7C55">
        <w:rPr>
          <w:rFonts w:asciiTheme="minorEastAsia" w:eastAsiaTheme="minorEastAsia" w:hAnsiTheme="minorEastAsia" w:hint="eastAsia"/>
          <w:bCs/>
          <w:sz w:val="24"/>
        </w:rPr>
        <w:t xml:space="preserve">     </w:t>
      </w:r>
      <w:r w:rsidR="00B9587F">
        <w:rPr>
          <w:rFonts w:asciiTheme="minorEastAsia" w:eastAsiaTheme="minorEastAsia" w:hAnsiTheme="minorEastAsia" w:hint="eastAsia"/>
          <w:bCs/>
          <w:sz w:val="24"/>
        </w:rPr>
        <w:t xml:space="preserve"> </w:t>
      </w:r>
      <w:r w:rsidR="002716A2" w:rsidRPr="00A10217">
        <w:rPr>
          <w:rFonts w:asciiTheme="minorEastAsia" w:eastAsiaTheme="minorEastAsia" w:hAnsiTheme="minorEastAsia" w:hint="eastAsia"/>
          <w:bCs/>
          <w:color w:val="FF0000"/>
          <w:sz w:val="24"/>
        </w:rPr>
        <w:t xml:space="preserve"> </w:t>
      </w:r>
      <w:r w:rsidR="003E7C55" w:rsidRPr="00A10217">
        <w:rPr>
          <w:rFonts w:asciiTheme="minorEastAsia" w:eastAsiaTheme="minorEastAsia" w:hAnsiTheme="minorEastAsia" w:hint="eastAsia"/>
          <w:bCs/>
          <w:color w:val="FF0000"/>
          <w:sz w:val="24"/>
        </w:rPr>
        <w:t xml:space="preserve"> </w:t>
      </w:r>
      <w:r w:rsidRPr="00C574D4">
        <w:rPr>
          <w:rFonts w:asciiTheme="minorEastAsia" w:eastAsiaTheme="minorEastAsia" w:hAnsiTheme="minorEastAsia"/>
          <w:bCs/>
          <w:sz w:val="24"/>
        </w:rPr>
        <w:t>公告编号：</w:t>
      </w:r>
      <w:r w:rsidR="004E3E4F" w:rsidRPr="00C574D4">
        <w:rPr>
          <w:rFonts w:asciiTheme="minorEastAsia" w:eastAsiaTheme="minorEastAsia" w:hAnsiTheme="minorEastAsia"/>
          <w:bCs/>
          <w:sz w:val="24"/>
        </w:rPr>
        <w:t>20</w:t>
      </w:r>
      <w:r w:rsidR="006D154F" w:rsidRPr="00C574D4">
        <w:rPr>
          <w:rFonts w:asciiTheme="minorEastAsia" w:eastAsiaTheme="minorEastAsia" w:hAnsiTheme="minorEastAsia" w:hint="eastAsia"/>
          <w:bCs/>
          <w:sz w:val="24"/>
        </w:rPr>
        <w:t>2</w:t>
      </w:r>
      <w:r w:rsidR="002B4565">
        <w:rPr>
          <w:rFonts w:asciiTheme="minorEastAsia" w:eastAsiaTheme="minorEastAsia" w:hAnsiTheme="minorEastAsia" w:hint="eastAsia"/>
          <w:bCs/>
          <w:sz w:val="24"/>
        </w:rPr>
        <w:t>5</w:t>
      </w:r>
      <w:r w:rsidR="004E3E4F" w:rsidRPr="00C574D4">
        <w:rPr>
          <w:rFonts w:asciiTheme="minorEastAsia" w:eastAsiaTheme="minorEastAsia" w:hAnsiTheme="minorEastAsia"/>
          <w:bCs/>
          <w:sz w:val="24"/>
        </w:rPr>
        <w:t>-</w:t>
      </w:r>
      <w:r w:rsidR="002B4565">
        <w:rPr>
          <w:rFonts w:asciiTheme="minorEastAsia" w:eastAsiaTheme="minorEastAsia" w:hAnsiTheme="minorEastAsia" w:hint="eastAsia"/>
          <w:bCs/>
          <w:sz w:val="24"/>
        </w:rPr>
        <w:t>001</w:t>
      </w:r>
    </w:p>
    <w:p w:rsidR="005C72B1" w:rsidRPr="002716A2" w:rsidRDefault="005C72B1" w:rsidP="00E949C7">
      <w:pPr>
        <w:adjustRightInd w:val="0"/>
        <w:snapToGrid w:val="0"/>
        <w:spacing w:line="360" w:lineRule="auto"/>
        <w:jc w:val="center"/>
        <w:rPr>
          <w:rFonts w:asciiTheme="minorHAnsi" w:eastAsiaTheme="minorEastAsia" w:hAnsiTheme="minorHAnsi"/>
          <w:bCs/>
          <w:sz w:val="24"/>
        </w:rPr>
      </w:pP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江苏华西村股份有限公司</w:t>
      </w:r>
    </w:p>
    <w:p w:rsidR="005C72B1" w:rsidRPr="00C000A4" w:rsidRDefault="005C72B1" w:rsidP="00E949C7">
      <w:pPr>
        <w:adjustRightInd w:val="0"/>
        <w:snapToGrid w:val="0"/>
        <w:spacing w:line="360" w:lineRule="auto"/>
        <w:jc w:val="center"/>
        <w:rPr>
          <w:rFonts w:asciiTheme="minorHAnsi" w:eastAsia="黑体" w:hAnsiTheme="minorHAnsi"/>
          <w:b/>
          <w:sz w:val="30"/>
          <w:szCs w:val="30"/>
        </w:rPr>
      </w:pPr>
      <w:r w:rsidRPr="00C000A4">
        <w:rPr>
          <w:rFonts w:asciiTheme="minorHAnsi" w:eastAsia="黑体" w:hAnsiTheme="minorHAnsi"/>
          <w:b/>
          <w:sz w:val="30"/>
          <w:szCs w:val="30"/>
        </w:rPr>
        <w:t>关于</w:t>
      </w:r>
      <w:r w:rsidR="00CF64E1">
        <w:rPr>
          <w:rFonts w:asciiTheme="minorHAnsi" w:eastAsia="黑体" w:hAnsiTheme="minorHAnsi"/>
          <w:b/>
          <w:sz w:val="30"/>
          <w:szCs w:val="30"/>
        </w:rPr>
        <w:t>转让参股公司部分股份的</w:t>
      </w:r>
      <w:r w:rsidR="00FA4C5E">
        <w:rPr>
          <w:rFonts w:asciiTheme="minorHAnsi" w:eastAsia="黑体" w:hAnsiTheme="minorHAnsi"/>
          <w:b/>
          <w:sz w:val="30"/>
          <w:szCs w:val="30"/>
        </w:rPr>
        <w:t>进展</w:t>
      </w:r>
      <w:r w:rsidR="00A1212E" w:rsidRPr="00C000A4">
        <w:rPr>
          <w:rFonts w:asciiTheme="minorHAnsi" w:eastAsia="黑体" w:hAnsiTheme="minorHAnsi"/>
          <w:b/>
          <w:sz w:val="30"/>
          <w:szCs w:val="30"/>
        </w:rPr>
        <w:t>公告</w:t>
      </w:r>
    </w:p>
    <w:p w:rsidR="00E949C7" w:rsidRDefault="00E949C7" w:rsidP="00E949C7">
      <w:pPr>
        <w:tabs>
          <w:tab w:val="num" w:pos="900"/>
        </w:tabs>
        <w:adjustRightInd w:val="0"/>
        <w:snapToGrid w:val="0"/>
        <w:spacing w:line="360" w:lineRule="auto"/>
        <w:ind w:firstLineChars="200" w:firstLine="480"/>
        <w:rPr>
          <w:rFonts w:asciiTheme="minorHAnsi" w:eastAsiaTheme="minorEastAsia" w:hAnsiTheme="minorHAnsi"/>
          <w:sz w:val="24"/>
        </w:rPr>
      </w:pPr>
    </w:p>
    <w:p w:rsidR="005C72B1" w:rsidRPr="004242D7" w:rsidRDefault="00A1212E" w:rsidP="007A670D">
      <w:pPr>
        <w:tabs>
          <w:tab w:val="num" w:pos="900"/>
        </w:tabs>
        <w:adjustRightInd w:val="0"/>
        <w:snapToGrid w:val="0"/>
        <w:spacing w:line="348" w:lineRule="auto"/>
        <w:ind w:firstLineChars="200" w:firstLine="480"/>
        <w:rPr>
          <w:rFonts w:asciiTheme="minorHAnsi" w:eastAsiaTheme="minorEastAsia" w:hAnsiTheme="minorHAnsi"/>
          <w:sz w:val="24"/>
        </w:rPr>
      </w:pPr>
      <w:r w:rsidRPr="00827F5D">
        <w:rPr>
          <w:rFonts w:asciiTheme="minorHAnsi" w:eastAsiaTheme="minorEastAsia" w:hAnsiTheme="minorHAnsi"/>
          <w:sz w:val="24"/>
        </w:rPr>
        <w:t>本公司及董事会全体成员保证信息披露内容的真实、准确和完整，没有虚假记载、误导性陈述或重大遗漏。</w:t>
      </w:r>
    </w:p>
    <w:p w:rsidR="00A1212E" w:rsidRPr="004242D7" w:rsidRDefault="00A1212E" w:rsidP="007A670D">
      <w:pPr>
        <w:tabs>
          <w:tab w:val="num" w:pos="900"/>
        </w:tabs>
        <w:adjustRightInd w:val="0"/>
        <w:snapToGrid w:val="0"/>
        <w:spacing w:line="348" w:lineRule="auto"/>
        <w:ind w:firstLineChars="200" w:firstLine="480"/>
        <w:rPr>
          <w:rFonts w:asciiTheme="minorHAnsi" w:eastAsiaTheme="minorEastAsia" w:hAnsiTheme="minorHAnsi"/>
          <w:sz w:val="24"/>
        </w:rPr>
      </w:pPr>
    </w:p>
    <w:p w:rsidR="005C72B1" w:rsidRPr="00A675EC" w:rsidRDefault="003C01CE" w:rsidP="007A670D">
      <w:pPr>
        <w:tabs>
          <w:tab w:val="num" w:pos="900"/>
        </w:tabs>
        <w:adjustRightInd w:val="0"/>
        <w:snapToGrid w:val="0"/>
        <w:spacing w:line="348" w:lineRule="auto"/>
        <w:ind w:firstLineChars="200" w:firstLine="482"/>
        <w:rPr>
          <w:rFonts w:asciiTheme="minorEastAsia" w:eastAsiaTheme="minorEastAsia" w:hAnsiTheme="minorEastAsia"/>
          <w:b/>
          <w:sz w:val="24"/>
        </w:rPr>
      </w:pPr>
      <w:r w:rsidRPr="00A675EC">
        <w:rPr>
          <w:rFonts w:asciiTheme="minorEastAsia" w:eastAsiaTheme="minorEastAsia" w:hAnsiTheme="minorEastAsia"/>
          <w:b/>
          <w:sz w:val="24"/>
        </w:rPr>
        <w:t>一、</w:t>
      </w:r>
      <w:r w:rsidR="00B00041">
        <w:rPr>
          <w:rFonts w:asciiTheme="minorEastAsia" w:eastAsiaTheme="minorEastAsia" w:hAnsiTheme="minorEastAsia"/>
          <w:b/>
          <w:sz w:val="24"/>
        </w:rPr>
        <w:t>交易</w:t>
      </w:r>
      <w:r w:rsidR="005C72B1" w:rsidRPr="00A675EC">
        <w:rPr>
          <w:rFonts w:asciiTheme="minorEastAsia" w:eastAsiaTheme="minorEastAsia" w:hAnsiTheme="minorEastAsia"/>
          <w:b/>
          <w:sz w:val="24"/>
        </w:rPr>
        <w:t>概述</w:t>
      </w:r>
    </w:p>
    <w:p w:rsidR="00CF64E1" w:rsidRPr="00AB688D" w:rsidRDefault="00CF64E1" w:rsidP="007A670D">
      <w:pPr>
        <w:tabs>
          <w:tab w:val="num" w:pos="900"/>
        </w:tabs>
        <w:adjustRightInd w:val="0"/>
        <w:snapToGrid w:val="0"/>
        <w:spacing w:line="348" w:lineRule="auto"/>
        <w:ind w:firstLineChars="200" w:firstLine="480"/>
        <w:rPr>
          <w:sz w:val="24"/>
        </w:rPr>
      </w:pPr>
      <w:r w:rsidRPr="00CF64E1">
        <w:rPr>
          <w:sz w:val="24"/>
        </w:rPr>
        <w:t>江苏华西村股份有限公司（以下简称“公司”）</w:t>
      </w:r>
      <w:r w:rsidRPr="00CF64E1">
        <w:rPr>
          <w:rFonts w:hint="eastAsia"/>
          <w:sz w:val="24"/>
        </w:rPr>
        <w:t>第九届董事会第三次会议</w:t>
      </w:r>
      <w:r>
        <w:rPr>
          <w:rFonts w:hint="eastAsia"/>
          <w:sz w:val="24"/>
        </w:rPr>
        <w:t>、2024年第一次临时股东大会</w:t>
      </w:r>
      <w:r w:rsidRPr="00CF64E1">
        <w:rPr>
          <w:rFonts w:hint="eastAsia"/>
          <w:sz w:val="24"/>
        </w:rPr>
        <w:t>审议通过了《关于转让参股公司部分股份的议案》，公司控制主体</w:t>
      </w:r>
      <w:r w:rsidRPr="008D3EAF">
        <w:rPr>
          <w:sz w:val="24"/>
        </w:rPr>
        <w:t>上海启</w:t>
      </w:r>
      <w:proofErr w:type="gramStart"/>
      <w:r w:rsidRPr="008D3EAF">
        <w:rPr>
          <w:sz w:val="24"/>
        </w:rPr>
        <w:t>澜</w:t>
      </w:r>
      <w:proofErr w:type="gramEnd"/>
      <w:r w:rsidRPr="008D3EAF">
        <w:rPr>
          <w:sz w:val="24"/>
        </w:rPr>
        <w:t>企业管理咨询合伙企业（有限合伙）（以下简称“上海启澜”）</w:t>
      </w:r>
      <w:r w:rsidRPr="00CF64E1">
        <w:rPr>
          <w:sz w:val="24"/>
        </w:rPr>
        <w:t>拟将其持有</w:t>
      </w:r>
      <w:r w:rsidRPr="00D6370A">
        <w:rPr>
          <w:sz w:val="24"/>
        </w:rPr>
        <w:t>Source Photonics Holding</w:t>
      </w:r>
      <w:r>
        <w:rPr>
          <w:rFonts w:hint="eastAsia"/>
          <w:sz w:val="24"/>
        </w:rPr>
        <w:t>s</w:t>
      </w:r>
      <w:r w:rsidRPr="00D6370A">
        <w:rPr>
          <w:sz w:val="24"/>
        </w:rPr>
        <w:t xml:space="preserve"> (Cayman) Limited（以下简称“</w:t>
      </w:r>
      <w:r w:rsidRPr="00B00041">
        <w:rPr>
          <w:sz w:val="24"/>
        </w:rPr>
        <w:t>索尔思光电”或“标的公司”</w:t>
      </w:r>
      <w:r w:rsidRPr="00D6370A">
        <w:rPr>
          <w:sz w:val="24"/>
        </w:rPr>
        <w:t>）</w:t>
      </w:r>
      <w:r w:rsidR="00B00041" w:rsidRPr="00B00041">
        <w:rPr>
          <w:sz w:val="24"/>
        </w:rPr>
        <w:t xml:space="preserve"> </w:t>
      </w:r>
      <w:r w:rsidR="00B00041" w:rsidRPr="00CF64E1">
        <w:rPr>
          <w:sz w:val="24"/>
        </w:rPr>
        <w:t>556.03万股</w:t>
      </w:r>
      <w:r w:rsidRPr="00CF64E1">
        <w:rPr>
          <w:sz w:val="24"/>
        </w:rPr>
        <w:t>股份以及通过Diamond Hill, L.P.持有的2,959.25万股股份转让给</w:t>
      </w:r>
      <w:r w:rsidRPr="00CF64E1">
        <w:rPr>
          <w:rFonts w:hint="eastAsia"/>
          <w:sz w:val="24"/>
        </w:rPr>
        <w:t>北京万通新发展集团股份有限公司（以下简称“万通发展”）</w:t>
      </w:r>
      <w:r w:rsidRPr="00CF64E1">
        <w:rPr>
          <w:sz w:val="24"/>
        </w:rPr>
        <w:t>，合计转让3,515.28万股索尔思光电股份，转让总价款为9,202.66万美元。本次转让完成后，上</w:t>
      </w:r>
      <w:r w:rsidRPr="00CF64E1">
        <w:rPr>
          <w:rFonts w:hint="eastAsia"/>
          <w:sz w:val="24"/>
        </w:rPr>
        <w:t>海启澜通过</w:t>
      </w:r>
      <w:r w:rsidRPr="00CF64E1">
        <w:rPr>
          <w:sz w:val="24"/>
        </w:rPr>
        <w:t>Diamond Hill, L.P.剩余持有索尔思光电3,034.37万股股份。详见公司于2024年6月24日</w:t>
      </w:r>
      <w:r>
        <w:rPr>
          <w:sz w:val="24"/>
        </w:rPr>
        <w:t>、</w:t>
      </w:r>
      <w:r>
        <w:rPr>
          <w:rFonts w:hint="eastAsia"/>
          <w:sz w:val="24"/>
        </w:rPr>
        <w:t>9月13日</w:t>
      </w:r>
      <w:r w:rsidR="00BB0918">
        <w:rPr>
          <w:rFonts w:hint="eastAsia"/>
          <w:sz w:val="24"/>
        </w:rPr>
        <w:t>、9月24日</w:t>
      </w:r>
      <w:r w:rsidR="009E317E">
        <w:rPr>
          <w:rFonts w:hint="eastAsia"/>
          <w:sz w:val="24"/>
        </w:rPr>
        <w:t>、9月25日</w:t>
      </w:r>
      <w:r w:rsidR="000958C3">
        <w:rPr>
          <w:rFonts w:hint="eastAsia"/>
          <w:sz w:val="24"/>
        </w:rPr>
        <w:t>、11月1日</w:t>
      </w:r>
      <w:r w:rsidRPr="00CF64E1">
        <w:rPr>
          <w:sz w:val="24"/>
        </w:rPr>
        <w:t>在《上海证券报》《证券时报》和</w:t>
      </w:r>
      <w:r w:rsidRPr="00FA4C5E">
        <w:rPr>
          <w:rFonts w:asciiTheme="minorEastAsia" w:eastAsiaTheme="minorEastAsia" w:hAnsiTheme="minorEastAsia"/>
          <w:sz w:val="24"/>
        </w:rPr>
        <w:t>巨潮资讯网披露</w:t>
      </w:r>
      <w:r>
        <w:rPr>
          <w:rFonts w:asciiTheme="minorEastAsia" w:eastAsiaTheme="minorEastAsia" w:hAnsiTheme="minorEastAsia"/>
          <w:sz w:val="24"/>
        </w:rPr>
        <w:t>的</w:t>
      </w:r>
      <w:r w:rsidRPr="00CF64E1">
        <w:rPr>
          <w:sz w:val="24"/>
        </w:rPr>
        <w:t>《关于转让参股公司部分股份的公告》（公告编号：2024-035）、《第九届董事会第三次会议决议公告》（公告编号：2024-037</w:t>
      </w:r>
      <w:r>
        <w:rPr>
          <w:sz w:val="24"/>
        </w:rPr>
        <w:t>）、《</w:t>
      </w:r>
      <w:r>
        <w:rPr>
          <w:rFonts w:hint="eastAsia"/>
          <w:sz w:val="24"/>
        </w:rPr>
        <w:t>2024年第一次临时股东大会决议公告》（公告编号：2024-052）</w:t>
      </w:r>
      <w:r w:rsidR="00BB0918">
        <w:rPr>
          <w:rFonts w:hint="eastAsia"/>
          <w:sz w:val="24"/>
        </w:rPr>
        <w:t>、《关于转让参股公司部分股份的进</w:t>
      </w:r>
      <w:r w:rsidR="00BB0918" w:rsidRPr="00AB688D">
        <w:rPr>
          <w:rFonts w:hint="eastAsia"/>
          <w:sz w:val="24"/>
        </w:rPr>
        <w:t>展公告》（公告编号：2024-054</w:t>
      </w:r>
      <w:r w:rsidR="00AB688D" w:rsidRPr="00AB688D">
        <w:rPr>
          <w:rFonts w:hint="eastAsia"/>
          <w:sz w:val="24"/>
        </w:rPr>
        <w:t>、</w:t>
      </w:r>
      <w:r w:rsidR="009E317E" w:rsidRPr="00AB688D">
        <w:rPr>
          <w:rFonts w:hint="eastAsia"/>
          <w:sz w:val="24"/>
        </w:rPr>
        <w:t>2024-055</w:t>
      </w:r>
      <w:r w:rsidR="00AB688D" w:rsidRPr="00AB688D">
        <w:rPr>
          <w:rFonts w:hint="eastAsia"/>
          <w:sz w:val="24"/>
        </w:rPr>
        <w:t>、</w:t>
      </w:r>
      <w:r w:rsidR="000958C3" w:rsidRPr="00AB688D">
        <w:rPr>
          <w:rFonts w:hint="eastAsia"/>
          <w:sz w:val="24"/>
        </w:rPr>
        <w:t>2024-058）</w:t>
      </w:r>
      <w:r w:rsidR="009E317E" w:rsidRPr="00AB688D">
        <w:rPr>
          <w:rFonts w:hint="eastAsia"/>
          <w:sz w:val="24"/>
        </w:rPr>
        <w:t>。</w:t>
      </w:r>
    </w:p>
    <w:p w:rsidR="00BE5A8B" w:rsidRDefault="00BE5A8B" w:rsidP="007A670D">
      <w:pPr>
        <w:pStyle w:val="a6"/>
        <w:adjustRightInd w:val="0"/>
        <w:snapToGrid w:val="0"/>
        <w:spacing w:line="348" w:lineRule="auto"/>
        <w:ind w:firstLine="482"/>
        <w:rPr>
          <w:rFonts w:asciiTheme="minorEastAsia" w:eastAsiaTheme="minorEastAsia" w:hAnsiTheme="minorEastAsia"/>
          <w:b/>
          <w:sz w:val="24"/>
        </w:rPr>
      </w:pPr>
    </w:p>
    <w:p w:rsidR="003C01CE" w:rsidRPr="00624EF4" w:rsidRDefault="003C01CE" w:rsidP="007A670D">
      <w:pPr>
        <w:pStyle w:val="a6"/>
        <w:adjustRightInd w:val="0"/>
        <w:snapToGrid w:val="0"/>
        <w:spacing w:line="348" w:lineRule="auto"/>
        <w:ind w:firstLine="482"/>
        <w:rPr>
          <w:rFonts w:asciiTheme="minorEastAsia" w:eastAsiaTheme="minorEastAsia" w:hAnsiTheme="minorEastAsia"/>
          <w:b/>
          <w:sz w:val="24"/>
        </w:rPr>
      </w:pPr>
      <w:r w:rsidRPr="00624EF4">
        <w:rPr>
          <w:rFonts w:asciiTheme="minorEastAsia" w:eastAsiaTheme="minorEastAsia" w:hAnsiTheme="minorEastAsia" w:hint="eastAsia"/>
          <w:b/>
          <w:sz w:val="24"/>
        </w:rPr>
        <w:t>二、</w:t>
      </w:r>
      <w:r w:rsidR="00EF1A5F" w:rsidRPr="00624EF4">
        <w:rPr>
          <w:rFonts w:asciiTheme="minorEastAsia" w:eastAsiaTheme="minorEastAsia" w:hAnsiTheme="minorEastAsia" w:hint="eastAsia"/>
          <w:b/>
          <w:sz w:val="24"/>
        </w:rPr>
        <w:t>进展情况</w:t>
      </w:r>
    </w:p>
    <w:p w:rsidR="009E317E" w:rsidRDefault="00BB0918" w:rsidP="007A670D">
      <w:pPr>
        <w:pStyle w:val="a6"/>
        <w:adjustRightInd w:val="0"/>
        <w:snapToGrid w:val="0"/>
        <w:spacing w:line="348" w:lineRule="auto"/>
        <w:ind w:firstLine="480"/>
        <w:rPr>
          <w:rFonts w:asciiTheme="minorEastAsia" w:eastAsiaTheme="minorEastAsia" w:hAnsiTheme="minorEastAsia"/>
          <w:sz w:val="24"/>
        </w:rPr>
      </w:pPr>
      <w:r w:rsidRPr="00C574D4">
        <w:rPr>
          <w:rFonts w:hint="eastAsia"/>
          <w:sz w:val="24"/>
        </w:rPr>
        <w:t>2024年</w:t>
      </w:r>
      <w:r w:rsidR="00AB688D" w:rsidRPr="00C574D4">
        <w:rPr>
          <w:rFonts w:hint="eastAsia"/>
          <w:sz w:val="24"/>
        </w:rPr>
        <w:t>12</w:t>
      </w:r>
      <w:r w:rsidRPr="00C574D4">
        <w:rPr>
          <w:rFonts w:hint="eastAsia"/>
          <w:sz w:val="24"/>
        </w:rPr>
        <w:t>月</w:t>
      </w:r>
      <w:r w:rsidR="001D6F10" w:rsidRPr="00C574D4">
        <w:rPr>
          <w:rFonts w:hint="eastAsia"/>
          <w:sz w:val="24"/>
        </w:rPr>
        <w:t>31</w:t>
      </w:r>
      <w:r w:rsidRPr="00C574D4">
        <w:rPr>
          <w:rFonts w:hint="eastAsia"/>
          <w:sz w:val="24"/>
        </w:rPr>
        <w:t>日</w:t>
      </w:r>
      <w:r w:rsidR="00B00041" w:rsidRPr="00C574D4">
        <w:rPr>
          <w:sz w:val="24"/>
        </w:rPr>
        <w:t>，</w:t>
      </w:r>
      <w:r w:rsidR="00B00041" w:rsidRPr="00506259">
        <w:rPr>
          <w:rFonts w:hint="eastAsia"/>
          <w:sz w:val="24"/>
        </w:rPr>
        <w:t>上</w:t>
      </w:r>
      <w:r w:rsidR="00B00041" w:rsidRPr="00173A54">
        <w:rPr>
          <w:rFonts w:hint="eastAsia"/>
          <w:sz w:val="24"/>
        </w:rPr>
        <w:t>海启澜与万通发展签署了《</w:t>
      </w:r>
      <w:r w:rsidR="00B00041" w:rsidRPr="00173A54">
        <w:rPr>
          <w:sz w:val="24"/>
        </w:rPr>
        <w:t>关于Source Photonics Holdings (Cayman) Limited之股份转让协议之补充协议</w:t>
      </w:r>
      <w:r w:rsidR="00AB688D">
        <w:rPr>
          <w:sz w:val="24"/>
        </w:rPr>
        <w:t>（三</w:t>
      </w:r>
      <w:r w:rsidR="009E317E" w:rsidRPr="00173A54">
        <w:rPr>
          <w:sz w:val="24"/>
        </w:rPr>
        <w:t>）</w:t>
      </w:r>
      <w:r w:rsidR="00B00041" w:rsidRPr="00173A54">
        <w:rPr>
          <w:sz w:val="24"/>
        </w:rPr>
        <w:t>》</w:t>
      </w:r>
      <w:r w:rsidR="009E2B52" w:rsidRPr="00173A54">
        <w:rPr>
          <w:sz w:val="24"/>
        </w:rPr>
        <w:t>。</w:t>
      </w:r>
      <w:r w:rsidR="009E317E">
        <w:rPr>
          <w:rFonts w:asciiTheme="minorEastAsia" w:eastAsiaTheme="minorEastAsia" w:hAnsiTheme="minorEastAsia"/>
          <w:sz w:val="24"/>
        </w:rPr>
        <w:t>《</w:t>
      </w:r>
      <w:r w:rsidR="009E317E">
        <w:rPr>
          <w:rFonts w:asciiTheme="minorEastAsia" w:eastAsiaTheme="minorEastAsia" w:hAnsiTheme="minorEastAsia" w:hint="eastAsia"/>
          <w:sz w:val="24"/>
        </w:rPr>
        <w:t>补充</w:t>
      </w:r>
      <w:r w:rsidR="009E317E" w:rsidRPr="00C60CD9">
        <w:rPr>
          <w:rFonts w:asciiTheme="minorEastAsia" w:eastAsiaTheme="minorEastAsia" w:hAnsiTheme="minorEastAsia"/>
          <w:sz w:val="24"/>
        </w:rPr>
        <w:t>协议</w:t>
      </w:r>
      <w:r w:rsidR="00AB688D">
        <w:rPr>
          <w:rFonts w:asciiTheme="minorEastAsia" w:eastAsiaTheme="minorEastAsia" w:hAnsiTheme="minorEastAsia"/>
          <w:sz w:val="24"/>
        </w:rPr>
        <w:t>》（三</w:t>
      </w:r>
      <w:r w:rsidR="009E317E">
        <w:rPr>
          <w:rFonts w:asciiTheme="minorEastAsia" w:eastAsiaTheme="minorEastAsia" w:hAnsiTheme="minorEastAsia"/>
          <w:sz w:val="24"/>
        </w:rPr>
        <w:t>）</w:t>
      </w:r>
      <w:r w:rsidR="009E317E" w:rsidRPr="00C60CD9">
        <w:rPr>
          <w:rFonts w:asciiTheme="minorEastAsia" w:eastAsiaTheme="minorEastAsia" w:hAnsiTheme="minorEastAsia"/>
          <w:sz w:val="24"/>
        </w:rPr>
        <w:t>主要</w:t>
      </w:r>
      <w:r w:rsidR="009E317E">
        <w:rPr>
          <w:rFonts w:asciiTheme="minorEastAsia" w:eastAsiaTheme="minorEastAsia" w:hAnsiTheme="minorEastAsia"/>
          <w:sz w:val="24"/>
        </w:rPr>
        <w:t>内容</w:t>
      </w:r>
      <w:r w:rsidR="009E317E" w:rsidRPr="00C60CD9">
        <w:rPr>
          <w:rFonts w:asciiTheme="minorEastAsia" w:eastAsiaTheme="minorEastAsia" w:hAnsiTheme="minorEastAsia"/>
          <w:sz w:val="24"/>
        </w:rPr>
        <w:t>如下：</w:t>
      </w:r>
    </w:p>
    <w:p w:rsidR="001B558F" w:rsidRPr="001B558F" w:rsidRDefault="001B558F" w:rsidP="004B267C">
      <w:pPr>
        <w:tabs>
          <w:tab w:val="num" w:pos="900"/>
        </w:tabs>
        <w:adjustRightInd w:val="0"/>
        <w:snapToGrid w:val="0"/>
        <w:spacing w:line="348" w:lineRule="auto"/>
        <w:ind w:firstLineChars="200" w:firstLine="482"/>
        <w:rPr>
          <w:b/>
          <w:sz w:val="24"/>
        </w:rPr>
      </w:pPr>
      <w:bookmarkStart w:id="0" w:name="_Toc430525431"/>
      <w:bookmarkStart w:id="1" w:name="_Toc186223660"/>
      <w:r w:rsidRPr="001B558F">
        <w:rPr>
          <w:rFonts w:hint="eastAsia"/>
          <w:b/>
          <w:sz w:val="24"/>
        </w:rPr>
        <w:t>第一条</w:t>
      </w:r>
      <w:bookmarkStart w:id="2" w:name="_Toc430525432"/>
      <w:bookmarkEnd w:id="0"/>
      <w:r w:rsidRPr="001B558F">
        <w:rPr>
          <w:rFonts w:hint="eastAsia"/>
          <w:b/>
          <w:sz w:val="24"/>
        </w:rPr>
        <w:t xml:space="preserve">  </w:t>
      </w:r>
      <w:bookmarkStart w:id="3" w:name="_Hlk177661435"/>
      <w:bookmarkEnd w:id="1"/>
      <w:r w:rsidRPr="001B558F">
        <w:rPr>
          <w:rFonts w:hint="eastAsia"/>
          <w:b/>
          <w:sz w:val="24"/>
        </w:rPr>
        <w:t>分手费及终止条款</w:t>
      </w:r>
    </w:p>
    <w:p w:rsidR="001B558F" w:rsidRPr="004B267C" w:rsidRDefault="001B558F" w:rsidP="004B267C">
      <w:pPr>
        <w:tabs>
          <w:tab w:val="num" w:pos="900"/>
        </w:tabs>
        <w:adjustRightInd w:val="0"/>
        <w:snapToGrid w:val="0"/>
        <w:spacing w:line="348" w:lineRule="auto"/>
        <w:ind w:firstLineChars="200" w:firstLine="480"/>
        <w:rPr>
          <w:sz w:val="24"/>
        </w:rPr>
      </w:pPr>
      <w:r w:rsidRPr="001B558F">
        <w:rPr>
          <w:rFonts w:hint="eastAsia"/>
          <w:sz w:val="24"/>
        </w:rPr>
        <w:t>经各方协商一致，《补充协议（二）》第三条修改及补充如下：</w:t>
      </w:r>
    </w:p>
    <w:p w:rsidR="004B267C" w:rsidRPr="00417FCE" w:rsidRDefault="009529C3" w:rsidP="00417FCE">
      <w:pPr>
        <w:tabs>
          <w:tab w:val="num" w:pos="900"/>
        </w:tabs>
        <w:adjustRightInd w:val="0"/>
        <w:snapToGrid w:val="0"/>
        <w:spacing w:line="348" w:lineRule="auto"/>
        <w:ind w:firstLineChars="200" w:firstLine="482"/>
        <w:rPr>
          <w:b/>
          <w:sz w:val="24"/>
        </w:rPr>
      </w:pPr>
      <w:r w:rsidRPr="00417FCE">
        <w:rPr>
          <w:rFonts w:hint="eastAsia"/>
          <w:b/>
          <w:sz w:val="24"/>
        </w:rPr>
        <w:lastRenderedPageBreak/>
        <w:t>原</w:t>
      </w:r>
      <w:r w:rsidR="004B267C" w:rsidRPr="00417FCE">
        <w:rPr>
          <w:rFonts w:hint="eastAsia"/>
          <w:b/>
          <w:sz w:val="24"/>
        </w:rPr>
        <w:t>《补充协议（二）》第三条内容如下：</w:t>
      </w:r>
    </w:p>
    <w:p w:rsidR="004B267C" w:rsidRPr="00BD510A" w:rsidRDefault="004B267C" w:rsidP="004B267C">
      <w:pPr>
        <w:tabs>
          <w:tab w:val="num" w:pos="900"/>
        </w:tabs>
        <w:adjustRightInd w:val="0"/>
        <w:snapToGrid w:val="0"/>
        <w:spacing w:line="348" w:lineRule="auto"/>
        <w:ind w:firstLineChars="200" w:firstLine="480"/>
        <w:rPr>
          <w:sz w:val="24"/>
        </w:rPr>
      </w:pPr>
      <w:r w:rsidRPr="00BD510A">
        <w:rPr>
          <w:rFonts w:hint="eastAsia"/>
          <w:sz w:val="24"/>
        </w:rPr>
        <w:t>“自《股份转让协议》签署之日至</w:t>
      </w:r>
      <w:r w:rsidRPr="00BD510A">
        <w:rPr>
          <w:sz w:val="24"/>
        </w:rPr>
        <w:t>2024</w:t>
      </w:r>
      <w:r w:rsidRPr="00BD510A">
        <w:rPr>
          <w:rFonts w:hint="eastAsia"/>
          <w:sz w:val="24"/>
        </w:rPr>
        <w:t>年</w:t>
      </w:r>
      <w:r w:rsidRPr="00BD510A">
        <w:rPr>
          <w:sz w:val="24"/>
        </w:rPr>
        <w:t>1</w:t>
      </w:r>
      <w:r w:rsidRPr="00BD510A">
        <w:rPr>
          <w:rFonts w:hint="eastAsia"/>
          <w:sz w:val="24"/>
        </w:rPr>
        <w:t>2月</w:t>
      </w:r>
      <w:r w:rsidRPr="00BD510A">
        <w:rPr>
          <w:sz w:val="24"/>
        </w:rPr>
        <w:t>31</w:t>
      </w:r>
      <w:r w:rsidRPr="00BD510A">
        <w:rPr>
          <w:rFonts w:hint="eastAsia"/>
          <w:sz w:val="24"/>
        </w:rPr>
        <w:t>日（含当日），如万通发展尚未发出审议本次交易股东大会的召开通知及公告，万通发展有权终止本次交易，无需向本协议其他各方承担任何本协议项下之任何违约责任或赔偿责任。</w:t>
      </w:r>
    </w:p>
    <w:p w:rsidR="004B267C" w:rsidRDefault="004B267C" w:rsidP="004B267C">
      <w:pPr>
        <w:tabs>
          <w:tab w:val="num" w:pos="900"/>
        </w:tabs>
        <w:adjustRightInd w:val="0"/>
        <w:snapToGrid w:val="0"/>
        <w:spacing w:line="348" w:lineRule="auto"/>
        <w:ind w:firstLineChars="200" w:firstLine="480"/>
        <w:rPr>
          <w:sz w:val="24"/>
        </w:rPr>
      </w:pPr>
      <w:r w:rsidRPr="00BD510A">
        <w:rPr>
          <w:rFonts w:hint="eastAsia"/>
          <w:sz w:val="24"/>
        </w:rPr>
        <w:t>自</w:t>
      </w:r>
      <w:r w:rsidRPr="00BD510A">
        <w:rPr>
          <w:sz w:val="24"/>
        </w:rPr>
        <w:t>202</w:t>
      </w:r>
      <w:r w:rsidRPr="00BD510A">
        <w:rPr>
          <w:rFonts w:hint="eastAsia"/>
          <w:sz w:val="24"/>
        </w:rPr>
        <w:t>5年</w:t>
      </w:r>
      <w:r w:rsidRPr="00BD510A">
        <w:rPr>
          <w:sz w:val="24"/>
        </w:rPr>
        <w:t>1</w:t>
      </w:r>
      <w:r w:rsidRPr="00BD510A">
        <w:rPr>
          <w:rFonts w:hint="eastAsia"/>
          <w:sz w:val="24"/>
        </w:rPr>
        <w:t>月</w:t>
      </w:r>
      <w:r w:rsidRPr="00BD510A">
        <w:rPr>
          <w:sz w:val="24"/>
        </w:rPr>
        <w:t>1</w:t>
      </w:r>
      <w:r w:rsidRPr="00BD510A">
        <w:rPr>
          <w:rFonts w:hint="eastAsia"/>
          <w:sz w:val="24"/>
        </w:rPr>
        <w:t>日（含当日）起，除仅因本协议转让方及标的公司未根据</w:t>
      </w:r>
      <w:r w:rsidRPr="00173A54">
        <w:rPr>
          <w:rFonts w:hint="eastAsia"/>
          <w:sz w:val="24"/>
        </w:rPr>
        <w:t>本协议第</w:t>
      </w:r>
      <w:r w:rsidRPr="00173A54">
        <w:rPr>
          <w:sz w:val="24"/>
        </w:rPr>
        <w:t>6.1</w:t>
      </w:r>
      <w:r w:rsidRPr="00173A54">
        <w:rPr>
          <w:rFonts w:hint="eastAsia"/>
          <w:sz w:val="24"/>
        </w:rPr>
        <w:t>（</w:t>
      </w:r>
      <w:r w:rsidRPr="00173A54">
        <w:rPr>
          <w:sz w:val="24"/>
        </w:rPr>
        <w:t>7</w:t>
      </w:r>
      <w:r w:rsidRPr="00173A54">
        <w:rPr>
          <w:rFonts w:hint="eastAsia"/>
          <w:sz w:val="24"/>
        </w:rPr>
        <w:t>）条及</w:t>
      </w:r>
      <w:r w:rsidRPr="00173A54">
        <w:rPr>
          <w:sz w:val="24"/>
        </w:rPr>
        <w:t>6.2</w:t>
      </w:r>
      <w:r w:rsidRPr="00173A54">
        <w:rPr>
          <w:rFonts w:hint="eastAsia"/>
          <w:sz w:val="24"/>
        </w:rPr>
        <w:t>条约定履行其义务外，如（</w:t>
      </w:r>
      <w:r w:rsidRPr="00173A54">
        <w:rPr>
          <w:sz w:val="24"/>
        </w:rPr>
        <w:t>i</w:t>
      </w:r>
      <w:r w:rsidRPr="00173A54">
        <w:rPr>
          <w:rFonts w:hint="eastAsia"/>
          <w:sz w:val="24"/>
        </w:rPr>
        <w:t>）万通发展未发出审议</w:t>
      </w:r>
      <w:r w:rsidRPr="00BD510A">
        <w:rPr>
          <w:rFonts w:hint="eastAsia"/>
          <w:sz w:val="24"/>
        </w:rPr>
        <w:t>本次交易股东大会召开通知及公告且未能就股东大会召开日期与标的公司及本协议转让方另行协商一致的；或（</w:t>
      </w:r>
      <w:r w:rsidRPr="00BD510A">
        <w:rPr>
          <w:sz w:val="24"/>
        </w:rPr>
        <w:t>ii</w:t>
      </w:r>
      <w:r w:rsidRPr="00BD510A">
        <w:rPr>
          <w:rFonts w:hint="eastAsia"/>
          <w:sz w:val="24"/>
        </w:rPr>
        <w:t>）经万通发展股东大会审议否决本次交易，则万通发展应在前述任一情形发生后的</w:t>
      </w:r>
      <w:r w:rsidRPr="00BD510A">
        <w:rPr>
          <w:sz w:val="24"/>
        </w:rPr>
        <w:t>15</w:t>
      </w:r>
      <w:r w:rsidRPr="00BD510A">
        <w:rPr>
          <w:rFonts w:hint="eastAsia"/>
          <w:sz w:val="24"/>
        </w:rPr>
        <w:t>个工作日内（孰早），向标的公司支付本协议项下标的股份转让价款的</w:t>
      </w:r>
      <w:r w:rsidRPr="00BD510A">
        <w:rPr>
          <w:sz w:val="24"/>
        </w:rPr>
        <w:t>1%</w:t>
      </w:r>
      <w:r w:rsidRPr="00BD510A">
        <w:rPr>
          <w:rFonts w:hint="eastAsia"/>
          <w:sz w:val="24"/>
        </w:rPr>
        <w:t>作为分手费（含税）。”</w:t>
      </w:r>
    </w:p>
    <w:p w:rsidR="004B267C" w:rsidRPr="00A63D84" w:rsidRDefault="004B267C" w:rsidP="00A63D84">
      <w:pPr>
        <w:tabs>
          <w:tab w:val="num" w:pos="900"/>
        </w:tabs>
        <w:adjustRightInd w:val="0"/>
        <w:snapToGrid w:val="0"/>
        <w:spacing w:line="348" w:lineRule="auto"/>
        <w:ind w:firstLineChars="200" w:firstLine="482"/>
        <w:rPr>
          <w:b/>
          <w:sz w:val="24"/>
        </w:rPr>
      </w:pPr>
      <w:r w:rsidRPr="00A63D84">
        <w:rPr>
          <w:rFonts w:hint="eastAsia"/>
          <w:b/>
          <w:sz w:val="24"/>
        </w:rPr>
        <w:t>现修改为：</w:t>
      </w:r>
    </w:p>
    <w:p w:rsidR="00A63D84" w:rsidRPr="00A63D84" w:rsidRDefault="00A63D84" w:rsidP="00A63D84">
      <w:pPr>
        <w:tabs>
          <w:tab w:val="num" w:pos="900"/>
        </w:tabs>
        <w:adjustRightInd w:val="0"/>
        <w:snapToGrid w:val="0"/>
        <w:spacing w:line="348" w:lineRule="auto"/>
        <w:ind w:firstLineChars="200" w:firstLine="480"/>
        <w:rPr>
          <w:sz w:val="24"/>
        </w:rPr>
      </w:pPr>
      <w:r w:rsidRPr="00A63D84">
        <w:rPr>
          <w:rFonts w:hint="eastAsia"/>
          <w:sz w:val="24"/>
        </w:rPr>
        <w:t>“(</w:t>
      </w:r>
      <w:r w:rsidRPr="00A63D84">
        <w:rPr>
          <w:sz w:val="24"/>
        </w:rPr>
        <w:t>a)</w:t>
      </w:r>
      <w:r w:rsidRPr="00A63D84">
        <w:rPr>
          <w:rFonts w:hint="eastAsia"/>
          <w:sz w:val="24"/>
        </w:rPr>
        <w:t>自《股份转让协议》签署之日至</w:t>
      </w:r>
      <w:r w:rsidRPr="00A63D84">
        <w:rPr>
          <w:sz w:val="24"/>
        </w:rPr>
        <w:t>202</w:t>
      </w:r>
      <w:r w:rsidRPr="00A63D84">
        <w:rPr>
          <w:rFonts w:hint="eastAsia"/>
          <w:sz w:val="24"/>
        </w:rPr>
        <w:t>5年2月15日（含当日），如万通发展尚未发出审议本次交易股东大会的召开通知及公告，万通发展有权终止本次交易（终止方式包括但不限于万通发展召开董事会审议终止本次交易或万通发展通过电子邮件、邮寄解除通知等方式向协议各方发出解除本协议的书面通知），无需向本协议其他各方承担任何本协议项下之任何违约责任或赔偿责任。同时，在万通发展签署本协议之《补充协议（三）》后，上海启澜企业管理咨询合伙企业（有限合伙）、</w:t>
      </w:r>
      <w:r w:rsidRPr="00A63D84">
        <w:rPr>
          <w:sz w:val="24"/>
        </w:rPr>
        <w:t xml:space="preserve">V-Capital </w:t>
      </w:r>
      <w:proofErr w:type="spellStart"/>
      <w:r w:rsidRPr="00A63D84">
        <w:rPr>
          <w:sz w:val="24"/>
        </w:rPr>
        <w:t>Zhigeng</w:t>
      </w:r>
      <w:proofErr w:type="spellEnd"/>
      <w:r w:rsidRPr="00A63D84">
        <w:rPr>
          <w:sz w:val="24"/>
        </w:rPr>
        <w:t xml:space="preserve"> International Co., Limited</w:t>
      </w:r>
      <w:r w:rsidRPr="00A63D84">
        <w:rPr>
          <w:rFonts w:hint="eastAsia"/>
          <w:sz w:val="24"/>
        </w:rPr>
        <w:t>、上海安涧企业管理咨询合伙企业（有限合伙）或上海煜村企业管理咨询合伙企业（有限合伙）中的任一方或多方有权向万通发展发出解除通知解除本协议，与万通发展以及本协议其他各方终止本协议，如解除通知发出后3个工作日内，万通发展未与通知发出方就本次交易继续推进另行协商达成一致的，则本协议自动终止。</w:t>
      </w:r>
    </w:p>
    <w:p w:rsidR="00A63D84" w:rsidRPr="00A63D84" w:rsidRDefault="00A63D84" w:rsidP="00A63D84">
      <w:pPr>
        <w:tabs>
          <w:tab w:val="num" w:pos="900"/>
        </w:tabs>
        <w:adjustRightInd w:val="0"/>
        <w:snapToGrid w:val="0"/>
        <w:spacing w:line="348" w:lineRule="auto"/>
        <w:ind w:firstLineChars="200" w:firstLine="480"/>
        <w:rPr>
          <w:sz w:val="24"/>
        </w:rPr>
      </w:pPr>
      <w:r w:rsidRPr="00A63D84">
        <w:rPr>
          <w:sz w:val="24"/>
        </w:rPr>
        <w:t>(b)</w:t>
      </w:r>
      <w:r w:rsidRPr="00A63D84">
        <w:rPr>
          <w:rFonts w:hint="eastAsia"/>
          <w:sz w:val="24"/>
        </w:rPr>
        <w:t>若出现以下任一情形的，本协议于2</w:t>
      </w:r>
      <w:r w:rsidRPr="00A63D84">
        <w:rPr>
          <w:sz w:val="24"/>
        </w:rPr>
        <w:t>025</w:t>
      </w:r>
      <w:r w:rsidRPr="00A63D84">
        <w:rPr>
          <w:rFonts w:hint="eastAsia"/>
          <w:sz w:val="24"/>
        </w:rPr>
        <w:t>年2月1</w:t>
      </w:r>
      <w:r w:rsidRPr="00A63D84">
        <w:rPr>
          <w:sz w:val="24"/>
        </w:rPr>
        <w:t>6</w:t>
      </w:r>
      <w:r w:rsidRPr="00A63D84">
        <w:rPr>
          <w:rFonts w:hint="eastAsia"/>
          <w:sz w:val="24"/>
        </w:rPr>
        <w:t>日自动终止，(</w:t>
      </w:r>
      <w:r w:rsidRPr="00A63D84">
        <w:rPr>
          <w:sz w:val="24"/>
        </w:rPr>
        <w:t>i)</w:t>
      </w:r>
      <w:r w:rsidRPr="00A63D84">
        <w:rPr>
          <w:rFonts w:hint="eastAsia"/>
          <w:sz w:val="24"/>
        </w:rPr>
        <w:t>如果截至2</w:t>
      </w:r>
      <w:r w:rsidRPr="00A63D84">
        <w:rPr>
          <w:sz w:val="24"/>
        </w:rPr>
        <w:t>025</w:t>
      </w:r>
      <w:r w:rsidRPr="00A63D84">
        <w:rPr>
          <w:rFonts w:hint="eastAsia"/>
          <w:sz w:val="24"/>
        </w:rPr>
        <w:t>年2月1</w:t>
      </w:r>
      <w:r w:rsidRPr="00A63D84">
        <w:rPr>
          <w:sz w:val="24"/>
        </w:rPr>
        <w:t>6</w:t>
      </w:r>
      <w:r w:rsidRPr="00A63D84">
        <w:rPr>
          <w:rFonts w:hint="eastAsia"/>
          <w:sz w:val="24"/>
        </w:rPr>
        <w:t>日万通发展未按照本补充协议第一条第(a)款要求终止本次交易且未发出审议本次交易股东大会召开通知及公告，或经万通发展股东大会审议否决本次交易；或(</w:t>
      </w:r>
      <w:r w:rsidRPr="00A63D84">
        <w:rPr>
          <w:sz w:val="24"/>
        </w:rPr>
        <w:t>ii)</w:t>
      </w:r>
      <w:r w:rsidRPr="00A63D84">
        <w:rPr>
          <w:rFonts w:hint="eastAsia"/>
          <w:sz w:val="24"/>
        </w:rPr>
        <w:t>《股份转让协议》约定的标的股份转让价款支付条件未于2025年</w:t>
      </w:r>
      <w:r w:rsidRPr="00A63D84">
        <w:rPr>
          <w:sz w:val="24"/>
        </w:rPr>
        <w:t>2</w:t>
      </w:r>
      <w:r w:rsidRPr="00A63D84">
        <w:rPr>
          <w:rFonts w:hint="eastAsia"/>
          <w:sz w:val="24"/>
        </w:rPr>
        <w:t>月</w:t>
      </w:r>
      <w:r w:rsidRPr="00A63D84">
        <w:rPr>
          <w:sz w:val="24"/>
        </w:rPr>
        <w:t>16</w:t>
      </w:r>
      <w:r w:rsidRPr="00A63D84">
        <w:rPr>
          <w:rFonts w:hint="eastAsia"/>
          <w:sz w:val="24"/>
        </w:rPr>
        <w:t>日前完成。在上述第（</w:t>
      </w:r>
      <w:r w:rsidRPr="00A63D84">
        <w:rPr>
          <w:sz w:val="24"/>
        </w:rPr>
        <w:t>i</w:t>
      </w:r>
      <w:r w:rsidRPr="00A63D84">
        <w:rPr>
          <w:rFonts w:hint="eastAsia"/>
          <w:sz w:val="24"/>
        </w:rPr>
        <w:t>）种终止情形下，万通发展应在该终止情形发生之日起</w:t>
      </w:r>
      <w:r w:rsidRPr="00A63D84">
        <w:rPr>
          <w:sz w:val="24"/>
        </w:rPr>
        <w:t>15</w:t>
      </w:r>
      <w:r w:rsidRPr="00A63D84">
        <w:rPr>
          <w:rFonts w:hint="eastAsia"/>
          <w:sz w:val="24"/>
        </w:rPr>
        <w:t>个工作日内向标的公司支付本协议项下标的股份转让价款的</w:t>
      </w:r>
      <w:r w:rsidRPr="00A63D84">
        <w:rPr>
          <w:sz w:val="24"/>
        </w:rPr>
        <w:t>1%</w:t>
      </w:r>
      <w:r w:rsidRPr="00A63D84">
        <w:rPr>
          <w:rFonts w:hint="eastAsia"/>
          <w:sz w:val="24"/>
        </w:rPr>
        <w:t>作为分手费（含税）。</w:t>
      </w:r>
    </w:p>
    <w:p w:rsidR="00A63D84" w:rsidRPr="00A63D84" w:rsidRDefault="00A63D84" w:rsidP="00A63D84">
      <w:pPr>
        <w:tabs>
          <w:tab w:val="num" w:pos="900"/>
        </w:tabs>
        <w:adjustRightInd w:val="0"/>
        <w:snapToGrid w:val="0"/>
        <w:spacing w:line="348" w:lineRule="auto"/>
        <w:ind w:firstLineChars="200" w:firstLine="480"/>
        <w:rPr>
          <w:sz w:val="24"/>
        </w:rPr>
      </w:pPr>
      <w:r w:rsidRPr="00A63D84">
        <w:rPr>
          <w:rFonts w:hint="eastAsia"/>
          <w:sz w:val="24"/>
        </w:rPr>
        <w:t>(c</w:t>
      </w:r>
      <w:r w:rsidRPr="00A63D84">
        <w:rPr>
          <w:sz w:val="24"/>
        </w:rPr>
        <w:t>)</w:t>
      </w:r>
      <w:r w:rsidRPr="00A63D84">
        <w:rPr>
          <w:rFonts w:hint="eastAsia"/>
          <w:sz w:val="24"/>
        </w:rPr>
        <w:t>各方同意并确认，如果本协议根据本条上述约定解除或终止的，除本补充协议第一条上述 (b)项另有约定外，各方之间在本协议下互不承担任何违约责</w:t>
      </w:r>
      <w:r w:rsidRPr="00A63D84">
        <w:rPr>
          <w:rFonts w:hint="eastAsia"/>
          <w:sz w:val="24"/>
        </w:rPr>
        <w:lastRenderedPageBreak/>
        <w:t>任或赔偿责任。</w:t>
      </w:r>
      <w:r>
        <w:rPr>
          <w:rFonts w:hint="eastAsia"/>
          <w:sz w:val="24"/>
        </w:rPr>
        <w:t>”</w:t>
      </w:r>
    </w:p>
    <w:p w:rsidR="004B267C" w:rsidRPr="00A63D84" w:rsidRDefault="004B267C" w:rsidP="004B267C">
      <w:pPr>
        <w:tabs>
          <w:tab w:val="num" w:pos="900"/>
        </w:tabs>
        <w:adjustRightInd w:val="0"/>
        <w:snapToGrid w:val="0"/>
        <w:spacing w:line="348" w:lineRule="auto"/>
        <w:ind w:firstLineChars="200" w:firstLine="480"/>
        <w:rPr>
          <w:sz w:val="24"/>
        </w:rPr>
      </w:pPr>
    </w:p>
    <w:p w:rsidR="001B558F" w:rsidRPr="001B558F" w:rsidRDefault="001B558F" w:rsidP="004B267C">
      <w:pPr>
        <w:tabs>
          <w:tab w:val="num" w:pos="900"/>
        </w:tabs>
        <w:adjustRightInd w:val="0"/>
        <w:snapToGrid w:val="0"/>
        <w:spacing w:line="348" w:lineRule="auto"/>
        <w:ind w:firstLineChars="200" w:firstLine="482"/>
        <w:rPr>
          <w:b/>
          <w:sz w:val="24"/>
        </w:rPr>
      </w:pPr>
      <w:bookmarkStart w:id="4" w:name="_Toc186223661"/>
      <w:r w:rsidRPr="001B558F">
        <w:rPr>
          <w:rFonts w:hint="eastAsia"/>
          <w:b/>
          <w:sz w:val="24"/>
        </w:rPr>
        <w:t xml:space="preserve">第二条  </w:t>
      </w:r>
      <w:bookmarkEnd w:id="2"/>
      <w:r w:rsidRPr="001B558F">
        <w:rPr>
          <w:rFonts w:hint="eastAsia"/>
          <w:b/>
          <w:sz w:val="24"/>
        </w:rPr>
        <w:t>违约责任</w:t>
      </w:r>
      <w:bookmarkEnd w:id="4"/>
    </w:p>
    <w:p w:rsidR="00A63D84" w:rsidRPr="00A63D84" w:rsidRDefault="00A63D84" w:rsidP="00A63D84">
      <w:pPr>
        <w:tabs>
          <w:tab w:val="num" w:pos="900"/>
        </w:tabs>
        <w:adjustRightInd w:val="0"/>
        <w:snapToGrid w:val="0"/>
        <w:spacing w:line="348" w:lineRule="auto"/>
        <w:ind w:firstLineChars="200" w:firstLine="480"/>
        <w:rPr>
          <w:sz w:val="24"/>
        </w:rPr>
      </w:pPr>
      <w:bookmarkStart w:id="5" w:name="_Hlk160981059"/>
      <w:bookmarkStart w:id="6" w:name="_Toc430525434"/>
      <w:bookmarkStart w:id="7" w:name="_Hlk33394280"/>
      <w:r>
        <w:rPr>
          <w:rFonts w:hint="eastAsia"/>
          <w:sz w:val="24"/>
        </w:rPr>
        <w:t>2.1</w:t>
      </w:r>
      <w:r w:rsidRPr="00A63D84">
        <w:rPr>
          <w:rFonts w:hint="eastAsia"/>
          <w:sz w:val="24"/>
        </w:rPr>
        <w:t>经各方协商一致，</w:t>
      </w:r>
      <w:bookmarkEnd w:id="5"/>
      <w:r w:rsidRPr="00A63D84">
        <w:rPr>
          <w:rFonts w:hint="eastAsia"/>
          <w:sz w:val="24"/>
        </w:rPr>
        <w:t>万通发展无需就2024年12月31日前未发出审议本次交易股东大会的召开通知及公告事宜承担《股份转让协议》及《补充协议》项下的任何违约责任。为免疑义，本条款的约定不影响本补充协议第一条第(b)款的适用。</w:t>
      </w:r>
    </w:p>
    <w:p w:rsidR="00A63D84" w:rsidRPr="00A63D84" w:rsidRDefault="00A63D84" w:rsidP="00A63D84">
      <w:pPr>
        <w:tabs>
          <w:tab w:val="num" w:pos="900"/>
        </w:tabs>
        <w:adjustRightInd w:val="0"/>
        <w:snapToGrid w:val="0"/>
        <w:spacing w:line="348" w:lineRule="auto"/>
        <w:ind w:firstLineChars="200" w:firstLine="480"/>
        <w:rPr>
          <w:sz w:val="24"/>
        </w:rPr>
      </w:pPr>
      <w:r>
        <w:rPr>
          <w:rFonts w:hint="eastAsia"/>
          <w:sz w:val="24"/>
        </w:rPr>
        <w:t>2.2</w:t>
      </w:r>
      <w:r w:rsidRPr="00A63D84">
        <w:rPr>
          <w:rFonts w:hint="eastAsia"/>
          <w:sz w:val="24"/>
        </w:rPr>
        <w:t>受让方在此确认，本协议其他各方按照《股份转让协议》及《补充协议》的约定完全履行了其各自的义务，不存在《股份转让协议》及《补充协议》项下的任何违约情形。</w:t>
      </w:r>
    </w:p>
    <w:p w:rsidR="00A63D84" w:rsidRPr="00A63D84" w:rsidRDefault="00A63D84" w:rsidP="00A63D84">
      <w:pPr>
        <w:tabs>
          <w:tab w:val="num" w:pos="900"/>
        </w:tabs>
        <w:adjustRightInd w:val="0"/>
        <w:snapToGrid w:val="0"/>
        <w:spacing w:line="348" w:lineRule="auto"/>
        <w:ind w:firstLineChars="200" w:firstLine="480"/>
        <w:rPr>
          <w:sz w:val="24"/>
        </w:rPr>
      </w:pPr>
      <w:r>
        <w:rPr>
          <w:rFonts w:hint="eastAsia"/>
          <w:sz w:val="24"/>
        </w:rPr>
        <w:t>2.3</w:t>
      </w:r>
      <w:r w:rsidRPr="00A63D84">
        <w:rPr>
          <w:rFonts w:hint="eastAsia"/>
          <w:sz w:val="24"/>
        </w:rPr>
        <w:t>经各方协商一致，万通发展仍享有《可转债投资协议》所约定的权利。</w:t>
      </w:r>
    </w:p>
    <w:p w:rsidR="001B558F" w:rsidRDefault="00A63D84" w:rsidP="004B267C">
      <w:pPr>
        <w:tabs>
          <w:tab w:val="num" w:pos="900"/>
        </w:tabs>
        <w:adjustRightInd w:val="0"/>
        <w:snapToGrid w:val="0"/>
        <w:spacing w:line="348" w:lineRule="auto"/>
        <w:ind w:firstLineChars="200" w:firstLine="480"/>
        <w:rPr>
          <w:sz w:val="24"/>
        </w:rPr>
      </w:pPr>
      <w:r>
        <w:rPr>
          <w:rFonts w:hint="eastAsia"/>
          <w:sz w:val="24"/>
        </w:rPr>
        <w:t>2.4</w:t>
      </w:r>
      <w:r w:rsidR="001B558F" w:rsidRPr="001B558F">
        <w:rPr>
          <w:rFonts w:hint="eastAsia"/>
          <w:sz w:val="24"/>
        </w:rPr>
        <w:t>经各方协商一致，《补充协议（二）》第四条之约定修改如下：</w:t>
      </w:r>
    </w:p>
    <w:p w:rsidR="004B267C" w:rsidRPr="00417FCE" w:rsidRDefault="009529C3" w:rsidP="00417FCE">
      <w:pPr>
        <w:tabs>
          <w:tab w:val="num" w:pos="900"/>
        </w:tabs>
        <w:adjustRightInd w:val="0"/>
        <w:snapToGrid w:val="0"/>
        <w:spacing w:line="348" w:lineRule="auto"/>
        <w:ind w:firstLineChars="200" w:firstLine="482"/>
        <w:rPr>
          <w:b/>
          <w:sz w:val="24"/>
        </w:rPr>
      </w:pPr>
      <w:r w:rsidRPr="00417FCE">
        <w:rPr>
          <w:rFonts w:hint="eastAsia"/>
          <w:b/>
          <w:sz w:val="24"/>
        </w:rPr>
        <w:t>原</w:t>
      </w:r>
      <w:r w:rsidR="004B267C" w:rsidRPr="00417FCE">
        <w:rPr>
          <w:rFonts w:hint="eastAsia"/>
          <w:b/>
          <w:sz w:val="24"/>
        </w:rPr>
        <w:t>《补充协议（二）》第四条内容如下：</w:t>
      </w:r>
    </w:p>
    <w:p w:rsidR="00417FCE" w:rsidRDefault="00417FCE" w:rsidP="00417FCE">
      <w:pPr>
        <w:tabs>
          <w:tab w:val="num" w:pos="900"/>
        </w:tabs>
        <w:adjustRightInd w:val="0"/>
        <w:snapToGrid w:val="0"/>
        <w:spacing w:line="348" w:lineRule="auto"/>
        <w:ind w:firstLineChars="200" w:firstLine="480"/>
        <w:rPr>
          <w:sz w:val="24"/>
        </w:rPr>
      </w:pPr>
      <w:r w:rsidRPr="00BD510A">
        <w:rPr>
          <w:rFonts w:hint="eastAsia"/>
          <w:sz w:val="24"/>
        </w:rPr>
        <w:t>“万通发展及本协议转让方承诺，在本协议成立后至2024年12月31日（含当日）期间，万通发展及本协议转让方均应尽商业上的合理努力，共同促使标的股份转让价款支付条件的达成，且前述期间内不得直接或间接与任何第三方就与本协议所述的交易相同或类似的事项或者就与本协议所述交易相矛盾的任何其他交易进行接触、商谈、磋商或签署任何协议或安排。”</w:t>
      </w:r>
    </w:p>
    <w:p w:rsidR="004B267C" w:rsidRPr="00A63D84" w:rsidRDefault="00417FCE" w:rsidP="00A63D84">
      <w:pPr>
        <w:tabs>
          <w:tab w:val="num" w:pos="900"/>
        </w:tabs>
        <w:adjustRightInd w:val="0"/>
        <w:snapToGrid w:val="0"/>
        <w:spacing w:line="348" w:lineRule="auto"/>
        <w:ind w:firstLineChars="200" w:firstLine="482"/>
        <w:rPr>
          <w:b/>
          <w:sz w:val="24"/>
        </w:rPr>
      </w:pPr>
      <w:r w:rsidRPr="00A63D84">
        <w:rPr>
          <w:b/>
          <w:sz w:val="24"/>
        </w:rPr>
        <w:t>现修改为：</w:t>
      </w:r>
    </w:p>
    <w:p w:rsidR="00A63D84" w:rsidRDefault="00A63D84" w:rsidP="00A63D84">
      <w:pPr>
        <w:tabs>
          <w:tab w:val="num" w:pos="900"/>
        </w:tabs>
        <w:adjustRightInd w:val="0"/>
        <w:snapToGrid w:val="0"/>
        <w:spacing w:line="348" w:lineRule="auto"/>
        <w:ind w:firstLineChars="200" w:firstLine="480"/>
        <w:rPr>
          <w:sz w:val="24"/>
        </w:rPr>
      </w:pPr>
      <w:bookmarkStart w:id="8" w:name="_Toc186223662"/>
      <w:bookmarkStart w:id="9" w:name="_Toc430525435"/>
      <w:bookmarkEnd w:id="3"/>
      <w:bookmarkEnd w:id="6"/>
      <w:bookmarkEnd w:id="7"/>
      <w:r w:rsidRPr="00A63D84">
        <w:rPr>
          <w:rFonts w:hint="eastAsia"/>
          <w:sz w:val="24"/>
        </w:rPr>
        <w:t>“自2025年1月1日起，本协议转让方有权直接或间接与任何第三方就与《股份转让协议》及《补充协议》所述的交易相同或类似的事项或者就与《股份转让协议》及《补充协议》所述交易相矛盾的任何其他交易进行接触、商谈、磋商或签署任何协议或安排。本协议转让方就前述事项进行的相关行为不构成《股份转让协议》及《补充协议》项下之违约行为，亦无需对万通发展承担《股份转让协议》及《补充协议》项下之违约责任。”</w:t>
      </w:r>
    </w:p>
    <w:p w:rsidR="00A63D84" w:rsidRPr="00A63D84" w:rsidRDefault="00A63D84" w:rsidP="00A63D84">
      <w:pPr>
        <w:tabs>
          <w:tab w:val="num" w:pos="900"/>
        </w:tabs>
        <w:adjustRightInd w:val="0"/>
        <w:snapToGrid w:val="0"/>
        <w:spacing w:line="348" w:lineRule="auto"/>
        <w:ind w:firstLineChars="200" w:firstLine="480"/>
        <w:rPr>
          <w:sz w:val="24"/>
        </w:rPr>
      </w:pPr>
    </w:p>
    <w:p w:rsidR="001B558F" w:rsidRPr="001B558F" w:rsidRDefault="001B558F" w:rsidP="004B267C">
      <w:pPr>
        <w:tabs>
          <w:tab w:val="num" w:pos="900"/>
        </w:tabs>
        <w:adjustRightInd w:val="0"/>
        <w:snapToGrid w:val="0"/>
        <w:spacing w:line="348" w:lineRule="auto"/>
        <w:ind w:firstLineChars="200" w:firstLine="482"/>
        <w:rPr>
          <w:b/>
          <w:sz w:val="24"/>
        </w:rPr>
      </w:pPr>
      <w:r w:rsidRPr="001B558F">
        <w:rPr>
          <w:rFonts w:hint="eastAsia"/>
          <w:b/>
          <w:sz w:val="24"/>
        </w:rPr>
        <w:t>第三条  其他</w:t>
      </w:r>
      <w:bookmarkEnd w:id="8"/>
    </w:p>
    <w:p w:rsidR="001B558F" w:rsidRPr="001B558F" w:rsidRDefault="00A63D84" w:rsidP="004B267C">
      <w:pPr>
        <w:tabs>
          <w:tab w:val="num" w:pos="900"/>
        </w:tabs>
        <w:adjustRightInd w:val="0"/>
        <w:snapToGrid w:val="0"/>
        <w:spacing w:line="348" w:lineRule="auto"/>
        <w:ind w:firstLineChars="200" w:firstLine="480"/>
        <w:rPr>
          <w:sz w:val="24"/>
        </w:rPr>
      </w:pPr>
      <w:r>
        <w:rPr>
          <w:rFonts w:hint="eastAsia"/>
          <w:sz w:val="24"/>
        </w:rPr>
        <w:t>3.1</w:t>
      </w:r>
      <w:r w:rsidR="001B558F" w:rsidRPr="001B558F">
        <w:rPr>
          <w:rFonts w:hint="eastAsia"/>
          <w:sz w:val="24"/>
        </w:rPr>
        <w:t>本补充协议以及本补充协议所述的约定于本补充协议文首所述签署日起生效，对本补充协议各方具有约束力。本补充协议生效后，本补充协议有约定的，以本补充协议约定为准。本补充协议未约定之处，以《股份转让协议》《补充协议》约定为准。</w:t>
      </w:r>
    </w:p>
    <w:p w:rsidR="001B558F" w:rsidRPr="001B558F" w:rsidRDefault="00EF4859" w:rsidP="004B267C">
      <w:pPr>
        <w:tabs>
          <w:tab w:val="num" w:pos="900"/>
        </w:tabs>
        <w:adjustRightInd w:val="0"/>
        <w:snapToGrid w:val="0"/>
        <w:spacing w:line="348" w:lineRule="auto"/>
        <w:ind w:firstLineChars="200" w:firstLine="480"/>
        <w:rPr>
          <w:sz w:val="24"/>
        </w:rPr>
      </w:pPr>
      <w:bookmarkStart w:id="10" w:name="_Hlk162458581"/>
      <w:bookmarkStart w:id="11" w:name="_Toc430525438"/>
      <w:bookmarkEnd w:id="9"/>
      <w:r>
        <w:rPr>
          <w:rFonts w:hint="eastAsia"/>
          <w:sz w:val="24"/>
        </w:rPr>
        <w:lastRenderedPageBreak/>
        <w:t>3.2</w:t>
      </w:r>
      <w:r w:rsidR="001B558F" w:rsidRPr="001B558F">
        <w:rPr>
          <w:rFonts w:hint="eastAsia"/>
          <w:sz w:val="24"/>
        </w:rPr>
        <w:t>本补充协议自各方签字（若为自然人）</w:t>
      </w:r>
      <w:bookmarkStart w:id="12" w:name="_Hlk165379263"/>
      <w:r w:rsidR="001B558F" w:rsidRPr="001B558F">
        <w:rPr>
          <w:rFonts w:hint="eastAsia"/>
          <w:sz w:val="24"/>
        </w:rPr>
        <w:t>或法定代表人/授权代表签字并加盖公章（若为境内法人或合伙企业）或授权代表签字（若为境外法人或合伙企业）之日起成立</w:t>
      </w:r>
      <w:bookmarkEnd w:id="10"/>
      <w:bookmarkEnd w:id="12"/>
      <w:r w:rsidR="001B558F" w:rsidRPr="001B558F">
        <w:rPr>
          <w:rFonts w:hint="eastAsia"/>
          <w:sz w:val="24"/>
        </w:rPr>
        <w:t>并生效，本补充协议一方未签署本补充协议，不影响本补充协议在其他已签署本补充协议各方之间的协议成立及生效。</w:t>
      </w:r>
      <w:bookmarkEnd w:id="11"/>
    </w:p>
    <w:p w:rsidR="000958C3" w:rsidRPr="001B558F" w:rsidRDefault="000958C3" w:rsidP="007A670D">
      <w:pPr>
        <w:pStyle w:val="a6"/>
        <w:adjustRightInd w:val="0"/>
        <w:snapToGrid w:val="0"/>
        <w:spacing w:line="348" w:lineRule="auto"/>
        <w:ind w:firstLine="482"/>
        <w:rPr>
          <w:rFonts w:asciiTheme="minorEastAsia" w:eastAsiaTheme="minorEastAsia" w:hAnsiTheme="minorEastAsia"/>
          <w:b/>
          <w:sz w:val="24"/>
          <w:lang w:val="en-GB"/>
        </w:rPr>
      </w:pPr>
    </w:p>
    <w:p w:rsidR="009E317E" w:rsidRPr="009E2B52" w:rsidRDefault="009E317E" w:rsidP="007A670D">
      <w:pPr>
        <w:pStyle w:val="a6"/>
        <w:adjustRightInd w:val="0"/>
        <w:snapToGrid w:val="0"/>
        <w:spacing w:line="348" w:lineRule="auto"/>
        <w:ind w:firstLine="482"/>
        <w:rPr>
          <w:rFonts w:asciiTheme="minorEastAsia" w:eastAsiaTheme="minorEastAsia" w:hAnsiTheme="minorEastAsia"/>
          <w:b/>
          <w:sz w:val="24"/>
        </w:rPr>
      </w:pPr>
      <w:r w:rsidRPr="009E2B52">
        <w:rPr>
          <w:rFonts w:asciiTheme="minorEastAsia" w:eastAsiaTheme="minorEastAsia" w:hAnsiTheme="minorEastAsia" w:hint="eastAsia"/>
          <w:b/>
          <w:sz w:val="24"/>
        </w:rPr>
        <w:t>三、</w:t>
      </w:r>
      <w:r>
        <w:rPr>
          <w:rFonts w:asciiTheme="minorEastAsia" w:eastAsiaTheme="minorEastAsia" w:hAnsiTheme="minorEastAsia" w:hint="eastAsia"/>
          <w:b/>
          <w:sz w:val="24"/>
        </w:rPr>
        <w:t>风险提示</w:t>
      </w:r>
    </w:p>
    <w:p w:rsidR="009E317E" w:rsidRDefault="009E317E" w:rsidP="007A670D">
      <w:pPr>
        <w:pStyle w:val="a6"/>
        <w:adjustRightInd w:val="0"/>
        <w:snapToGrid w:val="0"/>
        <w:spacing w:line="348" w:lineRule="auto"/>
        <w:ind w:firstLine="480"/>
        <w:rPr>
          <w:rFonts w:asciiTheme="minorEastAsia" w:eastAsiaTheme="minorEastAsia" w:hAnsiTheme="minorEastAsia"/>
          <w:sz w:val="24"/>
        </w:rPr>
      </w:pPr>
      <w:r w:rsidRPr="00BF4937">
        <w:rPr>
          <w:rFonts w:asciiTheme="minorEastAsia" w:eastAsiaTheme="minorEastAsia" w:hAnsiTheme="minorEastAsia"/>
          <w:sz w:val="24"/>
        </w:rPr>
        <w:t xml:space="preserve">公司指定的信息披露媒体为《上海证券报》《证券时报》及巨潮资讯网 </w:t>
      </w:r>
      <w:r w:rsidRPr="00FA4C5E">
        <w:rPr>
          <w:rFonts w:asciiTheme="minorEastAsia" w:eastAsiaTheme="minorEastAsia" w:hAnsiTheme="minorEastAsia"/>
          <w:sz w:val="24"/>
        </w:rPr>
        <w:t>（http://www.cninfo.com.cn）</w:t>
      </w:r>
      <w:r w:rsidRPr="00BF4937">
        <w:rPr>
          <w:rFonts w:asciiTheme="minorEastAsia" w:eastAsiaTheme="minorEastAsia" w:hAnsiTheme="minorEastAsia"/>
          <w:sz w:val="24"/>
        </w:rPr>
        <w:t>，公司所有信息均以在上述指定媒体刊登的信息为准，</w:t>
      </w:r>
      <w:r w:rsidRPr="009E2B52">
        <w:rPr>
          <w:rFonts w:asciiTheme="minorEastAsia" w:eastAsiaTheme="minorEastAsia" w:hAnsiTheme="minorEastAsia" w:hint="eastAsia"/>
          <w:sz w:val="24"/>
        </w:rPr>
        <w:t>敬请广大投资者注意投资风险。</w:t>
      </w:r>
    </w:p>
    <w:p w:rsidR="009E317E" w:rsidRPr="00BF4937" w:rsidRDefault="009E317E" w:rsidP="007A670D">
      <w:pPr>
        <w:pStyle w:val="a6"/>
        <w:adjustRightInd w:val="0"/>
        <w:snapToGrid w:val="0"/>
        <w:spacing w:line="348" w:lineRule="auto"/>
        <w:ind w:firstLine="480"/>
        <w:rPr>
          <w:rFonts w:asciiTheme="minorEastAsia" w:eastAsiaTheme="minorEastAsia" w:hAnsiTheme="minorEastAsia"/>
          <w:sz w:val="24"/>
        </w:rPr>
      </w:pPr>
    </w:p>
    <w:p w:rsidR="009E317E" w:rsidRPr="0021719C" w:rsidRDefault="009E317E" w:rsidP="007A670D">
      <w:pPr>
        <w:pStyle w:val="a6"/>
        <w:adjustRightInd w:val="0"/>
        <w:snapToGrid w:val="0"/>
        <w:spacing w:line="348" w:lineRule="auto"/>
        <w:ind w:firstLine="482"/>
        <w:rPr>
          <w:rFonts w:asciiTheme="minorEastAsia" w:eastAsiaTheme="minorEastAsia" w:hAnsiTheme="minorEastAsia"/>
          <w:b/>
          <w:sz w:val="24"/>
        </w:rPr>
      </w:pPr>
      <w:r>
        <w:rPr>
          <w:rFonts w:asciiTheme="minorEastAsia" w:eastAsiaTheme="minorEastAsia" w:hAnsiTheme="minorEastAsia"/>
          <w:b/>
          <w:sz w:val="24"/>
        </w:rPr>
        <w:t>四</w:t>
      </w:r>
      <w:r w:rsidRPr="0021719C">
        <w:rPr>
          <w:rFonts w:asciiTheme="minorEastAsia" w:eastAsiaTheme="minorEastAsia" w:hAnsiTheme="minorEastAsia"/>
          <w:b/>
          <w:sz w:val="24"/>
        </w:rPr>
        <w:t>、备查文件</w:t>
      </w:r>
    </w:p>
    <w:p w:rsidR="009E317E" w:rsidRPr="00EF4859" w:rsidRDefault="009E317E" w:rsidP="007A670D">
      <w:pPr>
        <w:adjustRightInd w:val="0"/>
        <w:snapToGrid w:val="0"/>
        <w:spacing w:line="348" w:lineRule="auto"/>
        <w:ind w:firstLine="465"/>
        <w:jc w:val="left"/>
        <w:rPr>
          <w:sz w:val="24"/>
        </w:rPr>
      </w:pPr>
      <w:r w:rsidRPr="00EF4859">
        <w:rPr>
          <w:rFonts w:hint="eastAsia"/>
          <w:sz w:val="24"/>
        </w:rPr>
        <w:t>1</w:t>
      </w:r>
      <w:r w:rsidRPr="00EF4859">
        <w:rPr>
          <w:sz w:val="24"/>
        </w:rPr>
        <w:t>、《关于Source Photonics Holdings (Cayman) Limited之股份转让协议之补充协议</w:t>
      </w:r>
      <w:r w:rsidR="004B267C" w:rsidRPr="00EF4859">
        <w:rPr>
          <w:sz w:val="24"/>
        </w:rPr>
        <w:t>（三</w:t>
      </w:r>
      <w:r w:rsidR="00664BD0" w:rsidRPr="00EF4859">
        <w:rPr>
          <w:sz w:val="24"/>
        </w:rPr>
        <w:t>）</w:t>
      </w:r>
      <w:r w:rsidRPr="00EF4859">
        <w:rPr>
          <w:sz w:val="24"/>
        </w:rPr>
        <w:t>》。</w:t>
      </w:r>
    </w:p>
    <w:p w:rsidR="007A670D" w:rsidRDefault="007A670D" w:rsidP="007A670D">
      <w:pPr>
        <w:adjustRightInd w:val="0"/>
        <w:snapToGrid w:val="0"/>
        <w:spacing w:line="348" w:lineRule="auto"/>
        <w:ind w:firstLine="465"/>
        <w:jc w:val="left"/>
        <w:rPr>
          <w:color w:val="000000"/>
          <w:sz w:val="24"/>
        </w:rPr>
      </w:pPr>
    </w:p>
    <w:p w:rsidR="00EF4859" w:rsidRDefault="00EF4859" w:rsidP="007A670D">
      <w:pPr>
        <w:adjustRightInd w:val="0"/>
        <w:snapToGrid w:val="0"/>
        <w:spacing w:line="348" w:lineRule="auto"/>
        <w:ind w:firstLine="465"/>
        <w:jc w:val="left"/>
        <w:rPr>
          <w:color w:val="000000"/>
          <w:sz w:val="24"/>
        </w:rPr>
      </w:pPr>
      <w:bookmarkStart w:id="13" w:name="_GoBack"/>
      <w:bookmarkEnd w:id="13"/>
    </w:p>
    <w:p w:rsidR="000958C3" w:rsidRPr="0001350A" w:rsidRDefault="000958C3" w:rsidP="007A670D">
      <w:pPr>
        <w:adjustRightInd w:val="0"/>
        <w:snapToGrid w:val="0"/>
        <w:spacing w:line="348" w:lineRule="auto"/>
        <w:ind w:firstLine="465"/>
        <w:jc w:val="left"/>
        <w:rPr>
          <w:color w:val="000000"/>
          <w:sz w:val="24"/>
        </w:rPr>
      </w:pPr>
    </w:p>
    <w:p w:rsidR="009E317E" w:rsidRDefault="009E317E" w:rsidP="007A670D">
      <w:pPr>
        <w:topLinePunct/>
        <w:adjustRightInd w:val="0"/>
        <w:snapToGrid w:val="0"/>
        <w:spacing w:line="348" w:lineRule="auto"/>
        <w:ind w:firstLineChars="200" w:firstLine="480"/>
        <w:rPr>
          <w:rFonts w:asciiTheme="minorEastAsia" w:eastAsiaTheme="minorEastAsia" w:hAnsiTheme="minorEastAsia" w:cs="Calibri"/>
          <w:kern w:val="24"/>
          <w:sz w:val="24"/>
        </w:rPr>
      </w:pPr>
      <w:r w:rsidRPr="009D2EF7">
        <w:rPr>
          <w:rFonts w:asciiTheme="minorEastAsia" w:eastAsiaTheme="minorEastAsia" w:hAnsiTheme="minorEastAsia" w:cs="Calibri"/>
          <w:kern w:val="24"/>
          <w:sz w:val="24"/>
        </w:rPr>
        <w:t>特此公告。</w:t>
      </w:r>
    </w:p>
    <w:p w:rsidR="000958C3" w:rsidRDefault="000958C3" w:rsidP="007A670D">
      <w:pPr>
        <w:topLinePunct/>
        <w:adjustRightInd w:val="0"/>
        <w:snapToGrid w:val="0"/>
        <w:spacing w:line="348" w:lineRule="auto"/>
        <w:ind w:firstLineChars="200" w:firstLine="480"/>
        <w:rPr>
          <w:rFonts w:asciiTheme="minorEastAsia" w:eastAsiaTheme="minorEastAsia" w:hAnsiTheme="minorEastAsia" w:cs="Calibri"/>
          <w:kern w:val="24"/>
          <w:sz w:val="24"/>
        </w:rPr>
      </w:pPr>
    </w:p>
    <w:p w:rsidR="000958C3" w:rsidRDefault="000958C3" w:rsidP="007A670D">
      <w:pPr>
        <w:topLinePunct/>
        <w:adjustRightInd w:val="0"/>
        <w:snapToGrid w:val="0"/>
        <w:spacing w:line="348" w:lineRule="auto"/>
        <w:ind w:firstLineChars="200" w:firstLine="480"/>
        <w:rPr>
          <w:rFonts w:asciiTheme="minorEastAsia" w:eastAsiaTheme="minorEastAsia" w:hAnsiTheme="minorEastAsia" w:cs="Calibri"/>
          <w:kern w:val="24"/>
          <w:sz w:val="24"/>
        </w:rPr>
      </w:pPr>
    </w:p>
    <w:p w:rsidR="00EF4859" w:rsidRDefault="00EF4859" w:rsidP="007A670D">
      <w:pPr>
        <w:topLinePunct/>
        <w:adjustRightInd w:val="0"/>
        <w:snapToGrid w:val="0"/>
        <w:spacing w:line="348" w:lineRule="auto"/>
        <w:ind w:firstLineChars="200" w:firstLine="480"/>
        <w:rPr>
          <w:rFonts w:asciiTheme="minorEastAsia" w:eastAsiaTheme="minorEastAsia" w:hAnsiTheme="minorEastAsia" w:cs="Calibri"/>
          <w:kern w:val="24"/>
          <w:sz w:val="24"/>
        </w:rPr>
      </w:pPr>
    </w:p>
    <w:p w:rsidR="00B9587F" w:rsidRDefault="00B9587F" w:rsidP="007A670D">
      <w:pPr>
        <w:topLinePunct/>
        <w:adjustRightInd w:val="0"/>
        <w:snapToGrid w:val="0"/>
        <w:spacing w:line="348" w:lineRule="auto"/>
        <w:ind w:firstLineChars="200" w:firstLine="480"/>
        <w:rPr>
          <w:rFonts w:asciiTheme="minorEastAsia" w:eastAsiaTheme="minorEastAsia" w:hAnsiTheme="minorEastAsia" w:cs="Calibri"/>
          <w:kern w:val="24"/>
          <w:sz w:val="24"/>
        </w:rPr>
      </w:pPr>
    </w:p>
    <w:p w:rsidR="004B267C" w:rsidRDefault="004B267C" w:rsidP="007A670D">
      <w:pPr>
        <w:topLinePunct/>
        <w:adjustRightInd w:val="0"/>
        <w:snapToGrid w:val="0"/>
        <w:spacing w:line="348" w:lineRule="auto"/>
        <w:ind w:firstLineChars="200" w:firstLine="480"/>
        <w:rPr>
          <w:rFonts w:asciiTheme="minorEastAsia" w:eastAsiaTheme="minorEastAsia" w:hAnsiTheme="minorEastAsia" w:cs="Calibri"/>
          <w:kern w:val="24"/>
          <w:sz w:val="24"/>
        </w:rPr>
      </w:pPr>
    </w:p>
    <w:p w:rsidR="009E317E" w:rsidRPr="00C574D4" w:rsidRDefault="009E317E" w:rsidP="007A670D">
      <w:pPr>
        <w:tabs>
          <w:tab w:val="num" w:pos="900"/>
        </w:tabs>
        <w:adjustRightInd w:val="0"/>
        <w:snapToGrid w:val="0"/>
        <w:spacing w:line="348" w:lineRule="auto"/>
        <w:ind w:firstLineChars="200" w:firstLine="480"/>
        <w:rPr>
          <w:rFonts w:asciiTheme="minorEastAsia" w:eastAsiaTheme="minorEastAsia" w:hAnsiTheme="minorEastAsia"/>
          <w:sz w:val="24"/>
        </w:rPr>
      </w:pPr>
      <w:r>
        <w:rPr>
          <w:rFonts w:asciiTheme="minorHAnsi" w:eastAsiaTheme="minorEastAsia" w:hAnsiTheme="minorHAnsi" w:hint="eastAsia"/>
          <w:sz w:val="24"/>
        </w:rPr>
        <w:t xml:space="preserve">                           </w:t>
      </w:r>
      <w:r w:rsidRPr="00C574D4">
        <w:rPr>
          <w:rFonts w:asciiTheme="minorHAnsi" w:eastAsiaTheme="minorEastAsia" w:hAnsiTheme="minorHAnsi" w:hint="eastAsia"/>
          <w:sz w:val="24"/>
        </w:rPr>
        <w:t xml:space="preserve">   </w:t>
      </w:r>
      <w:r w:rsidRPr="00C574D4">
        <w:rPr>
          <w:rFonts w:asciiTheme="minorEastAsia" w:eastAsiaTheme="minorEastAsia" w:hAnsiTheme="minorEastAsia" w:hint="eastAsia"/>
          <w:sz w:val="24"/>
        </w:rPr>
        <w:t xml:space="preserve"> </w:t>
      </w:r>
      <w:r w:rsidRPr="00C574D4">
        <w:rPr>
          <w:rFonts w:asciiTheme="minorEastAsia" w:eastAsiaTheme="minorEastAsia" w:hAnsiTheme="minorEastAsia"/>
          <w:sz w:val="24"/>
        </w:rPr>
        <w:t>江苏华西村股份有限公司董事会</w:t>
      </w:r>
    </w:p>
    <w:p w:rsidR="009E317E" w:rsidRPr="00C574D4" w:rsidRDefault="009E317E" w:rsidP="007A670D">
      <w:pPr>
        <w:tabs>
          <w:tab w:val="num" w:pos="900"/>
        </w:tabs>
        <w:adjustRightInd w:val="0"/>
        <w:snapToGrid w:val="0"/>
        <w:spacing w:line="348" w:lineRule="auto"/>
        <w:ind w:firstLineChars="200" w:firstLine="480"/>
        <w:rPr>
          <w:rFonts w:asciiTheme="minorEastAsia" w:eastAsiaTheme="minorEastAsia" w:hAnsiTheme="minorEastAsia"/>
          <w:sz w:val="24"/>
        </w:rPr>
      </w:pPr>
      <w:r w:rsidRPr="00C574D4">
        <w:rPr>
          <w:rFonts w:asciiTheme="minorEastAsia" w:eastAsiaTheme="minorEastAsia" w:hAnsiTheme="minorEastAsia"/>
          <w:sz w:val="24"/>
        </w:rPr>
        <w:t xml:space="preserve">                               </w:t>
      </w:r>
      <w:r w:rsidRPr="00C574D4">
        <w:rPr>
          <w:rFonts w:asciiTheme="minorEastAsia" w:eastAsiaTheme="minorEastAsia" w:hAnsiTheme="minorEastAsia" w:hint="eastAsia"/>
          <w:sz w:val="24"/>
        </w:rPr>
        <w:t xml:space="preserve">   </w:t>
      </w:r>
      <w:r w:rsidRPr="00C574D4">
        <w:rPr>
          <w:rFonts w:asciiTheme="minorEastAsia" w:eastAsiaTheme="minorEastAsia" w:hAnsiTheme="minorEastAsia"/>
          <w:sz w:val="24"/>
        </w:rPr>
        <w:t xml:space="preserve"> </w:t>
      </w:r>
      <w:r w:rsidRPr="00C574D4">
        <w:rPr>
          <w:rFonts w:asciiTheme="minorEastAsia" w:eastAsiaTheme="minorEastAsia" w:hAnsiTheme="minorEastAsia" w:hint="eastAsia"/>
          <w:sz w:val="24"/>
        </w:rPr>
        <w:t xml:space="preserve"> </w:t>
      </w:r>
      <w:r w:rsidRPr="00C574D4">
        <w:rPr>
          <w:rFonts w:asciiTheme="minorEastAsia" w:eastAsiaTheme="minorEastAsia" w:hAnsiTheme="minorEastAsia"/>
          <w:sz w:val="24"/>
        </w:rPr>
        <w:t xml:space="preserve"> </w:t>
      </w:r>
      <w:r w:rsidR="005D74A3">
        <w:rPr>
          <w:rFonts w:asciiTheme="minorEastAsia" w:eastAsiaTheme="minorEastAsia" w:hAnsiTheme="minorEastAsia" w:hint="eastAsia"/>
          <w:sz w:val="24"/>
        </w:rPr>
        <w:t xml:space="preserve"> </w:t>
      </w:r>
      <w:r w:rsidRPr="00C574D4">
        <w:rPr>
          <w:rFonts w:asciiTheme="minorEastAsia" w:eastAsiaTheme="minorEastAsia" w:hAnsiTheme="minorEastAsia" w:hint="eastAsia"/>
          <w:sz w:val="24"/>
        </w:rPr>
        <w:t>202</w:t>
      </w:r>
      <w:r w:rsidR="002B4565">
        <w:rPr>
          <w:rFonts w:asciiTheme="minorEastAsia" w:eastAsiaTheme="minorEastAsia" w:hAnsiTheme="minorEastAsia" w:hint="eastAsia"/>
          <w:sz w:val="24"/>
        </w:rPr>
        <w:t>5</w:t>
      </w:r>
      <w:r w:rsidRPr="00C574D4">
        <w:rPr>
          <w:rFonts w:asciiTheme="minorEastAsia" w:eastAsiaTheme="minorEastAsia" w:hAnsiTheme="minorEastAsia"/>
          <w:sz w:val="24"/>
        </w:rPr>
        <w:t>年</w:t>
      </w:r>
      <w:r w:rsidR="002B4565">
        <w:rPr>
          <w:rFonts w:asciiTheme="minorEastAsia" w:eastAsiaTheme="minorEastAsia" w:hAnsiTheme="minorEastAsia" w:hint="eastAsia"/>
          <w:sz w:val="24"/>
        </w:rPr>
        <w:t>1</w:t>
      </w:r>
      <w:r w:rsidRPr="00C574D4">
        <w:rPr>
          <w:rFonts w:asciiTheme="minorEastAsia" w:eastAsiaTheme="minorEastAsia" w:hAnsiTheme="minorEastAsia"/>
          <w:sz w:val="24"/>
        </w:rPr>
        <w:t>月</w:t>
      </w:r>
      <w:r w:rsidR="002B4565">
        <w:rPr>
          <w:rFonts w:asciiTheme="minorEastAsia" w:eastAsiaTheme="minorEastAsia" w:hAnsiTheme="minorEastAsia" w:hint="eastAsia"/>
          <w:sz w:val="24"/>
        </w:rPr>
        <w:t>2</w:t>
      </w:r>
      <w:r w:rsidRPr="00C574D4">
        <w:rPr>
          <w:rFonts w:asciiTheme="minorEastAsia" w:eastAsiaTheme="minorEastAsia" w:hAnsiTheme="minorEastAsia"/>
          <w:sz w:val="24"/>
        </w:rPr>
        <w:t>日</w:t>
      </w:r>
    </w:p>
    <w:sectPr w:rsidR="009E317E" w:rsidRPr="00C574D4" w:rsidSect="00BF4E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6F5" w:rsidRDefault="003156F5" w:rsidP="005C72B1">
      <w:r>
        <w:separator/>
      </w:r>
    </w:p>
  </w:endnote>
  <w:endnote w:type="continuationSeparator" w:id="0">
    <w:p w:rsidR="003156F5" w:rsidRDefault="003156F5" w:rsidP="005C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63"/>
      <w:docPartObj>
        <w:docPartGallery w:val="Page Numbers (Bottom of Page)"/>
        <w:docPartUnique/>
      </w:docPartObj>
    </w:sdtPr>
    <w:sdtEndPr/>
    <w:sdtContent>
      <w:p w:rsidR="003E7C55" w:rsidRDefault="009D7974">
        <w:pPr>
          <w:pStyle w:val="a4"/>
          <w:jc w:val="center"/>
        </w:pPr>
        <w:r>
          <w:fldChar w:fldCharType="begin"/>
        </w:r>
        <w:r>
          <w:instrText xml:space="preserve"> PAGE   \* MERGEFORMAT </w:instrText>
        </w:r>
        <w:r>
          <w:fldChar w:fldCharType="separate"/>
        </w:r>
        <w:r w:rsidR="002B4565" w:rsidRPr="002B4565">
          <w:rPr>
            <w:noProof/>
            <w:lang w:val="zh-CN"/>
          </w:rPr>
          <w:t>4</w:t>
        </w:r>
        <w:r>
          <w:rPr>
            <w:noProof/>
            <w:lang w:val="zh-CN"/>
          </w:rPr>
          <w:fldChar w:fldCharType="end"/>
        </w:r>
      </w:p>
    </w:sdtContent>
  </w:sdt>
  <w:p w:rsidR="003E7C55" w:rsidRDefault="003E7C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6F5" w:rsidRDefault="003156F5" w:rsidP="005C72B1">
      <w:r>
        <w:separator/>
      </w:r>
    </w:p>
  </w:footnote>
  <w:footnote w:type="continuationSeparator" w:id="0">
    <w:p w:rsidR="003156F5" w:rsidRDefault="003156F5" w:rsidP="005C7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01460"/>
    <w:multiLevelType w:val="singleLevel"/>
    <w:tmpl w:val="99301460"/>
    <w:lvl w:ilvl="0">
      <w:start w:val="1"/>
      <w:numFmt w:val="decimal"/>
      <w:suff w:val="nothing"/>
      <w:lvlText w:val="%1"/>
      <w:lvlJc w:val="left"/>
      <w:pPr>
        <w:ind w:left="440" w:hanging="440"/>
      </w:pPr>
      <w:rPr>
        <w:rFonts w:hint="eastAsia"/>
      </w:rPr>
    </w:lvl>
  </w:abstractNum>
  <w:abstractNum w:abstractNumId="1">
    <w:nsid w:val="05EB32A2"/>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
    <w:nsid w:val="0773777B"/>
    <w:multiLevelType w:val="multilevel"/>
    <w:tmpl w:val="0773777B"/>
    <w:lvl w:ilvl="0">
      <w:start w:val="1"/>
      <w:numFmt w:val="japaneseCounting"/>
      <w:lvlText w:val="第%1条"/>
      <w:lvlJc w:val="left"/>
      <w:pPr>
        <w:tabs>
          <w:tab w:val="num" w:pos="840"/>
        </w:tabs>
        <w:ind w:left="840" w:hanging="840"/>
      </w:pPr>
      <w:rPr>
        <w:rFonts w:hint="default"/>
      </w:rPr>
    </w:lvl>
    <w:lvl w:ilvl="1">
      <w:start w:val="1"/>
      <w:numFmt w:val="lowerRoman"/>
      <w:lvlText w:val="（%2）"/>
      <w:lvlJc w:val="left"/>
      <w:pPr>
        <w:tabs>
          <w:tab w:val="num" w:pos="1500"/>
        </w:tabs>
        <w:ind w:left="1500" w:hanging="108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97452C4"/>
    <w:multiLevelType w:val="hybridMultilevel"/>
    <w:tmpl w:val="BC0C9908"/>
    <w:lvl w:ilvl="0" w:tplc="93883F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9AB1A8C"/>
    <w:multiLevelType w:val="multilevel"/>
    <w:tmpl w:val="09AB1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0F714CC"/>
    <w:multiLevelType w:val="multilevel"/>
    <w:tmpl w:val="10F714CC"/>
    <w:lvl w:ilvl="0">
      <w:start w:val="1"/>
      <w:numFmt w:val="decimal"/>
      <w:lvlText w:val="6.%1"/>
      <w:lvlJc w:val="left"/>
      <w:pPr>
        <w:tabs>
          <w:tab w:val="left" w:pos="360"/>
        </w:tabs>
        <w:ind w:left="360" w:hanging="360"/>
      </w:pPr>
      <w:rPr>
        <w:rFonts w:hint="eastAsia"/>
        <w:sz w:val="24"/>
      </w:rPr>
    </w:lvl>
    <w:lvl w:ilvl="1">
      <w:start w:val="1"/>
      <w:numFmt w:val="decimal"/>
      <w:lvlText w:val="（%2）"/>
      <w:lvlJc w:val="left"/>
      <w:pPr>
        <w:tabs>
          <w:tab w:val="left" w:pos="810"/>
        </w:tabs>
        <w:ind w:left="810" w:hanging="390"/>
      </w:pPr>
      <w:rPr>
        <w:rFonts w:hint="eastAsia"/>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6">
    <w:nsid w:val="155A5D08"/>
    <w:multiLevelType w:val="hybridMultilevel"/>
    <w:tmpl w:val="F880D72A"/>
    <w:lvl w:ilvl="0" w:tplc="4D4E36FE">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7">
    <w:nsid w:val="156C1741"/>
    <w:multiLevelType w:val="multilevel"/>
    <w:tmpl w:val="156C174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D130D55"/>
    <w:multiLevelType w:val="hybridMultilevel"/>
    <w:tmpl w:val="DEA058A6"/>
    <w:lvl w:ilvl="0" w:tplc="2410C6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6332E26"/>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DEA19F6"/>
    <w:multiLevelType w:val="multilevel"/>
    <w:tmpl w:val="AD56680A"/>
    <w:lvl w:ilvl="0">
      <w:start w:val="1"/>
      <w:numFmt w:val="decimal"/>
      <w:lvlText w:val="4.%1"/>
      <w:lvlJc w:val="left"/>
      <w:pPr>
        <w:ind w:left="440" w:hanging="440"/>
      </w:pPr>
      <w:rPr>
        <w:rFonts w:hint="eastAsia"/>
        <w:sz w:val="24"/>
        <w:lang w:val="en-US"/>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1">
    <w:nsid w:val="2F952971"/>
    <w:multiLevelType w:val="hybridMultilevel"/>
    <w:tmpl w:val="577EED04"/>
    <w:lvl w:ilvl="0" w:tplc="E362CA0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31012739"/>
    <w:multiLevelType w:val="multilevel"/>
    <w:tmpl w:val="31012739"/>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3">
    <w:nsid w:val="310C4A40"/>
    <w:multiLevelType w:val="multilevel"/>
    <w:tmpl w:val="310C4A40"/>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125105B"/>
    <w:multiLevelType w:val="hybridMultilevel"/>
    <w:tmpl w:val="49A6FACE"/>
    <w:lvl w:ilvl="0" w:tplc="DAFC8A84">
      <w:start w:val="1"/>
      <w:numFmt w:val="japaneseCounting"/>
      <w:lvlText w:val="%1、"/>
      <w:lvlJc w:val="left"/>
      <w:pPr>
        <w:ind w:left="982" w:hanging="510"/>
      </w:pPr>
      <w:rPr>
        <w:rFonts w:hint="default"/>
      </w:rPr>
    </w:lvl>
    <w:lvl w:ilvl="1" w:tplc="5ACE0A42">
      <w:start w:val="1"/>
      <w:numFmt w:val="decimal"/>
      <w:lvlText w:val="%2、"/>
      <w:lvlJc w:val="left"/>
      <w:pPr>
        <w:ind w:left="1252" w:hanging="360"/>
      </w:pPr>
      <w:rPr>
        <w:rFonts w:hint="default"/>
      </w:r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5">
    <w:nsid w:val="346C63AC"/>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6">
    <w:nsid w:val="37962C64"/>
    <w:multiLevelType w:val="singleLevel"/>
    <w:tmpl w:val="37962C64"/>
    <w:lvl w:ilvl="0">
      <w:start w:val="1"/>
      <w:numFmt w:val="decimal"/>
      <w:suff w:val="nothing"/>
      <w:lvlText w:val="%1"/>
      <w:lvlJc w:val="left"/>
      <w:pPr>
        <w:ind w:left="440" w:hanging="440"/>
      </w:pPr>
      <w:rPr>
        <w:rFonts w:hint="eastAsia"/>
      </w:rPr>
    </w:lvl>
  </w:abstractNum>
  <w:abstractNum w:abstractNumId="17">
    <w:nsid w:val="3A1E4C5B"/>
    <w:multiLevelType w:val="multilevel"/>
    <w:tmpl w:val="3A1E4C5B"/>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0"/>
        </w:tabs>
        <w:ind w:left="0" w:hanging="420"/>
      </w:pPr>
    </w:lvl>
    <w:lvl w:ilvl="2">
      <w:start w:val="1"/>
      <w:numFmt w:val="lowerRoman"/>
      <w:lvlText w:val="%3."/>
      <w:lvlJc w:val="right"/>
      <w:pPr>
        <w:tabs>
          <w:tab w:val="num" w:pos="420"/>
        </w:tabs>
        <w:ind w:left="420" w:hanging="420"/>
      </w:pPr>
    </w:lvl>
    <w:lvl w:ilvl="3">
      <w:start w:val="1"/>
      <w:numFmt w:val="decimal"/>
      <w:lvlText w:val="%4."/>
      <w:lvlJc w:val="left"/>
      <w:pPr>
        <w:tabs>
          <w:tab w:val="num" w:pos="840"/>
        </w:tabs>
        <w:ind w:left="840" w:hanging="420"/>
      </w:pPr>
    </w:lvl>
    <w:lvl w:ilvl="4">
      <w:start w:val="1"/>
      <w:numFmt w:val="lowerLetter"/>
      <w:lvlText w:val="%5)"/>
      <w:lvlJc w:val="left"/>
      <w:pPr>
        <w:tabs>
          <w:tab w:val="num" w:pos="1260"/>
        </w:tabs>
        <w:ind w:left="1260" w:hanging="420"/>
      </w:pPr>
    </w:lvl>
    <w:lvl w:ilvl="5">
      <w:start w:val="1"/>
      <w:numFmt w:val="lowerRoman"/>
      <w:lvlText w:val="%6."/>
      <w:lvlJc w:val="right"/>
      <w:pPr>
        <w:tabs>
          <w:tab w:val="num" w:pos="1680"/>
        </w:tabs>
        <w:ind w:left="1680" w:hanging="420"/>
      </w:pPr>
    </w:lvl>
    <w:lvl w:ilvl="6">
      <w:start w:val="1"/>
      <w:numFmt w:val="decimal"/>
      <w:lvlText w:val="%7."/>
      <w:lvlJc w:val="left"/>
      <w:pPr>
        <w:tabs>
          <w:tab w:val="num" w:pos="2100"/>
        </w:tabs>
        <w:ind w:left="2100" w:hanging="420"/>
      </w:pPr>
    </w:lvl>
    <w:lvl w:ilvl="7">
      <w:start w:val="1"/>
      <w:numFmt w:val="lowerLetter"/>
      <w:lvlText w:val="%8)"/>
      <w:lvlJc w:val="left"/>
      <w:pPr>
        <w:tabs>
          <w:tab w:val="num" w:pos="2520"/>
        </w:tabs>
        <w:ind w:left="2520" w:hanging="420"/>
      </w:pPr>
    </w:lvl>
    <w:lvl w:ilvl="8">
      <w:start w:val="1"/>
      <w:numFmt w:val="lowerRoman"/>
      <w:lvlText w:val="%9."/>
      <w:lvlJc w:val="right"/>
      <w:pPr>
        <w:tabs>
          <w:tab w:val="num" w:pos="2940"/>
        </w:tabs>
        <w:ind w:left="2940" w:hanging="420"/>
      </w:pPr>
    </w:lvl>
  </w:abstractNum>
  <w:abstractNum w:abstractNumId="18">
    <w:nsid w:val="3E6C661D"/>
    <w:multiLevelType w:val="singleLevel"/>
    <w:tmpl w:val="3E6C661D"/>
    <w:lvl w:ilvl="0">
      <w:start w:val="1"/>
      <w:numFmt w:val="decimal"/>
      <w:suff w:val="nothing"/>
      <w:lvlText w:val="（%1）"/>
      <w:lvlJc w:val="left"/>
      <w:pPr>
        <w:ind w:left="866" w:hanging="440"/>
      </w:pPr>
      <w:rPr>
        <w:rFonts w:ascii="Times New Roman" w:hAnsi="Times New Roman" w:cs="Times New Roman" w:hint="default"/>
      </w:rPr>
    </w:lvl>
  </w:abstractNum>
  <w:abstractNum w:abstractNumId="19">
    <w:nsid w:val="40BC392F"/>
    <w:multiLevelType w:val="singleLevel"/>
    <w:tmpl w:val="37962C64"/>
    <w:lvl w:ilvl="0">
      <w:start w:val="1"/>
      <w:numFmt w:val="decimal"/>
      <w:suff w:val="nothing"/>
      <w:lvlText w:val="%1"/>
      <w:lvlJc w:val="left"/>
      <w:pPr>
        <w:ind w:left="440" w:hanging="440"/>
      </w:pPr>
      <w:rPr>
        <w:rFonts w:hint="eastAsia"/>
      </w:rPr>
    </w:lvl>
  </w:abstractNum>
  <w:abstractNum w:abstractNumId="20">
    <w:nsid w:val="426A1644"/>
    <w:multiLevelType w:val="hybridMultilevel"/>
    <w:tmpl w:val="C0F4DE02"/>
    <w:lvl w:ilvl="0" w:tplc="F2F40358">
      <w:start w:val="2"/>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1">
    <w:nsid w:val="43EC6672"/>
    <w:multiLevelType w:val="multilevel"/>
    <w:tmpl w:val="43EC66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59E03CA"/>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83B3D77"/>
    <w:multiLevelType w:val="multilevel"/>
    <w:tmpl w:val="483B3D77"/>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93122FB"/>
    <w:multiLevelType w:val="multilevel"/>
    <w:tmpl w:val="493122FB"/>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BC931D6"/>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6">
    <w:nsid w:val="4CD66C19"/>
    <w:multiLevelType w:val="multilevel"/>
    <w:tmpl w:val="4CD66C19"/>
    <w:lvl w:ilvl="0">
      <w:start w:val="1"/>
      <w:numFmt w:val="decimal"/>
      <w:lvlText w:val="3.%1"/>
      <w:lvlJc w:val="left"/>
      <w:pPr>
        <w:ind w:left="440" w:hanging="440"/>
      </w:pPr>
      <w:rPr>
        <w:rFonts w:hint="eastAsia"/>
        <w:sz w:val="24"/>
        <w:lang w:val="en-US"/>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7">
    <w:nsid w:val="4E820BBB"/>
    <w:multiLevelType w:val="multilevel"/>
    <w:tmpl w:val="4E820BBB"/>
    <w:lvl w:ilvl="0">
      <w:start w:val="1"/>
      <w:numFmt w:val="decimal"/>
      <w:lvlText w:val="(%1)"/>
      <w:lvlJc w:val="left"/>
      <w:pPr>
        <w:tabs>
          <w:tab w:val="num" w:pos="720"/>
        </w:tabs>
        <w:ind w:left="720" w:hanging="720"/>
      </w:pPr>
      <w:rPr>
        <w:rFonts w:ascii="Times New Roman" w:hAnsi="Times New Roman"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53F76F5B"/>
    <w:multiLevelType w:val="multilevel"/>
    <w:tmpl w:val="53F76F5B"/>
    <w:lvl w:ilvl="0">
      <w:start w:val="1"/>
      <w:numFmt w:val="decimal"/>
      <w:lvlText w:val="%1."/>
      <w:lvlJc w:val="left"/>
      <w:pPr>
        <w:tabs>
          <w:tab w:val="left" w:pos="851"/>
        </w:tabs>
        <w:ind w:left="851" w:hanging="851"/>
      </w:pPr>
      <w:rPr>
        <w:rFonts w:ascii="Times New Roman" w:hAnsi="Times New Roman" w:cs="Times New Roman" w:hint="default"/>
        <w:b/>
        <w:i w:val="0"/>
        <w:sz w:val="24"/>
      </w:rPr>
    </w:lvl>
    <w:lvl w:ilvl="1">
      <w:start w:val="1"/>
      <w:numFmt w:val="decimal"/>
      <w:lvlText w:val="%1.%2."/>
      <w:lvlJc w:val="left"/>
      <w:pPr>
        <w:tabs>
          <w:tab w:val="left" w:pos="851"/>
        </w:tabs>
        <w:ind w:left="851" w:hanging="851"/>
      </w:pPr>
      <w:rPr>
        <w:rFonts w:ascii="Times New Roman" w:hAnsi="Times New Roman" w:cs="Times New Roman" w:hint="default"/>
        <w:b w:val="0"/>
        <w:i w:val="0"/>
        <w:sz w:val="24"/>
      </w:rPr>
    </w:lvl>
    <w:lvl w:ilvl="2">
      <w:start w:val="1"/>
      <w:numFmt w:val="decimal"/>
      <w:lvlText w:val="%1.%2.%3."/>
      <w:lvlJc w:val="left"/>
      <w:pPr>
        <w:tabs>
          <w:tab w:val="left" w:pos="851"/>
        </w:tabs>
        <w:ind w:left="851" w:hanging="851"/>
      </w:pPr>
      <w:rPr>
        <w:rFonts w:ascii="Times New Roman" w:hAnsi="Times New Roman" w:cs="Times New Roman" w:hint="default"/>
        <w:b w:val="0"/>
        <w:sz w:val="24"/>
        <w:lang w:eastAsia="zh-CN"/>
      </w:rPr>
    </w:lvl>
    <w:lvl w:ilvl="3">
      <w:start w:val="1"/>
      <w:numFmt w:val="decimal"/>
      <w:lvlText w:val="（%4）"/>
      <w:lvlJc w:val="left"/>
      <w:pPr>
        <w:tabs>
          <w:tab w:val="left" w:pos="2580"/>
        </w:tabs>
        <w:ind w:left="2580" w:hanging="737"/>
      </w:pPr>
      <w:rPr>
        <w:rFonts w:ascii="Times New Roman" w:hAnsi="Times New Roman" w:cs="Times New Roman" w:hint="default"/>
        <w:sz w:val="24"/>
        <w:lang w:val="en-US"/>
      </w:rPr>
    </w:lvl>
    <w:lvl w:ilvl="4">
      <w:start w:val="1"/>
      <w:numFmt w:val="lowerLetter"/>
      <w:lvlText w:val="%5）"/>
      <w:lvlJc w:val="left"/>
      <w:pPr>
        <w:tabs>
          <w:tab w:val="left" w:pos="2325"/>
        </w:tabs>
        <w:ind w:left="2325" w:hanging="737"/>
      </w:pPr>
      <w:rPr>
        <w:rFonts w:ascii="Times New Roman" w:hAnsi="Times New Roman" w:cs="Times New Roman" w:hint="default"/>
        <w:sz w:val="24"/>
      </w:rPr>
    </w:lvl>
    <w:lvl w:ilvl="5">
      <w:start w:val="1"/>
      <w:numFmt w:val="lowerRoman"/>
      <w:lvlText w:val="(%6)"/>
      <w:lvlJc w:val="left"/>
      <w:pPr>
        <w:tabs>
          <w:tab w:val="left" w:pos="3062"/>
        </w:tabs>
        <w:ind w:left="3062" w:hanging="737"/>
      </w:pPr>
      <w:rPr>
        <w:rFonts w:ascii="Times New Roman" w:hAnsi="Times New Roman" w:cs="Times New Roman" w:hint="default"/>
        <w:sz w:val="24"/>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9">
    <w:nsid w:val="5578FAEE"/>
    <w:multiLevelType w:val="singleLevel"/>
    <w:tmpl w:val="5578FAEE"/>
    <w:lvl w:ilvl="0">
      <w:start w:val="1"/>
      <w:numFmt w:val="chineseCounting"/>
      <w:suff w:val="nothing"/>
      <w:lvlText w:val="（%1）"/>
      <w:lvlJc w:val="left"/>
    </w:lvl>
  </w:abstractNum>
  <w:abstractNum w:abstractNumId="30">
    <w:nsid w:val="5796590F"/>
    <w:multiLevelType w:val="hybridMultilevel"/>
    <w:tmpl w:val="2C8ECF5C"/>
    <w:lvl w:ilvl="0" w:tplc="35B279AC">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D8E4DE6"/>
    <w:multiLevelType w:val="singleLevel"/>
    <w:tmpl w:val="37962C64"/>
    <w:lvl w:ilvl="0">
      <w:start w:val="1"/>
      <w:numFmt w:val="decimal"/>
      <w:suff w:val="nothing"/>
      <w:lvlText w:val="%1"/>
      <w:lvlJc w:val="left"/>
      <w:pPr>
        <w:ind w:left="440" w:hanging="440"/>
      </w:pPr>
      <w:rPr>
        <w:rFonts w:hint="eastAsia"/>
      </w:rPr>
    </w:lvl>
  </w:abstractNum>
  <w:abstractNum w:abstractNumId="32">
    <w:nsid w:val="62245718"/>
    <w:multiLevelType w:val="multilevel"/>
    <w:tmpl w:val="622457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3CF45E5"/>
    <w:multiLevelType w:val="hybridMultilevel"/>
    <w:tmpl w:val="FC3C311A"/>
    <w:lvl w:ilvl="0" w:tplc="E1FE846A">
      <w:start w:val="2"/>
      <w:numFmt w:val="japaneseCounting"/>
      <w:lvlText w:val="%1、"/>
      <w:lvlJc w:val="left"/>
      <w:pPr>
        <w:ind w:left="652" w:hanging="510"/>
      </w:pPr>
      <w:rPr>
        <w:rFonts w:hint="default"/>
      </w:rPr>
    </w:lvl>
    <w:lvl w:ilvl="1" w:tplc="4222A2A4">
      <w:start w:val="1"/>
      <w:numFmt w:val="decimal"/>
      <w:lvlText w:val="%2、"/>
      <w:lvlJc w:val="left"/>
      <w:pPr>
        <w:ind w:left="922" w:hanging="360"/>
      </w:pPr>
      <w:rPr>
        <w:rFonts w:hint="default"/>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4">
    <w:nsid w:val="6B502EE1"/>
    <w:multiLevelType w:val="multilevel"/>
    <w:tmpl w:val="0CB24BD4"/>
    <w:lvl w:ilvl="0">
      <w:start w:val="1"/>
      <w:numFmt w:val="decimal"/>
      <w:lvlText w:val="3.%1"/>
      <w:lvlJc w:val="left"/>
      <w:pPr>
        <w:ind w:left="440" w:hanging="440"/>
      </w:pPr>
      <w:rPr>
        <w:rFonts w:hint="eastAsia"/>
        <w:sz w:val="24"/>
        <w:lang w:val="en-US"/>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5">
    <w:nsid w:val="6DE72A23"/>
    <w:multiLevelType w:val="multilevel"/>
    <w:tmpl w:val="6DE72A23"/>
    <w:lvl w:ilvl="0">
      <w:start w:val="1"/>
      <w:numFmt w:val="chineseCounting"/>
      <w:suff w:val="space"/>
      <w:lvlText w:val="第%1条"/>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pPr>
        <w:ind w:left="420"/>
      </w:pPr>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36">
    <w:nsid w:val="6F8463C9"/>
    <w:multiLevelType w:val="multilevel"/>
    <w:tmpl w:val="6F8463C9"/>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6FB12C57"/>
    <w:multiLevelType w:val="hybridMultilevel"/>
    <w:tmpl w:val="F2C649E8"/>
    <w:lvl w:ilvl="0" w:tplc="AB62625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nsid w:val="70553806"/>
    <w:multiLevelType w:val="hybridMultilevel"/>
    <w:tmpl w:val="94D41310"/>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746C2629"/>
    <w:multiLevelType w:val="hybridMultilevel"/>
    <w:tmpl w:val="A920A794"/>
    <w:lvl w:ilvl="0" w:tplc="49F807E2">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6253314"/>
    <w:multiLevelType w:val="multilevel"/>
    <w:tmpl w:val="76253314"/>
    <w:lvl w:ilvl="0">
      <w:start w:val="1"/>
      <w:numFmt w:val="decimal"/>
      <w:lvlText w:val="%1."/>
      <w:lvlJc w:val="left"/>
      <w:pPr>
        <w:ind w:left="420" w:hanging="420"/>
      </w:pPr>
      <w:rPr>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6F56B0A"/>
    <w:multiLevelType w:val="hybridMultilevel"/>
    <w:tmpl w:val="4CDC0FE2"/>
    <w:lvl w:ilvl="0" w:tplc="9FB445D8">
      <w:start w:val="1"/>
      <w:numFmt w:val="decimal"/>
      <w:lvlText w:val="%1."/>
      <w:lvlJc w:val="left"/>
      <w:pPr>
        <w:ind w:left="1155" w:hanging="420"/>
      </w:pPr>
      <w:rPr>
        <w:rFonts w:asciiTheme="minorHAnsi" w:hAnsiTheme="minorHAnsi"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2">
    <w:nsid w:val="7AC3625A"/>
    <w:multiLevelType w:val="hybridMultilevel"/>
    <w:tmpl w:val="0B865A4A"/>
    <w:lvl w:ilvl="0" w:tplc="0409000F">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3">
    <w:nsid w:val="7F5C32F2"/>
    <w:multiLevelType w:val="hybridMultilevel"/>
    <w:tmpl w:val="D1AA16AE"/>
    <w:lvl w:ilvl="0" w:tplc="CB5E7E8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1"/>
  </w:num>
  <w:num w:numId="2">
    <w:abstractNumId w:val="43"/>
  </w:num>
  <w:num w:numId="3">
    <w:abstractNumId w:val="8"/>
  </w:num>
  <w:num w:numId="4">
    <w:abstractNumId w:val="3"/>
  </w:num>
  <w:num w:numId="5">
    <w:abstractNumId w:val="42"/>
  </w:num>
  <w:num w:numId="6">
    <w:abstractNumId w:val="22"/>
  </w:num>
  <w:num w:numId="7">
    <w:abstractNumId w:val="37"/>
  </w:num>
  <w:num w:numId="8">
    <w:abstractNumId w:val="9"/>
  </w:num>
  <w:num w:numId="9">
    <w:abstractNumId w:val="38"/>
  </w:num>
  <w:num w:numId="10">
    <w:abstractNumId w:val="39"/>
  </w:num>
  <w:num w:numId="11">
    <w:abstractNumId w:val="25"/>
  </w:num>
  <w:num w:numId="12">
    <w:abstractNumId w:val="15"/>
  </w:num>
  <w:num w:numId="13">
    <w:abstractNumId w:val="1"/>
  </w:num>
  <w:num w:numId="14">
    <w:abstractNumId w:val="41"/>
  </w:num>
  <w:num w:numId="15">
    <w:abstractNumId w:val="14"/>
  </w:num>
  <w:num w:numId="16">
    <w:abstractNumId w:val="6"/>
  </w:num>
  <w:num w:numId="17">
    <w:abstractNumId w:val="33"/>
  </w:num>
  <w:num w:numId="18">
    <w:abstractNumId w:val="2"/>
  </w:num>
  <w:num w:numId="19">
    <w:abstractNumId w:val="21"/>
  </w:num>
  <w:num w:numId="20">
    <w:abstractNumId w:val="23"/>
  </w:num>
  <w:num w:numId="21">
    <w:abstractNumId w:val="13"/>
  </w:num>
  <w:num w:numId="22">
    <w:abstractNumId w:val="36"/>
  </w:num>
  <w:num w:numId="23">
    <w:abstractNumId w:val="32"/>
  </w:num>
  <w:num w:numId="24">
    <w:abstractNumId w:val="24"/>
  </w:num>
  <w:num w:numId="25">
    <w:abstractNumId w:val="4"/>
  </w:num>
  <w:num w:numId="26">
    <w:abstractNumId w:val="7"/>
  </w:num>
  <w:num w:numId="27">
    <w:abstractNumId w:val="27"/>
  </w:num>
  <w:num w:numId="28">
    <w:abstractNumId w:val="17"/>
  </w:num>
  <w:num w:numId="29">
    <w:abstractNumId w:val="12"/>
  </w:num>
  <w:num w:numId="30">
    <w:abstractNumId w:val="30"/>
  </w:num>
  <w:num w:numId="31">
    <w:abstractNumId w:val="20"/>
  </w:num>
  <w:num w:numId="32">
    <w:abstractNumId w:val="35"/>
  </w:num>
  <w:num w:numId="33">
    <w:abstractNumId w:val="29"/>
  </w:num>
  <w:num w:numId="34">
    <w:abstractNumId w:val="28"/>
  </w:num>
  <w:num w:numId="35">
    <w:abstractNumId w:val="40"/>
  </w:num>
  <w:num w:numId="36">
    <w:abstractNumId w:val="18"/>
  </w:num>
  <w:num w:numId="37">
    <w:abstractNumId w:val="0"/>
  </w:num>
  <w:num w:numId="38">
    <w:abstractNumId w:val="16"/>
  </w:num>
  <w:num w:numId="39">
    <w:abstractNumId w:val="31"/>
  </w:num>
  <w:num w:numId="40">
    <w:abstractNumId w:val="19"/>
  </w:num>
  <w:num w:numId="41">
    <w:abstractNumId w:val="10"/>
  </w:num>
  <w:num w:numId="42">
    <w:abstractNumId w:val="34"/>
  </w:num>
  <w:num w:numId="43">
    <w:abstractNumId w:val="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3367"/>
    <w:rsid w:val="000115A4"/>
    <w:rsid w:val="000126EE"/>
    <w:rsid w:val="00012E43"/>
    <w:rsid w:val="0001350A"/>
    <w:rsid w:val="00013ECB"/>
    <w:rsid w:val="000411FA"/>
    <w:rsid w:val="0004245E"/>
    <w:rsid w:val="00046610"/>
    <w:rsid w:val="000474D5"/>
    <w:rsid w:val="00053404"/>
    <w:rsid w:val="00061B45"/>
    <w:rsid w:val="00062533"/>
    <w:rsid w:val="00065000"/>
    <w:rsid w:val="00065EF3"/>
    <w:rsid w:val="00080E52"/>
    <w:rsid w:val="00082619"/>
    <w:rsid w:val="0008640A"/>
    <w:rsid w:val="000958C3"/>
    <w:rsid w:val="000B4593"/>
    <w:rsid w:val="000C1193"/>
    <w:rsid w:val="000C4240"/>
    <w:rsid w:val="000C7CBB"/>
    <w:rsid w:val="000E779C"/>
    <w:rsid w:val="000F32DE"/>
    <w:rsid w:val="00104E55"/>
    <w:rsid w:val="001061D8"/>
    <w:rsid w:val="00140ECC"/>
    <w:rsid w:val="00142632"/>
    <w:rsid w:val="00156A9A"/>
    <w:rsid w:val="00162C46"/>
    <w:rsid w:val="0016528C"/>
    <w:rsid w:val="00171DB8"/>
    <w:rsid w:val="0017287A"/>
    <w:rsid w:val="00173A54"/>
    <w:rsid w:val="00173CFF"/>
    <w:rsid w:val="001757C2"/>
    <w:rsid w:val="001856AA"/>
    <w:rsid w:val="001A45B3"/>
    <w:rsid w:val="001A7B4E"/>
    <w:rsid w:val="001B016C"/>
    <w:rsid w:val="001B03C9"/>
    <w:rsid w:val="001B2B9D"/>
    <w:rsid w:val="001B3CF7"/>
    <w:rsid w:val="001B558F"/>
    <w:rsid w:val="001C1EF7"/>
    <w:rsid w:val="001C4DA6"/>
    <w:rsid w:val="001D390C"/>
    <w:rsid w:val="001D44CD"/>
    <w:rsid w:val="001D6062"/>
    <w:rsid w:val="001D6F10"/>
    <w:rsid w:val="001E2773"/>
    <w:rsid w:val="001F280E"/>
    <w:rsid w:val="001F51FB"/>
    <w:rsid w:val="00201EDE"/>
    <w:rsid w:val="0021326C"/>
    <w:rsid w:val="0021719C"/>
    <w:rsid w:val="00220677"/>
    <w:rsid w:val="00223D34"/>
    <w:rsid w:val="00232212"/>
    <w:rsid w:val="00235035"/>
    <w:rsid w:val="002403AF"/>
    <w:rsid w:val="00245A70"/>
    <w:rsid w:val="00245F4A"/>
    <w:rsid w:val="002500CA"/>
    <w:rsid w:val="00251637"/>
    <w:rsid w:val="0025469C"/>
    <w:rsid w:val="00255A26"/>
    <w:rsid w:val="00256FD8"/>
    <w:rsid w:val="0026553A"/>
    <w:rsid w:val="0026595A"/>
    <w:rsid w:val="00267F19"/>
    <w:rsid w:val="002716A2"/>
    <w:rsid w:val="00282CA4"/>
    <w:rsid w:val="00291E79"/>
    <w:rsid w:val="00295533"/>
    <w:rsid w:val="002968C5"/>
    <w:rsid w:val="002A2583"/>
    <w:rsid w:val="002A2D80"/>
    <w:rsid w:val="002A6FAA"/>
    <w:rsid w:val="002B1568"/>
    <w:rsid w:val="002B285F"/>
    <w:rsid w:val="002B3D1B"/>
    <w:rsid w:val="002B4565"/>
    <w:rsid w:val="002B74CF"/>
    <w:rsid w:val="002C3994"/>
    <w:rsid w:val="002E0E3C"/>
    <w:rsid w:val="002E1377"/>
    <w:rsid w:val="002E2701"/>
    <w:rsid w:val="002F452B"/>
    <w:rsid w:val="003031B9"/>
    <w:rsid w:val="00303ACA"/>
    <w:rsid w:val="0031096C"/>
    <w:rsid w:val="00311CF9"/>
    <w:rsid w:val="0031495C"/>
    <w:rsid w:val="003156F5"/>
    <w:rsid w:val="0032287C"/>
    <w:rsid w:val="003228F0"/>
    <w:rsid w:val="0032325D"/>
    <w:rsid w:val="00324D88"/>
    <w:rsid w:val="00326DB0"/>
    <w:rsid w:val="00331F7A"/>
    <w:rsid w:val="00350402"/>
    <w:rsid w:val="0035193A"/>
    <w:rsid w:val="00353AD2"/>
    <w:rsid w:val="0036056B"/>
    <w:rsid w:val="00365258"/>
    <w:rsid w:val="00383BD7"/>
    <w:rsid w:val="003947CA"/>
    <w:rsid w:val="00395C29"/>
    <w:rsid w:val="003A3DDD"/>
    <w:rsid w:val="003A4E99"/>
    <w:rsid w:val="003A5F03"/>
    <w:rsid w:val="003C01CE"/>
    <w:rsid w:val="003D622F"/>
    <w:rsid w:val="003E6448"/>
    <w:rsid w:val="003E71F1"/>
    <w:rsid w:val="003E7C55"/>
    <w:rsid w:val="003F7823"/>
    <w:rsid w:val="004013F9"/>
    <w:rsid w:val="00416E74"/>
    <w:rsid w:val="0041775F"/>
    <w:rsid w:val="00417FCE"/>
    <w:rsid w:val="00422F3A"/>
    <w:rsid w:val="00423661"/>
    <w:rsid w:val="004242D7"/>
    <w:rsid w:val="00424B62"/>
    <w:rsid w:val="00431222"/>
    <w:rsid w:val="00432BDD"/>
    <w:rsid w:val="004513A9"/>
    <w:rsid w:val="00452A23"/>
    <w:rsid w:val="00457386"/>
    <w:rsid w:val="0046349C"/>
    <w:rsid w:val="004635A4"/>
    <w:rsid w:val="004660A1"/>
    <w:rsid w:val="004700ED"/>
    <w:rsid w:val="00472760"/>
    <w:rsid w:val="004812FB"/>
    <w:rsid w:val="00481E41"/>
    <w:rsid w:val="004913CC"/>
    <w:rsid w:val="004964CF"/>
    <w:rsid w:val="0049796E"/>
    <w:rsid w:val="004A1870"/>
    <w:rsid w:val="004A4A2A"/>
    <w:rsid w:val="004A58E9"/>
    <w:rsid w:val="004A6895"/>
    <w:rsid w:val="004A68C6"/>
    <w:rsid w:val="004B152C"/>
    <w:rsid w:val="004B1BA8"/>
    <w:rsid w:val="004B267C"/>
    <w:rsid w:val="004B5FD2"/>
    <w:rsid w:val="004B7125"/>
    <w:rsid w:val="004C229E"/>
    <w:rsid w:val="004E3E4F"/>
    <w:rsid w:val="004E7644"/>
    <w:rsid w:val="005024FA"/>
    <w:rsid w:val="00502FB3"/>
    <w:rsid w:val="0050603C"/>
    <w:rsid w:val="00506259"/>
    <w:rsid w:val="00507FB7"/>
    <w:rsid w:val="0051510D"/>
    <w:rsid w:val="00522E2D"/>
    <w:rsid w:val="00527239"/>
    <w:rsid w:val="00541449"/>
    <w:rsid w:val="0054260F"/>
    <w:rsid w:val="005456AB"/>
    <w:rsid w:val="005463A1"/>
    <w:rsid w:val="00550F58"/>
    <w:rsid w:val="00554B41"/>
    <w:rsid w:val="00555137"/>
    <w:rsid w:val="0056233E"/>
    <w:rsid w:val="005709B1"/>
    <w:rsid w:val="00583512"/>
    <w:rsid w:val="00584A8A"/>
    <w:rsid w:val="005856D6"/>
    <w:rsid w:val="005B3AE5"/>
    <w:rsid w:val="005B5F52"/>
    <w:rsid w:val="005C2785"/>
    <w:rsid w:val="005C72B1"/>
    <w:rsid w:val="005D06B7"/>
    <w:rsid w:val="005D74A3"/>
    <w:rsid w:val="005E2D1B"/>
    <w:rsid w:val="005E354B"/>
    <w:rsid w:val="005E3E85"/>
    <w:rsid w:val="005E4C1B"/>
    <w:rsid w:val="005E7F25"/>
    <w:rsid w:val="00617661"/>
    <w:rsid w:val="006226B4"/>
    <w:rsid w:val="0062460F"/>
    <w:rsid w:val="00624EF4"/>
    <w:rsid w:val="006254C1"/>
    <w:rsid w:val="00633271"/>
    <w:rsid w:val="00643FB3"/>
    <w:rsid w:val="006445CC"/>
    <w:rsid w:val="0065340C"/>
    <w:rsid w:val="00653882"/>
    <w:rsid w:val="00656CD2"/>
    <w:rsid w:val="00664BD0"/>
    <w:rsid w:val="00667F50"/>
    <w:rsid w:val="006772AA"/>
    <w:rsid w:val="006774D8"/>
    <w:rsid w:val="006860CB"/>
    <w:rsid w:val="00686364"/>
    <w:rsid w:val="00697F26"/>
    <w:rsid w:val="006A6C07"/>
    <w:rsid w:val="006B686D"/>
    <w:rsid w:val="006D154F"/>
    <w:rsid w:val="006D1DF3"/>
    <w:rsid w:val="006E376C"/>
    <w:rsid w:val="006E57AA"/>
    <w:rsid w:val="006E6650"/>
    <w:rsid w:val="006F3503"/>
    <w:rsid w:val="006F654F"/>
    <w:rsid w:val="0070426F"/>
    <w:rsid w:val="00707A7F"/>
    <w:rsid w:val="00707A98"/>
    <w:rsid w:val="00711DD1"/>
    <w:rsid w:val="00713D79"/>
    <w:rsid w:val="007144DE"/>
    <w:rsid w:val="0072689F"/>
    <w:rsid w:val="00734E7F"/>
    <w:rsid w:val="00736BD1"/>
    <w:rsid w:val="007372D9"/>
    <w:rsid w:val="007404F8"/>
    <w:rsid w:val="00740DE2"/>
    <w:rsid w:val="007548F0"/>
    <w:rsid w:val="007721E8"/>
    <w:rsid w:val="00781EB8"/>
    <w:rsid w:val="00782E7A"/>
    <w:rsid w:val="0078328E"/>
    <w:rsid w:val="00786786"/>
    <w:rsid w:val="007A29C3"/>
    <w:rsid w:val="007A2B10"/>
    <w:rsid w:val="007A39FD"/>
    <w:rsid w:val="007A670D"/>
    <w:rsid w:val="007A7FC8"/>
    <w:rsid w:val="007B6F49"/>
    <w:rsid w:val="007C2DFD"/>
    <w:rsid w:val="007C2F0A"/>
    <w:rsid w:val="007C6856"/>
    <w:rsid w:val="007D253C"/>
    <w:rsid w:val="007D6FB1"/>
    <w:rsid w:val="007E1CDC"/>
    <w:rsid w:val="007E4C84"/>
    <w:rsid w:val="007E7417"/>
    <w:rsid w:val="007F1FC5"/>
    <w:rsid w:val="007F628C"/>
    <w:rsid w:val="007F77E2"/>
    <w:rsid w:val="00816FC4"/>
    <w:rsid w:val="008209B5"/>
    <w:rsid w:val="00827108"/>
    <w:rsid w:val="00827F5D"/>
    <w:rsid w:val="00833D40"/>
    <w:rsid w:val="00841DFF"/>
    <w:rsid w:val="00843648"/>
    <w:rsid w:val="00855A17"/>
    <w:rsid w:val="008606E3"/>
    <w:rsid w:val="00862041"/>
    <w:rsid w:val="00863AB6"/>
    <w:rsid w:val="00865166"/>
    <w:rsid w:val="00874C22"/>
    <w:rsid w:val="00880328"/>
    <w:rsid w:val="008818F1"/>
    <w:rsid w:val="00883EEB"/>
    <w:rsid w:val="008915A0"/>
    <w:rsid w:val="00897842"/>
    <w:rsid w:val="008B26C0"/>
    <w:rsid w:val="008C0141"/>
    <w:rsid w:val="008C0D46"/>
    <w:rsid w:val="008C663C"/>
    <w:rsid w:val="008D5FEA"/>
    <w:rsid w:val="008D6590"/>
    <w:rsid w:val="008F3CEA"/>
    <w:rsid w:val="008F4371"/>
    <w:rsid w:val="008F563E"/>
    <w:rsid w:val="008F7600"/>
    <w:rsid w:val="00901BBB"/>
    <w:rsid w:val="00904251"/>
    <w:rsid w:val="009109A3"/>
    <w:rsid w:val="00911D89"/>
    <w:rsid w:val="00933965"/>
    <w:rsid w:val="009371E5"/>
    <w:rsid w:val="009529C3"/>
    <w:rsid w:val="00957594"/>
    <w:rsid w:val="00957611"/>
    <w:rsid w:val="0096137D"/>
    <w:rsid w:val="00964E14"/>
    <w:rsid w:val="00966A8F"/>
    <w:rsid w:val="00971DE0"/>
    <w:rsid w:val="009770D4"/>
    <w:rsid w:val="00981A96"/>
    <w:rsid w:val="00982F0F"/>
    <w:rsid w:val="00987947"/>
    <w:rsid w:val="00993577"/>
    <w:rsid w:val="00993C18"/>
    <w:rsid w:val="009A545C"/>
    <w:rsid w:val="009A7107"/>
    <w:rsid w:val="009B2857"/>
    <w:rsid w:val="009C21A1"/>
    <w:rsid w:val="009D0C97"/>
    <w:rsid w:val="009D2EF7"/>
    <w:rsid w:val="009D670D"/>
    <w:rsid w:val="009D7974"/>
    <w:rsid w:val="009E0D17"/>
    <w:rsid w:val="009E2B52"/>
    <w:rsid w:val="009E317E"/>
    <w:rsid w:val="009E47E4"/>
    <w:rsid w:val="009E7B1B"/>
    <w:rsid w:val="009F348A"/>
    <w:rsid w:val="009F4E8A"/>
    <w:rsid w:val="009F5B90"/>
    <w:rsid w:val="00A01B6B"/>
    <w:rsid w:val="00A10217"/>
    <w:rsid w:val="00A1212E"/>
    <w:rsid w:val="00A24B4C"/>
    <w:rsid w:val="00A30727"/>
    <w:rsid w:val="00A369F0"/>
    <w:rsid w:val="00A36D50"/>
    <w:rsid w:val="00A536F1"/>
    <w:rsid w:val="00A553B3"/>
    <w:rsid w:val="00A63B0A"/>
    <w:rsid w:val="00A63D84"/>
    <w:rsid w:val="00A675EC"/>
    <w:rsid w:val="00A71A2A"/>
    <w:rsid w:val="00A74593"/>
    <w:rsid w:val="00A74DF3"/>
    <w:rsid w:val="00A76DC3"/>
    <w:rsid w:val="00A817AD"/>
    <w:rsid w:val="00A86528"/>
    <w:rsid w:val="00A96C3B"/>
    <w:rsid w:val="00AA3070"/>
    <w:rsid w:val="00AA3457"/>
    <w:rsid w:val="00AB3097"/>
    <w:rsid w:val="00AB55FF"/>
    <w:rsid w:val="00AB688D"/>
    <w:rsid w:val="00AC4B35"/>
    <w:rsid w:val="00AC5C20"/>
    <w:rsid w:val="00AC6ABC"/>
    <w:rsid w:val="00AD138E"/>
    <w:rsid w:val="00AD56B7"/>
    <w:rsid w:val="00AE010B"/>
    <w:rsid w:val="00AE2331"/>
    <w:rsid w:val="00AE3FD2"/>
    <w:rsid w:val="00AE5ECC"/>
    <w:rsid w:val="00AE7E99"/>
    <w:rsid w:val="00B00041"/>
    <w:rsid w:val="00B00AE6"/>
    <w:rsid w:val="00B12C14"/>
    <w:rsid w:val="00B22543"/>
    <w:rsid w:val="00B24E09"/>
    <w:rsid w:val="00B26970"/>
    <w:rsid w:val="00B276FF"/>
    <w:rsid w:val="00B27841"/>
    <w:rsid w:val="00B30494"/>
    <w:rsid w:val="00B36A20"/>
    <w:rsid w:val="00B36E4F"/>
    <w:rsid w:val="00B50460"/>
    <w:rsid w:val="00B55645"/>
    <w:rsid w:val="00B93F55"/>
    <w:rsid w:val="00B9587F"/>
    <w:rsid w:val="00B97DA7"/>
    <w:rsid w:val="00BA233C"/>
    <w:rsid w:val="00BA5172"/>
    <w:rsid w:val="00BA6309"/>
    <w:rsid w:val="00BA7A52"/>
    <w:rsid w:val="00BB0918"/>
    <w:rsid w:val="00BC0E1D"/>
    <w:rsid w:val="00BD5068"/>
    <w:rsid w:val="00BD510A"/>
    <w:rsid w:val="00BE0434"/>
    <w:rsid w:val="00BE2001"/>
    <w:rsid w:val="00BE5A8B"/>
    <w:rsid w:val="00BF4937"/>
    <w:rsid w:val="00BF4E89"/>
    <w:rsid w:val="00C000A4"/>
    <w:rsid w:val="00C00175"/>
    <w:rsid w:val="00C02945"/>
    <w:rsid w:val="00C02C82"/>
    <w:rsid w:val="00C16C5F"/>
    <w:rsid w:val="00C20A68"/>
    <w:rsid w:val="00C33367"/>
    <w:rsid w:val="00C35243"/>
    <w:rsid w:val="00C4340D"/>
    <w:rsid w:val="00C51422"/>
    <w:rsid w:val="00C554BE"/>
    <w:rsid w:val="00C574D4"/>
    <w:rsid w:val="00C60CD9"/>
    <w:rsid w:val="00C63723"/>
    <w:rsid w:val="00C703FE"/>
    <w:rsid w:val="00C76073"/>
    <w:rsid w:val="00C91171"/>
    <w:rsid w:val="00CA3980"/>
    <w:rsid w:val="00CA6DF3"/>
    <w:rsid w:val="00CB1B8D"/>
    <w:rsid w:val="00CC0CED"/>
    <w:rsid w:val="00CC288A"/>
    <w:rsid w:val="00CD004C"/>
    <w:rsid w:val="00CD1BFB"/>
    <w:rsid w:val="00CD33C4"/>
    <w:rsid w:val="00CE1D0F"/>
    <w:rsid w:val="00CE24FE"/>
    <w:rsid w:val="00CE34AD"/>
    <w:rsid w:val="00CF64E1"/>
    <w:rsid w:val="00CF7F85"/>
    <w:rsid w:val="00D109C5"/>
    <w:rsid w:val="00D200C7"/>
    <w:rsid w:val="00D23751"/>
    <w:rsid w:val="00D44A2C"/>
    <w:rsid w:val="00D57ABA"/>
    <w:rsid w:val="00D65685"/>
    <w:rsid w:val="00D669C3"/>
    <w:rsid w:val="00D67EA9"/>
    <w:rsid w:val="00D709A6"/>
    <w:rsid w:val="00D70C2C"/>
    <w:rsid w:val="00D74F33"/>
    <w:rsid w:val="00D90E22"/>
    <w:rsid w:val="00DA5AC7"/>
    <w:rsid w:val="00DB01C0"/>
    <w:rsid w:val="00DB6F9B"/>
    <w:rsid w:val="00DB7B74"/>
    <w:rsid w:val="00DC075C"/>
    <w:rsid w:val="00DC59D5"/>
    <w:rsid w:val="00E01B38"/>
    <w:rsid w:val="00E05537"/>
    <w:rsid w:val="00E057CB"/>
    <w:rsid w:val="00E11E68"/>
    <w:rsid w:val="00E20A0C"/>
    <w:rsid w:val="00E20E5A"/>
    <w:rsid w:val="00E22722"/>
    <w:rsid w:val="00E2282E"/>
    <w:rsid w:val="00E2419A"/>
    <w:rsid w:val="00E46E80"/>
    <w:rsid w:val="00E53096"/>
    <w:rsid w:val="00E55F71"/>
    <w:rsid w:val="00E57A1A"/>
    <w:rsid w:val="00E8309B"/>
    <w:rsid w:val="00E85A3B"/>
    <w:rsid w:val="00E9172C"/>
    <w:rsid w:val="00E949C7"/>
    <w:rsid w:val="00E9509D"/>
    <w:rsid w:val="00E97152"/>
    <w:rsid w:val="00EA4A0A"/>
    <w:rsid w:val="00EC1292"/>
    <w:rsid w:val="00EC19F4"/>
    <w:rsid w:val="00EC4392"/>
    <w:rsid w:val="00EC7931"/>
    <w:rsid w:val="00ED3594"/>
    <w:rsid w:val="00ED7BEC"/>
    <w:rsid w:val="00EE0463"/>
    <w:rsid w:val="00EE2E5D"/>
    <w:rsid w:val="00EF1A5F"/>
    <w:rsid w:val="00EF4859"/>
    <w:rsid w:val="00EF6ACB"/>
    <w:rsid w:val="00F24457"/>
    <w:rsid w:val="00F268F7"/>
    <w:rsid w:val="00F31D02"/>
    <w:rsid w:val="00F32FE5"/>
    <w:rsid w:val="00F33A9A"/>
    <w:rsid w:val="00F45272"/>
    <w:rsid w:val="00F459C7"/>
    <w:rsid w:val="00F50C4B"/>
    <w:rsid w:val="00F52CF0"/>
    <w:rsid w:val="00F60E0D"/>
    <w:rsid w:val="00F61E2F"/>
    <w:rsid w:val="00F63E47"/>
    <w:rsid w:val="00F64D1D"/>
    <w:rsid w:val="00F73195"/>
    <w:rsid w:val="00F75CE8"/>
    <w:rsid w:val="00F77BEC"/>
    <w:rsid w:val="00F849DE"/>
    <w:rsid w:val="00F9156E"/>
    <w:rsid w:val="00F94B5F"/>
    <w:rsid w:val="00FA42FD"/>
    <w:rsid w:val="00FA4C5E"/>
    <w:rsid w:val="00FB213D"/>
    <w:rsid w:val="00FB5F43"/>
    <w:rsid w:val="00FB73E9"/>
    <w:rsid w:val="00FC5D41"/>
    <w:rsid w:val="00FC62D7"/>
    <w:rsid w:val="00FD1294"/>
    <w:rsid w:val="00FE6CED"/>
    <w:rsid w:val="00FE765E"/>
    <w:rsid w:val="00FF0064"/>
    <w:rsid w:val="00FF6295"/>
    <w:rsid w:val="00FF6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Char2"/>
    <w:qFormat/>
    <w:rsid w:val="0065340C"/>
    <w:pPr>
      <w:spacing w:before="240" w:after="60"/>
      <w:jc w:val="center"/>
      <w:outlineLvl w:val="0"/>
    </w:pPr>
    <w:rPr>
      <w:rFonts w:ascii="Arial" w:hAnsi="Arial" w:cs="Arial"/>
      <w:b/>
      <w:bCs/>
      <w:sz w:val="32"/>
      <w:szCs w:val="32"/>
    </w:rPr>
  </w:style>
  <w:style w:type="character" w:customStyle="1" w:styleId="Char2">
    <w:name w:val="标题 Char"/>
    <w:basedOn w:val="a0"/>
    <w:link w:val="a8"/>
    <w:rsid w:val="0065340C"/>
    <w:rPr>
      <w:rFonts w:ascii="Arial" w:eastAsia="宋体" w:hAnsi="Arial" w:cs="Arial"/>
      <w:b/>
      <w:bCs/>
      <w:sz w:val="32"/>
      <w:szCs w:val="32"/>
    </w:rPr>
  </w:style>
  <w:style w:type="character" w:customStyle="1" w:styleId="fontstyle01">
    <w:name w:val="fontstyle01"/>
    <w:rsid w:val="00E9172C"/>
    <w:rPr>
      <w:rFonts w:ascii="宋体" w:eastAsia="宋体" w:hAnsi="宋体" w:hint="eastAsia"/>
      <w:b w:val="0"/>
      <w:bCs w:val="0"/>
      <w:i w:val="0"/>
      <w:iCs w:val="0"/>
      <w:color w:val="000000"/>
      <w:sz w:val="24"/>
      <w:szCs w:val="24"/>
    </w:rPr>
  </w:style>
  <w:style w:type="paragraph" w:styleId="a9">
    <w:name w:val="Normal (Web)"/>
    <w:basedOn w:val="a"/>
    <w:uiPriority w:val="99"/>
    <w:semiHidden/>
    <w:unhideWhenUsed/>
    <w:rsid w:val="004B5FD2"/>
    <w:pPr>
      <w:widowControl/>
      <w:spacing w:before="100" w:beforeAutospacing="1" w:after="100" w:afterAutospacing="1"/>
      <w:jc w:val="left"/>
    </w:pPr>
    <w:rPr>
      <w:rFonts w:cs="宋体"/>
      <w:kern w:val="0"/>
      <w:sz w:val="24"/>
    </w:rPr>
  </w:style>
  <w:style w:type="paragraph" w:styleId="aa">
    <w:name w:val="annotation text"/>
    <w:basedOn w:val="a"/>
    <w:link w:val="Char3"/>
    <w:autoRedefine/>
    <w:uiPriority w:val="99"/>
    <w:unhideWhenUsed/>
    <w:qFormat/>
    <w:rsid w:val="005456AB"/>
    <w:pPr>
      <w:jc w:val="left"/>
    </w:pPr>
    <w:rPr>
      <w:rFonts w:asciiTheme="minorHAnsi" w:eastAsiaTheme="minorEastAsia" w:hAnsiTheme="minorHAnsi" w:cstheme="minorBidi"/>
      <w:sz w:val="21"/>
      <w:szCs w:val="22"/>
    </w:rPr>
  </w:style>
  <w:style w:type="character" w:customStyle="1" w:styleId="Char3">
    <w:name w:val="批注文字 Char"/>
    <w:basedOn w:val="a0"/>
    <w:link w:val="aa"/>
    <w:uiPriority w:val="99"/>
    <w:qFormat/>
    <w:rsid w:val="005456AB"/>
  </w:style>
  <w:style w:type="paragraph" w:styleId="ab">
    <w:name w:val="Balloon Text"/>
    <w:basedOn w:val="a"/>
    <w:link w:val="Char4"/>
    <w:uiPriority w:val="99"/>
    <w:semiHidden/>
    <w:unhideWhenUsed/>
    <w:rsid w:val="005456AB"/>
    <w:rPr>
      <w:sz w:val="18"/>
      <w:szCs w:val="18"/>
    </w:rPr>
  </w:style>
  <w:style w:type="character" w:customStyle="1" w:styleId="Char4">
    <w:name w:val="批注框文本 Char"/>
    <w:basedOn w:val="a0"/>
    <w:link w:val="ab"/>
    <w:uiPriority w:val="99"/>
    <w:semiHidden/>
    <w:rsid w:val="005456AB"/>
    <w:rPr>
      <w:rFonts w:ascii="宋体" w:eastAsia="宋体" w:hAnsi="宋体" w:cs="Times New Roman"/>
      <w:sz w:val="18"/>
      <w:szCs w:val="18"/>
    </w:rPr>
  </w:style>
  <w:style w:type="character" w:styleId="ac">
    <w:name w:val="Hyperlink"/>
    <w:autoRedefine/>
    <w:uiPriority w:val="99"/>
    <w:unhideWhenUsed/>
    <w:qFormat/>
    <w:rsid w:val="00D57AB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B1"/>
    <w:pPr>
      <w:widowControl w:val="0"/>
      <w:jc w:val="both"/>
    </w:pPr>
    <w:rPr>
      <w:rFonts w:ascii="宋体" w:eastAsia="宋体" w:hAnsi="宋体" w:cs="Times New Roman"/>
      <w:sz w:val="28"/>
      <w:szCs w:val="24"/>
    </w:rPr>
  </w:style>
  <w:style w:type="paragraph" w:styleId="1">
    <w:name w:val="heading 1"/>
    <w:aliases w:val="H1"/>
    <w:basedOn w:val="a"/>
    <w:next w:val="a"/>
    <w:link w:val="1Char"/>
    <w:qFormat/>
    <w:rsid w:val="005C72B1"/>
    <w:pPr>
      <w:keepNext/>
      <w:keepLines/>
      <w:spacing w:before="340" w:after="330" w:line="576" w:lineRule="auto"/>
      <w:outlineLvl w:val="0"/>
    </w:pPr>
    <w:rPr>
      <w:rFonts w:ascii="Times New Roman" w:hAnsi="Times New Roman"/>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2B1"/>
    <w:rPr>
      <w:sz w:val="18"/>
      <w:szCs w:val="18"/>
    </w:rPr>
  </w:style>
  <w:style w:type="paragraph" w:styleId="a4">
    <w:name w:val="footer"/>
    <w:basedOn w:val="a"/>
    <w:link w:val="Char0"/>
    <w:uiPriority w:val="99"/>
    <w:unhideWhenUsed/>
    <w:rsid w:val="005C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5C72B1"/>
    <w:rPr>
      <w:sz w:val="18"/>
      <w:szCs w:val="18"/>
    </w:rPr>
  </w:style>
  <w:style w:type="character" w:customStyle="1" w:styleId="1Char">
    <w:name w:val="标题 1 Char"/>
    <w:aliases w:val="H1 Char"/>
    <w:basedOn w:val="a0"/>
    <w:link w:val="1"/>
    <w:rsid w:val="005C72B1"/>
    <w:rPr>
      <w:rFonts w:ascii="Times New Roman" w:eastAsia="宋体" w:hAnsi="Times New Roman" w:cs="Times New Roman"/>
      <w:kern w:val="44"/>
      <w:sz w:val="44"/>
      <w:szCs w:val="44"/>
    </w:rPr>
  </w:style>
  <w:style w:type="paragraph" w:styleId="a5">
    <w:name w:val="Body Text Indent"/>
    <w:basedOn w:val="a"/>
    <w:link w:val="Char1"/>
    <w:rsid w:val="005C72B1"/>
    <w:pPr>
      <w:spacing w:after="120"/>
      <w:ind w:leftChars="200" w:left="200"/>
    </w:pPr>
  </w:style>
  <w:style w:type="character" w:customStyle="1" w:styleId="Char1">
    <w:name w:val="正文文本缩进 Char"/>
    <w:basedOn w:val="a0"/>
    <w:link w:val="a5"/>
    <w:rsid w:val="005C72B1"/>
    <w:rPr>
      <w:rFonts w:ascii="宋体" w:eastAsia="宋体" w:hAnsi="宋体" w:cs="Times New Roman"/>
      <w:sz w:val="28"/>
      <w:szCs w:val="24"/>
    </w:rPr>
  </w:style>
  <w:style w:type="paragraph" w:styleId="2">
    <w:name w:val="Body Text Indent 2"/>
    <w:basedOn w:val="a"/>
    <w:link w:val="2Char"/>
    <w:rsid w:val="005C72B1"/>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5C72B1"/>
    <w:rPr>
      <w:rFonts w:ascii="仿宋_GB2312" w:eastAsia="仿宋_GB2312" w:hAnsi="Times New Roman" w:cs="Times New Roman"/>
      <w:sz w:val="32"/>
      <w:szCs w:val="20"/>
    </w:rPr>
  </w:style>
  <w:style w:type="paragraph" w:styleId="3">
    <w:name w:val="Body Text Indent 3"/>
    <w:basedOn w:val="a"/>
    <w:link w:val="3Char"/>
    <w:rsid w:val="005C72B1"/>
    <w:pPr>
      <w:spacing w:after="120"/>
      <w:ind w:leftChars="200" w:left="200"/>
    </w:pPr>
    <w:rPr>
      <w:sz w:val="16"/>
      <w:szCs w:val="16"/>
    </w:rPr>
  </w:style>
  <w:style w:type="character" w:customStyle="1" w:styleId="3Char">
    <w:name w:val="正文文本缩进 3 Char"/>
    <w:basedOn w:val="a0"/>
    <w:link w:val="3"/>
    <w:rsid w:val="005C72B1"/>
    <w:rPr>
      <w:rFonts w:ascii="宋体" w:eastAsia="宋体" w:hAnsi="宋体" w:cs="Times New Roman"/>
      <w:sz w:val="16"/>
      <w:szCs w:val="16"/>
    </w:rPr>
  </w:style>
  <w:style w:type="paragraph" w:styleId="a6">
    <w:name w:val="List Paragraph"/>
    <w:basedOn w:val="a"/>
    <w:uiPriority w:val="34"/>
    <w:qFormat/>
    <w:rsid w:val="006E57AA"/>
    <w:pPr>
      <w:ind w:firstLineChars="200" w:firstLine="420"/>
    </w:pPr>
  </w:style>
  <w:style w:type="paragraph" w:customStyle="1" w:styleId="Default">
    <w:name w:val="Default"/>
    <w:rsid w:val="00E55F71"/>
    <w:pPr>
      <w:widowControl w:val="0"/>
      <w:autoSpaceDE w:val="0"/>
      <w:autoSpaceDN w:val="0"/>
      <w:adjustRightInd w:val="0"/>
    </w:pPr>
    <w:rPr>
      <w:rFonts w:ascii="宋体" w:hAnsi="宋体" w:cs="宋体"/>
      <w:color w:val="000000"/>
      <w:kern w:val="0"/>
      <w:sz w:val="24"/>
      <w:szCs w:val="24"/>
    </w:rPr>
  </w:style>
  <w:style w:type="table" w:styleId="a7">
    <w:name w:val="Table Grid"/>
    <w:basedOn w:val="a1"/>
    <w:uiPriority w:val="59"/>
    <w:rsid w:val="00554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446">
      <w:bodyDiv w:val="1"/>
      <w:marLeft w:val="0"/>
      <w:marRight w:val="0"/>
      <w:marTop w:val="0"/>
      <w:marBottom w:val="0"/>
      <w:divBdr>
        <w:top w:val="none" w:sz="0" w:space="0" w:color="auto"/>
        <w:left w:val="none" w:sz="0" w:space="0" w:color="auto"/>
        <w:bottom w:val="none" w:sz="0" w:space="0" w:color="auto"/>
        <w:right w:val="none" w:sz="0" w:space="0" w:color="auto"/>
      </w:divBdr>
    </w:div>
    <w:div w:id="309290552">
      <w:bodyDiv w:val="1"/>
      <w:marLeft w:val="0"/>
      <w:marRight w:val="0"/>
      <w:marTop w:val="0"/>
      <w:marBottom w:val="0"/>
      <w:divBdr>
        <w:top w:val="none" w:sz="0" w:space="0" w:color="auto"/>
        <w:left w:val="none" w:sz="0" w:space="0" w:color="auto"/>
        <w:bottom w:val="none" w:sz="0" w:space="0" w:color="auto"/>
        <w:right w:val="none" w:sz="0" w:space="0" w:color="auto"/>
      </w:divBdr>
    </w:div>
    <w:div w:id="362050891">
      <w:bodyDiv w:val="1"/>
      <w:marLeft w:val="0"/>
      <w:marRight w:val="0"/>
      <w:marTop w:val="0"/>
      <w:marBottom w:val="0"/>
      <w:divBdr>
        <w:top w:val="none" w:sz="0" w:space="0" w:color="auto"/>
        <w:left w:val="none" w:sz="0" w:space="0" w:color="auto"/>
        <w:bottom w:val="none" w:sz="0" w:space="0" w:color="auto"/>
        <w:right w:val="none" w:sz="0" w:space="0" w:color="auto"/>
      </w:divBdr>
    </w:div>
    <w:div w:id="363750864">
      <w:bodyDiv w:val="1"/>
      <w:marLeft w:val="0"/>
      <w:marRight w:val="0"/>
      <w:marTop w:val="0"/>
      <w:marBottom w:val="0"/>
      <w:divBdr>
        <w:top w:val="none" w:sz="0" w:space="0" w:color="auto"/>
        <w:left w:val="none" w:sz="0" w:space="0" w:color="auto"/>
        <w:bottom w:val="none" w:sz="0" w:space="0" w:color="auto"/>
        <w:right w:val="none" w:sz="0" w:space="0" w:color="auto"/>
      </w:divBdr>
    </w:div>
    <w:div w:id="487984835">
      <w:bodyDiv w:val="1"/>
      <w:marLeft w:val="0"/>
      <w:marRight w:val="0"/>
      <w:marTop w:val="0"/>
      <w:marBottom w:val="0"/>
      <w:divBdr>
        <w:top w:val="none" w:sz="0" w:space="0" w:color="auto"/>
        <w:left w:val="none" w:sz="0" w:space="0" w:color="auto"/>
        <w:bottom w:val="none" w:sz="0" w:space="0" w:color="auto"/>
        <w:right w:val="none" w:sz="0" w:space="0" w:color="auto"/>
      </w:divBdr>
    </w:div>
    <w:div w:id="634258094">
      <w:bodyDiv w:val="1"/>
      <w:marLeft w:val="0"/>
      <w:marRight w:val="0"/>
      <w:marTop w:val="0"/>
      <w:marBottom w:val="0"/>
      <w:divBdr>
        <w:top w:val="none" w:sz="0" w:space="0" w:color="auto"/>
        <w:left w:val="none" w:sz="0" w:space="0" w:color="auto"/>
        <w:bottom w:val="none" w:sz="0" w:space="0" w:color="auto"/>
        <w:right w:val="none" w:sz="0" w:space="0" w:color="auto"/>
      </w:divBdr>
    </w:div>
    <w:div w:id="897672699">
      <w:bodyDiv w:val="1"/>
      <w:marLeft w:val="0"/>
      <w:marRight w:val="0"/>
      <w:marTop w:val="0"/>
      <w:marBottom w:val="0"/>
      <w:divBdr>
        <w:top w:val="none" w:sz="0" w:space="0" w:color="auto"/>
        <w:left w:val="none" w:sz="0" w:space="0" w:color="auto"/>
        <w:bottom w:val="none" w:sz="0" w:space="0" w:color="auto"/>
        <w:right w:val="none" w:sz="0" w:space="0" w:color="auto"/>
      </w:divBdr>
    </w:div>
    <w:div w:id="1007171383">
      <w:bodyDiv w:val="1"/>
      <w:marLeft w:val="0"/>
      <w:marRight w:val="0"/>
      <w:marTop w:val="0"/>
      <w:marBottom w:val="0"/>
      <w:divBdr>
        <w:top w:val="none" w:sz="0" w:space="0" w:color="auto"/>
        <w:left w:val="none" w:sz="0" w:space="0" w:color="auto"/>
        <w:bottom w:val="none" w:sz="0" w:space="0" w:color="auto"/>
        <w:right w:val="none" w:sz="0" w:space="0" w:color="auto"/>
      </w:divBdr>
    </w:div>
    <w:div w:id="1223759643">
      <w:bodyDiv w:val="1"/>
      <w:marLeft w:val="0"/>
      <w:marRight w:val="0"/>
      <w:marTop w:val="0"/>
      <w:marBottom w:val="0"/>
      <w:divBdr>
        <w:top w:val="none" w:sz="0" w:space="0" w:color="auto"/>
        <w:left w:val="none" w:sz="0" w:space="0" w:color="auto"/>
        <w:bottom w:val="none" w:sz="0" w:space="0" w:color="auto"/>
        <w:right w:val="none" w:sz="0" w:space="0" w:color="auto"/>
      </w:divBdr>
      <w:divsChild>
        <w:div w:id="871502248">
          <w:marLeft w:val="0"/>
          <w:marRight w:val="0"/>
          <w:marTop w:val="0"/>
          <w:marBottom w:val="0"/>
          <w:divBdr>
            <w:top w:val="none" w:sz="0" w:space="0" w:color="auto"/>
            <w:left w:val="none" w:sz="0" w:space="0" w:color="auto"/>
            <w:bottom w:val="none" w:sz="0" w:space="0" w:color="auto"/>
            <w:right w:val="none" w:sz="0" w:space="0" w:color="auto"/>
          </w:divBdr>
        </w:div>
        <w:div w:id="1966813389">
          <w:marLeft w:val="0"/>
          <w:marRight w:val="225"/>
          <w:marTop w:val="0"/>
          <w:marBottom w:val="0"/>
          <w:divBdr>
            <w:top w:val="none" w:sz="0" w:space="0" w:color="auto"/>
            <w:left w:val="none" w:sz="0" w:space="0" w:color="auto"/>
            <w:bottom w:val="none" w:sz="0" w:space="0" w:color="auto"/>
            <w:right w:val="none" w:sz="0" w:space="0" w:color="auto"/>
          </w:divBdr>
        </w:div>
      </w:divsChild>
    </w:div>
    <w:div w:id="1401051852">
      <w:bodyDiv w:val="1"/>
      <w:marLeft w:val="0"/>
      <w:marRight w:val="0"/>
      <w:marTop w:val="0"/>
      <w:marBottom w:val="0"/>
      <w:divBdr>
        <w:top w:val="none" w:sz="0" w:space="0" w:color="auto"/>
        <w:left w:val="none" w:sz="0" w:space="0" w:color="auto"/>
        <w:bottom w:val="none" w:sz="0" w:space="0" w:color="auto"/>
        <w:right w:val="none" w:sz="0" w:space="0" w:color="auto"/>
      </w:divBdr>
      <w:divsChild>
        <w:div w:id="1968509722">
          <w:marLeft w:val="0"/>
          <w:marRight w:val="0"/>
          <w:marTop w:val="360"/>
          <w:marBottom w:val="0"/>
          <w:divBdr>
            <w:top w:val="none" w:sz="0" w:space="0" w:color="auto"/>
            <w:left w:val="none" w:sz="0" w:space="0" w:color="auto"/>
            <w:bottom w:val="none" w:sz="0" w:space="0" w:color="auto"/>
            <w:right w:val="none" w:sz="0" w:space="0" w:color="auto"/>
          </w:divBdr>
        </w:div>
        <w:div w:id="1239438554">
          <w:marLeft w:val="0"/>
          <w:marRight w:val="0"/>
          <w:marTop w:val="360"/>
          <w:marBottom w:val="0"/>
          <w:divBdr>
            <w:top w:val="none" w:sz="0" w:space="0" w:color="auto"/>
            <w:left w:val="none" w:sz="0" w:space="0" w:color="auto"/>
            <w:bottom w:val="none" w:sz="0" w:space="0" w:color="auto"/>
            <w:right w:val="none" w:sz="0" w:space="0" w:color="auto"/>
          </w:divBdr>
        </w:div>
      </w:divsChild>
    </w:div>
    <w:div w:id="1454403899">
      <w:bodyDiv w:val="1"/>
      <w:marLeft w:val="0"/>
      <w:marRight w:val="0"/>
      <w:marTop w:val="0"/>
      <w:marBottom w:val="0"/>
      <w:divBdr>
        <w:top w:val="none" w:sz="0" w:space="0" w:color="auto"/>
        <w:left w:val="none" w:sz="0" w:space="0" w:color="auto"/>
        <w:bottom w:val="none" w:sz="0" w:space="0" w:color="auto"/>
        <w:right w:val="none" w:sz="0" w:space="0" w:color="auto"/>
      </w:divBdr>
    </w:div>
    <w:div w:id="1478259393">
      <w:bodyDiv w:val="1"/>
      <w:marLeft w:val="0"/>
      <w:marRight w:val="0"/>
      <w:marTop w:val="0"/>
      <w:marBottom w:val="0"/>
      <w:divBdr>
        <w:top w:val="none" w:sz="0" w:space="0" w:color="auto"/>
        <w:left w:val="none" w:sz="0" w:space="0" w:color="auto"/>
        <w:bottom w:val="none" w:sz="0" w:space="0" w:color="auto"/>
        <w:right w:val="none" w:sz="0" w:space="0" w:color="auto"/>
      </w:divBdr>
      <w:divsChild>
        <w:div w:id="485054072">
          <w:marLeft w:val="0"/>
          <w:marRight w:val="0"/>
          <w:marTop w:val="0"/>
          <w:marBottom w:val="0"/>
          <w:divBdr>
            <w:top w:val="none" w:sz="0" w:space="0" w:color="auto"/>
            <w:left w:val="none" w:sz="0" w:space="0" w:color="auto"/>
            <w:bottom w:val="none" w:sz="0" w:space="0" w:color="auto"/>
            <w:right w:val="none" w:sz="0" w:space="0" w:color="auto"/>
          </w:divBdr>
        </w:div>
      </w:divsChild>
    </w:div>
    <w:div w:id="1622227983">
      <w:bodyDiv w:val="1"/>
      <w:marLeft w:val="0"/>
      <w:marRight w:val="0"/>
      <w:marTop w:val="0"/>
      <w:marBottom w:val="0"/>
      <w:divBdr>
        <w:top w:val="none" w:sz="0" w:space="0" w:color="auto"/>
        <w:left w:val="none" w:sz="0" w:space="0" w:color="auto"/>
        <w:bottom w:val="none" w:sz="0" w:space="0" w:color="auto"/>
        <w:right w:val="none" w:sz="0" w:space="0" w:color="auto"/>
      </w:divBdr>
      <w:divsChild>
        <w:div w:id="1347176742">
          <w:marLeft w:val="0"/>
          <w:marRight w:val="0"/>
          <w:marTop w:val="360"/>
          <w:marBottom w:val="0"/>
          <w:divBdr>
            <w:top w:val="none" w:sz="0" w:space="0" w:color="auto"/>
            <w:left w:val="none" w:sz="0" w:space="0" w:color="auto"/>
            <w:bottom w:val="none" w:sz="0" w:space="0" w:color="auto"/>
            <w:right w:val="none" w:sz="0" w:space="0" w:color="auto"/>
          </w:divBdr>
        </w:div>
        <w:div w:id="1485051314">
          <w:marLeft w:val="0"/>
          <w:marRight w:val="0"/>
          <w:marTop w:val="360"/>
          <w:marBottom w:val="0"/>
          <w:divBdr>
            <w:top w:val="none" w:sz="0" w:space="0" w:color="auto"/>
            <w:left w:val="none" w:sz="0" w:space="0" w:color="auto"/>
            <w:bottom w:val="none" w:sz="0" w:space="0" w:color="auto"/>
            <w:right w:val="none" w:sz="0" w:space="0" w:color="auto"/>
          </w:divBdr>
        </w:div>
        <w:div w:id="1853520859">
          <w:marLeft w:val="0"/>
          <w:marRight w:val="0"/>
          <w:marTop w:val="360"/>
          <w:marBottom w:val="0"/>
          <w:divBdr>
            <w:top w:val="none" w:sz="0" w:space="0" w:color="auto"/>
            <w:left w:val="none" w:sz="0" w:space="0" w:color="auto"/>
            <w:bottom w:val="none" w:sz="0" w:space="0" w:color="auto"/>
            <w:right w:val="none" w:sz="0" w:space="0" w:color="auto"/>
          </w:divBdr>
        </w:div>
        <w:div w:id="442773005">
          <w:marLeft w:val="0"/>
          <w:marRight w:val="0"/>
          <w:marTop w:val="360"/>
          <w:marBottom w:val="0"/>
          <w:divBdr>
            <w:top w:val="none" w:sz="0" w:space="0" w:color="auto"/>
            <w:left w:val="none" w:sz="0" w:space="0" w:color="auto"/>
            <w:bottom w:val="none" w:sz="0" w:space="0" w:color="auto"/>
            <w:right w:val="none" w:sz="0" w:space="0" w:color="auto"/>
          </w:divBdr>
        </w:div>
        <w:div w:id="1120148264">
          <w:marLeft w:val="0"/>
          <w:marRight w:val="0"/>
          <w:marTop w:val="360"/>
          <w:marBottom w:val="0"/>
          <w:divBdr>
            <w:top w:val="none" w:sz="0" w:space="0" w:color="auto"/>
            <w:left w:val="none" w:sz="0" w:space="0" w:color="auto"/>
            <w:bottom w:val="none" w:sz="0" w:space="0" w:color="auto"/>
            <w:right w:val="none" w:sz="0" w:space="0" w:color="auto"/>
          </w:divBdr>
        </w:div>
      </w:divsChild>
    </w:div>
    <w:div w:id="1958098925">
      <w:bodyDiv w:val="1"/>
      <w:marLeft w:val="0"/>
      <w:marRight w:val="0"/>
      <w:marTop w:val="0"/>
      <w:marBottom w:val="0"/>
      <w:divBdr>
        <w:top w:val="none" w:sz="0" w:space="0" w:color="auto"/>
        <w:left w:val="none" w:sz="0" w:space="0" w:color="auto"/>
        <w:bottom w:val="none" w:sz="0" w:space="0" w:color="auto"/>
        <w:right w:val="none" w:sz="0" w:space="0" w:color="auto"/>
      </w:divBdr>
      <w:divsChild>
        <w:div w:id="1202593227">
          <w:marLeft w:val="0"/>
          <w:marRight w:val="0"/>
          <w:marTop w:val="0"/>
          <w:marBottom w:val="0"/>
          <w:divBdr>
            <w:top w:val="none" w:sz="0" w:space="0" w:color="auto"/>
            <w:left w:val="none" w:sz="0" w:space="0" w:color="auto"/>
            <w:bottom w:val="none" w:sz="0" w:space="0" w:color="auto"/>
            <w:right w:val="none" w:sz="0" w:space="0" w:color="auto"/>
          </w:divBdr>
        </w:div>
      </w:divsChild>
    </w:div>
    <w:div w:id="2092578845">
      <w:bodyDiv w:val="1"/>
      <w:marLeft w:val="0"/>
      <w:marRight w:val="0"/>
      <w:marTop w:val="0"/>
      <w:marBottom w:val="0"/>
      <w:divBdr>
        <w:top w:val="none" w:sz="0" w:space="0" w:color="auto"/>
        <w:left w:val="none" w:sz="0" w:space="0" w:color="auto"/>
        <w:bottom w:val="none" w:sz="0" w:space="0" w:color="auto"/>
        <w:right w:val="none" w:sz="0" w:space="0" w:color="auto"/>
      </w:divBdr>
      <w:divsChild>
        <w:div w:id="165751326">
          <w:marLeft w:val="0"/>
          <w:marRight w:val="0"/>
          <w:marTop w:val="360"/>
          <w:marBottom w:val="0"/>
          <w:divBdr>
            <w:top w:val="none" w:sz="0" w:space="0" w:color="auto"/>
            <w:left w:val="none" w:sz="0" w:space="0" w:color="auto"/>
            <w:bottom w:val="none" w:sz="0" w:space="0" w:color="auto"/>
            <w:right w:val="none" w:sz="0" w:space="0" w:color="auto"/>
          </w:divBdr>
        </w:div>
        <w:div w:id="1713067981">
          <w:marLeft w:val="0"/>
          <w:marRight w:val="0"/>
          <w:marTop w:val="360"/>
          <w:marBottom w:val="0"/>
          <w:divBdr>
            <w:top w:val="none" w:sz="0" w:space="0" w:color="auto"/>
            <w:left w:val="none" w:sz="0" w:space="0" w:color="auto"/>
            <w:bottom w:val="none" w:sz="0" w:space="0" w:color="auto"/>
            <w:right w:val="none" w:sz="0" w:space="0" w:color="auto"/>
          </w:divBdr>
        </w:div>
        <w:div w:id="166311765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1709</TotalTime>
  <Pages>1</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zbc1</dc:creator>
  <cp:keywords/>
  <dc:description/>
  <cp:lastModifiedBy>Lenovo</cp:lastModifiedBy>
  <cp:revision>388</cp:revision>
  <cp:lastPrinted>2025-01-02T00:05:00Z</cp:lastPrinted>
  <dcterms:created xsi:type="dcterms:W3CDTF">2017-04-28T02:34:00Z</dcterms:created>
  <dcterms:modified xsi:type="dcterms:W3CDTF">2025-01-02T00:05:00Z</dcterms:modified>
</cp:coreProperties>
</file>