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B7" w:rsidRDefault="002D376B">
      <w:pPr>
        <w:spacing w:before="2400" w:line="773" w:lineRule="exact"/>
        <w:jc w:val="center"/>
        <w:rPr>
          <w:rFonts w:ascii="宋体" w:eastAsia="宋体" w:hAnsi="宋体" w:cs="宋体"/>
          <w:b/>
          <w:bCs/>
          <w:sz w:val="36"/>
          <w:szCs w:val="36"/>
        </w:rPr>
      </w:pPr>
      <w:r>
        <w:rPr>
          <w:rFonts w:ascii="宋体" w:eastAsia="宋体" w:hAnsi="宋体" w:cs="宋体"/>
          <w:b/>
          <w:bCs/>
          <w:sz w:val="36"/>
          <w:szCs w:val="36"/>
        </w:rPr>
        <w:t>江苏华西村股份有限公司</w:t>
      </w:r>
    </w:p>
    <w:p w:rsidR="00334CB7" w:rsidRPr="00922E9A" w:rsidRDefault="002D376B">
      <w:pPr>
        <w:spacing w:before="1000" w:line="320" w:lineRule="exact"/>
        <w:jc w:val="center"/>
        <w:rPr>
          <w:rFonts w:ascii="宋体" w:eastAsia="宋体" w:hAnsi="宋体" w:cs="宋体"/>
          <w:b/>
          <w:bCs/>
          <w:sz w:val="36"/>
          <w:szCs w:val="36"/>
        </w:rPr>
      </w:pPr>
      <w:r w:rsidRPr="00922E9A">
        <w:rPr>
          <w:rFonts w:ascii="宋体" w:eastAsia="宋体" w:hAnsi="宋体" w:cs="宋体"/>
          <w:b/>
          <w:bCs/>
          <w:sz w:val="36"/>
          <w:szCs w:val="36"/>
        </w:rPr>
        <w:t>2024年半年度报告</w:t>
      </w:r>
    </w:p>
    <w:p w:rsidR="00334CB7" w:rsidRDefault="00334CB7">
      <w:pPr>
        <w:spacing w:before="1000" w:line="240" w:lineRule="exact"/>
        <w:jc w:val="center"/>
        <w:rPr>
          <w:rFonts w:ascii="宋体" w:eastAsia="宋体" w:hAnsi="宋体" w:cs="宋体"/>
          <w:b/>
          <w:bCs/>
          <w:szCs w:val="21"/>
        </w:rPr>
      </w:pPr>
    </w:p>
    <w:p w:rsidR="00334CB7" w:rsidRDefault="0060382D">
      <w:pPr>
        <w:spacing w:before="1000" w:after="1000" w:line="0" w:lineRule="atLeast"/>
        <w:jc w:val="center"/>
        <w:rPr>
          <w:rFonts w:ascii="Times New Roman" w:eastAsia="宋体" w:hAnsi="Times New Roman" w:cs="Times New Roman"/>
          <w:noProof/>
        </w:rPr>
      </w:pPr>
      <w:r>
        <w:rPr>
          <w:noProof/>
        </w:rPr>
        <w:drawing>
          <wp:inline distT="0" distB="0" distL="0" distR="0" wp14:anchorId="6D224413" wp14:editId="569A9067">
            <wp:extent cx="1394460" cy="8382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2194" cy="836838"/>
                    </a:xfrm>
                    <a:prstGeom prst="rect">
                      <a:avLst/>
                    </a:prstGeom>
                    <a:noFill/>
                    <a:ln>
                      <a:noFill/>
                    </a:ln>
                  </pic:spPr>
                </pic:pic>
              </a:graphicData>
            </a:graphic>
          </wp:inline>
        </w:drawing>
      </w:r>
    </w:p>
    <w:p w:rsidR="0060382D" w:rsidRDefault="0060382D">
      <w:pPr>
        <w:spacing w:before="1000" w:after="1000" w:line="0" w:lineRule="atLeast"/>
        <w:jc w:val="center"/>
        <w:rPr>
          <w:rFonts w:ascii="Times New Roman" w:eastAsia="宋体" w:hAnsi="Times New Roman" w:cs="Times New Roman"/>
          <w:noProof/>
        </w:rPr>
      </w:pPr>
    </w:p>
    <w:p w:rsidR="0060382D" w:rsidRDefault="0060382D">
      <w:pPr>
        <w:spacing w:before="1000" w:after="1000" w:line="0" w:lineRule="atLeast"/>
        <w:jc w:val="center"/>
        <w:rPr>
          <w:rFonts w:ascii="Times New Roman" w:eastAsia="宋体" w:hAnsi="Times New Roman" w:cs="Times New Roman"/>
          <w:noProof/>
        </w:rPr>
      </w:pPr>
    </w:p>
    <w:p w:rsidR="0060382D" w:rsidRDefault="0060382D">
      <w:pPr>
        <w:spacing w:before="1000" w:after="1000" w:line="0" w:lineRule="atLeast"/>
        <w:jc w:val="center"/>
        <w:rPr>
          <w:rFonts w:ascii="Times New Roman" w:eastAsia="宋体" w:hAnsi="Times New Roman" w:cs="Times New Roman"/>
        </w:rPr>
      </w:pPr>
    </w:p>
    <w:p w:rsidR="00334CB7" w:rsidRDefault="0060382D">
      <w:pPr>
        <w:spacing w:before="400" w:line="320" w:lineRule="exact"/>
        <w:jc w:val="center"/>
        <w:rPr>
          <w:rFonts w:ascii="宋体" w:eastAsia="宋体" w:hAnsi="宋体" w:cs="宋体"/>
          <w:b/>
          <w:bCs/>
          <w:sz w:val="32"/>
          <w:szCs w:val="32"/>
        </w:rPr>
      </w:pPr>
      <w:r>
        <w:rPr>
          <w:rFonts w:ascii="宋体" w:eastAsia="宋体" w:hAnsi="宋体" w:cs="宋体" w:hint="eastAsia"/>
          <w:b/>
          <w:bCs/>
          <w:sz w:val="32"/>
          <w:szCs w:val="32"/>
        </w:rPr>
        <w:t>2024年8月</w:t>
      </w:r>
    </w:p>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334CB7" w:rsidRDefault="002D376B" w:rsidP="00FA36FF">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公司董事会、监事会及董事、监事、高级管理人员保证半年度报告内容的真实、准确、完整，不存在虚假记载、误导性陈述或者重大遗漏，并承担个别和连带的法律责任。</w:t>
      </w:r>
    </w:p>
    <w:p w:rsidR="00334CB7" w:rsidRDefault="002D376B" w:rsidP="00FA36FF">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公司负责人吴协恩、主管会计工作负责人李满良及会计机构负责人(会计主管人员)</w:t>
      </w:r>
      <w:proofErr w:type="gramStart"/>
      <w:r>
        <w:rPr>
          <w:rFonts w:ascii="宋体" w:eastAsia="宋体" w:hAnsi="宋体" w:cs="宋体"/>
          <w:b/>
          <w:bCs/>
          <w:sz w:val="28"/>
          <w:szCs w:val="28"/>
        </w:rPr>
        <w:t>吴雅清声明</w:t>
      </w:r>
      <w:proofErr w:type="gramEnd"/>
      <w:r>
        <w:rPr>
          <w:rFonts w:ascii="宋体" w:eastAsia="宋体" w:hAnsi="宋体" w:cs="宋体"/>
          <w:b/>
          <w:bCs/>
          <w:sz w:val="28"/>
          <w:szCs w:val="28"/>
        </w:rPr>
        <w:t>：</w:t>
      </w:r>
      <w:proofErr w:type="gramStart"/>
      <w:r>
        <w:rPr>
          <w:rFonts w:ascii="宋体" w:eastAsia="宋体" w:hAnsi="宋体" w:cs="宋体"/>
          <w:b/>
          <w:bCs/>
          <w:sz w:val="28"/>
          <w:szCs w:val="28"/>
        </w:rPr>
        <w:t>保证本半年度</w:t>
      </w:r>
      <w:proofErr w:type="gramEnd"/>
      <w:r>
        <w:rPr>
          <w:rFonts w:ascii="宋体" w:eastAsia="宋体" w:hAnsi="宋体" w:cs="宋体"/>
          <w:b/>
          <w:bCs/>
          <w:sz w:val="28"/>
          <w:szCs w:val="28"/>
        </w:rPr>
        <w:t>报告中财务报告的真实、准确、完整。</w:t>
      </w:r>
    </w:p>
    <w:p w:rsidR="00334CB7" w:rsidRDefault="002D376B" w:rsidP="00FA36FF">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所有董事均</w:t>
      </w:r>
      <w:proofErr w:type="gramStart"/>
      <w:r>
        <w:rPr>
          <w:rFonts w:ascii="宋体" w:eastAsia="宋体" w:hAnsi="宋体" w:cs="宋体"/>
          <w:b/>
          <w:bCs/>
          <w:sz w:val="28"/>
          <w:szCs w:val="28"/>
        </w:rPr>
        <w:t>已出席</w:t>
      </w:r>
      <w:proofErr w:type="gramEnd"/>
      <w:r>
        <w:rPr>
          <w:rFonts w:ascii="宋体" w:eastAsia="宋体" w:hAnsi="宋体" w:cs="宋体"/>
          <w:b/>
          <w:bCs/>
          <w:sz w:val="28"/>
          <w:szCs w:val="28"/>
        </w:rPr>
        <w:t>了审议本次半年报的董事会会议。</w:t>
      </w:r>
    </w:p>
    <w:p w:rsidR="00C1183B" w:rsidRPr="00FA36FF" w:rsidRDefault="002D376B" w:rsidP="00FA36FF">
      <w:pPr>
        <w:spacing w:before="40" w:after="40" w:line="560" w:lineRule="exact"/>
        <w:ind w:firstLineChars="200" w:firstLine="562"/>
        <w:jc w:val="both"/>
        <w:divId w:val="1467550960"/>
        <w:rPr>
          <w:rFonts w:ascii="宋体" w:eastAsia="宋体" w:hAnsi="宋体" w:cs="宋体"/>
          <w:b/>
          <w:bCs/>
          <w:sz w:val="28"/>
          <w:szCs w:val="28"/>
        </w:rPr>
      </w:pPr>
      <w:r w:rsidRPr="00FA36FF">
        <w:rPr>
          <w:rFonts w:ascii="宋体" w:eastAsia="宋体" w:hAnsi="宋体" w:cs="宋体" w:hint="eastAsia"/>
          <w:b/>
          <w:bCs/>
          <w:sz w:val="28"/>
          <w:szCs w:val="28"/>
        </w:rPr>
        <w:t>本报告涉及的未来计划等前瞻性陈述不构成公司对投资者的实质承诺，投资者及相关人士均应当对此保持足够的风险认识，并且应当理解计划、预测与承诺之间的差异。</w:t>
      </w:r>
    </w:p>
    <w:p w:rsidR="00C1183B" w:rsidRPr="00FA36FF" w:rsidRDefault="002D376B" w:rsidP="00FA36FF">
      <w:pPr>
        <w:spacing w:before="40" w:after="40" w:line="560" w:lineRule="exact"/>
        <w:ind w:firstLineChars="200" w:firstLine="562"/>
        <w:jc w:val="both"/>
        <w:divId w:val="1799105800"/>
        <w:rPr>
          <w:rFonts w:ascii="宋体" w:eastAsia="宋体" w:hAnsi="宋体" w:cs="宋体"/>
          <w:b/>
          <w:bCs/>
          <w:sz w:val="28"/>
          <w:szCs w:val="28"/>
        </w:rPr>
      </w:pPr>
      <w:r w:rsidRPr="00FA36FF">
        <w:rPr>
          <w:rFonts w:ascii="宋体" w:eastAsia="宋体" w:hAnsi="宋体" w:cs="宋体" w:hint="eastAsia"/>
          <w:b/>
          <w:bCs/>
          <w:sz w:val="28"/>
          <w:szCs w:val="28"/>
        </w:rPr>
        <w:t>本报告中描述了公司可能面临的风险，敬请投资者阅读本报告第三节“管理层讨论与分析”中相应的内容。</w:t>
      </w:r>
    </w:p>
    <w:p w:rsidR="00334CB7" w:rsidRDefault="00624149" w:rsidP="00FA36FF">
      <w:pPr>
        <w:spacing w:before="40" w:after="40" w:line="560" w:lineRule="exact"/>
        <w:ind w:firstLineChars="200" w:firstLine="562"/>
        <w:jc w:val="both"/>
        <w:rPr>
          <w:rFonts w:ascii="宋体" w:eastAsia="宋体" w:hAnsi="宋体" w:cs="宋体"/>
          <w:b/>
          <w:bCs/>
          <w:sz w:val="28"/>
          <w:szCs w:val="28"/>
        </w:rPr>
      </w:pPr>
      <w:r>
        <w:rPr>
          <w:rFonts w:ascii="宋体" w:eastAsia="宋体" w:hAnsi="宋体" w:cs="宋体"/>
          <w:b/>
          <w:bCs/>
          <w:sz w:val="28"/>
          <w:szCs w:val="28"/>
        </w:rPr>
        <w:t>公司经本次董事会审议通过的利润分配方</w:t>
      </w:r>
      <w:r w:rsidR="002D376B">
        <w:rPr>
          <w:rFonts w:ascii="宋体" w:eastAsia="宋体" w:hAnsi="宋体" w:cs="宋体"/>
          <w:b/>
          <w:bCs/>
          <w:sz w:val="28"/>
          <w:szCs w:val="28"/>
        </w:rPr>
        <w:t>案为：以</w:t>
      </w:r>
      <w:r>
        <w:rPr>
          <w:rFonts w:ascii="宋体" w:eastAsia="宋体" w:hAnsi="宋体" w:cs="宋体"/>
          <w:b/>
          <w:bCs/>
          <w:sz w:val="28"/>
          <w:szCs w:val="28"/>
        </w:rPr>
        <w:t>未来实施利润分配方案时股权登记日的总股本</w:t>
      </w:r>
      <w:r w:rsidR="002D376B">
        <w:rPr>
          <w:rFonts w:ascii="宋体" w:eastAsia="宋体" w:hAnsi="宋体" w:cs="宋体"/>
          <w:b/>
          <w:bCs/>
          <w:sz w:val="28"/>
          <w:szCs w:val="28"/>
        </w:rPr>
        <w:t>为基数，向全体股东每10股派发现金红利0.20元（含税），送红股0股（含税），不以公积金转增股本。</w:t>
      </w:r>
    </w:p>
    <w:p w:rsidR="00334CB7" w:rsidRDefault="002D376B">
      <w:r>
        <w:br w:type="page"/>
      </w:r>
    </w:p>
    <w:p w:rsidR="00FA36FF" w:rsidRDefault="00FA36FF">
      <w:pPr>
        <w:spacing w:line="720" w:lineRule="exact"/>
        <w:jc w:val="center"/>
        <w:rPr>
          <w:rFonts w:ascii="宋体" w:eastAsia="宋体" w:hAnsi="宋体" w:cs="宋体"/>
          <w:b/>
          <w:bCs/>
          <w:sz w:val="36"/>
          <w:szCs w:val="36"/>
        </w:rPr>
      </w:pPr>
    </w:p>
    <w:p w:rsidR="00334CB7" w:rsidRDefault="002D376B">
      <w:pPr>
        <w:spacing w:line="720" w:lineRule="exact"/>
        <w:jc w:val="center"/>
        <w:rPr>
          <w:rFonts w:ascii="宋体" w:eastAsia="宋体" w:hAnsi="宋体" w:cs="宋体"/>
          <w:b/>
          <w:bCs/>
          <w:sz w:val="36"/>
          <w:szCs w:val="36"/>
        </w:rPr>
      </w:pPr>
      <w:r>
        <w:rPr>
          <w:rFonts w:ascii="宋体" w:eastAsia="宋体" w:hAnsi="宋体" w:cs="宋体"/>
          <w:b/>
          <w:bCs/>
          <w:sz w:val="36"/>
          <w:szCs w:val="36"/>
        </w:rPr>
        <w:t>目</w:t>
      </w:r>
      <w:r w:rsidR="0060382D">
        <w:rPr>
          <w:rFonts w:ascii="宋体" w:eastAsia="宋体" w:hAnsi="宋体" w:cs="宋体" w:hint="eastAsia"/>
          <w:b/>
          <w:bCs/>
          <w:sz w:val="36"/>
          <w:szCs w:val="36"/>
        </w:rPr>
        <w:t xml:space="preserve">   </w:t>
      </w:r>
      <w:r>
        <w:rPr>
          <w:rFonts w:ascii="宋体" w:eastAsia="宋体" w:hAnsi="宋体" w:cs="宋体"/>
          <w:b/>
          <w:bCs/>
          <w:sz w:val="36"/>
          <w:szCs w:val="36"/>
        </w:rPr>
        <w:t>录</w:t>
      </w:r>
    </w:p>
    <w:p w:rsidR="0060382D" w:rsidRDefault="0060382D">
      <w:pPr>
        <w:spacing w:line="720" w:lineRule="exact"/>
        <w:jc w:val="center"/>
        <w:rPr>
          <w:rFonts w:ascii="宋体" w:eastAsia="宋体" w:hAnsi="宋体" w:cs="宋体"/>
          <w:b/>
          <w:bCs/>
          <w:sz w:val="36"/>
          <w:szCs w:val="36"/>
        </w:rPr>
      </w:pPr>
    </w:p>
    <w:p w:rsidR="00334CB7" w:rsidRPr="00FA36FF" w:rsidRDefault="002D376B" w:rsidP="00FA36FF">
      <w:pPr>
        <w:pStyle w:val="1"/>
      </w:pPr>
      <w:r>
        <w:fldChar w:fldCharType="begin"/>
      </w:r>
      <w:r>
        <w:instrText xml:space="preserve"> </w:instrText>
      </w:r>
      <w:r>
        <w:rPr>
          <w:rFonts w:ascii="宋体" w:eastAsia="宋体" w:hAnsi="宋体" w:hint="eastAsia"/>
        </w:rPr>
        <w:instrText>TOC \o "1-2" \h \z \u</w:instrText>
      </w:r>
      <w:r>
        <w:instrText xml:space="preserve"> </w:instrText>
      </w:r>
      <w:r>
        <w:fldChar w:fldCharType="separate"/>
      </w:r>
      <w:hyperlink w:anchor="_Toc988889" w:history="1">
        <w:r w:rsidRPr="00FA36FF">
          <w:rPr>
            <w:rFonts w:hint="eastAsia"/>
          </w:rPr>
          <w:t>第一节 重要提示、目录和释义</w:t>
        </w:r>
        <w:r w:rsidRPr="00FA36FF">
          <w:rPr>
            <w:webHidden/>
          </w:rPr>
          <w:tab/>
        </w:r>
        <w:r w:rsidRPr="00FA36FF">
          <w:rPr>
            <w:webHidden/>
          </w:rPr>
          <w:fldChar w:fldCharType="begin"/>
        </w:r>
        <w:r w:rsidRPr="00FA36FF">
          <w:rPr>
            <w:webHidden/>
          </w:rPr>
          <w:instrText xml:space="preserve"> PAGEREF _Toc988889 \h </w:instrText>
        </w:r>
        <w:r w:rsidRPr="00FA36FF">
          <w:rPr>
            <w:webHidden/>
          </w:rPr>
        </w:r>
        <w:r w:rsidRPr="00FA36FF">
          <w:rPr>
            <w:webHidden/>
          </w:rPr>
          <w:fldChar w:fldCharType="separate"/>
        </w:r>
        <w:r w:rsidR="00647797">
          <w:rPr>
            <w:webHidden/>
          </w:rPr>
          <w:t>2</w:t>
        </w:r>
        <w:r w:rsidRPr="00FA36FF">
          <w:rPr>
            <w:webHidden/>
          </w:rPr>
          <w:fldChar w:fldCharType="end"/>
        </w:r>
      </w:hyperlink>
    </w:p>
    <w:p w:rsidR="00334CB7" w:rsidRDefault="000744D5" w:rsidP="00FA36FF">
      <w:pPr>
        <w:pStyle w:val="1"/>
      </w:pPr>
      <w:hyperlink w:anchor="_Toc988890" w:history="1">
        <w:r w:rsidR="002D376B">
          <w:rPr>
            <w:rFonts w:ascii="宋体" w:eastAsia="宋体" w:hAnsi="宋体" w:hint="eastAsia"/>
          </w:rPr>
          <w:t>第二节 公司简介和主要财务指标</w:t>
        </w:r>
        <w:r w:rsidR="002D376B">
          <w:rPr>
            <w:webHidden/>
          </w:rPr>
          <w:tab/>
        </w:r>
        <w:r w:rsidR="002D376B">
          <w:rPr>
            <w:webHidden/>
          </w:rPr>
          <w:fldChar w:fldCharType="begin"/>
        </w:r>
        <w:r w:rsidR="002D376B">
          <w:rPr>
            <w:webHidden/>
          </w:rPr>
          <w:instrText xml:space="preserve"> PAGEREF _Toc988890 \h </w:instrText>
        </w:r>
        <w:r w:rsidR="002D376B">
          <w:rPr>
            <w:webHidden/>
          </w:rPr>
        </w:r>
        <w:r w:rsidR="002D376B">
          <w:rPr>
            <w:webHidden/>
          </w:rPr>
          <w:fldChar w:fldCharType="separate"/>
        </w:r>
        <w:r w:rsidR="00647797">
          <w:rPr>
            <w:webHidden/>
          </w:rPr>
          <w:t>6</w:t>
        </w:r>
        <w:r w:rsidR="002D376B">
          <w:rPr>
            <w:webHidden/>
          </w:rPr>
          <w:fldChar w:fldCharType="end"/>
        </w:r>
      </w:hyperlink>
    </w:p>
    <w:p w:rsidR="00334CB7" w:rsidRDefault="000744D5" w:rsidP="00FA36FF">
      <w:pPr>
        <w:pStyle w:val="1"/>
      </w:pPr>
      <w:hyperlink w:anchor="_Toc988902" w:history="1">
        <w:r w:rsidR="002D376B">
          <w:rPr>
            <w:rFonts w:ascii="宋体" w:eastAsia="宋体" w:hAnsi="宋体" w:hint="eastAsia"/>
          </w:rPr>
          <w:t>第三节 管理层讨论与分析</w:t>
        </w:r>
        <w:r w:rsidR="002D376B">
          <w:rPr>
            <w:webHidden/>
          </w:rPr>
          <w:tab/>
        </w:r>
        <w:r w:rsidR="002D376B">
          <w:rPr>
            <w:webHidden/>
          </w:rPr>
          <w:fldChar w:fldCharType="begin"/>
        </w:r>
        <w:r w:rsidR="002D376B">
          <w:rPr>
            <w:webHidden/>
          </w:rPr>
          <w:instrText xml:space="preserve"> PAGEREF _Toc988902 \h </w:instrText>
        </w:r>
        <w:r w:rsidR="002D376B">
          <w:rPr>
            <w:webHidden/>
          </w:rPr>
        </w:r>
        <w:r w:rsidR="002D376B">
          <w:rPr>
            <w:webHidden/>
          </w:rPr>
          <w:fldChar w:fldCharType="separate"/>
        </w:r>
        <w:r w:rsidR="00647797">
          <w:rPr>
            <w:webHidden/>
          </w:rPr>
          <w:t>9</w:t>
        </w:r>
        <w:r w:rsidR="002D376B">
          <w:rPr>
            <w:webHidden/>
          </w:rPr>
          <w:fldChar w:fldCharType="end"/>
        </w:r>
      </w:hyperlink>
    </w:p>
    <w:p w:rsidR="00334CB7" w:rsidRDefault="000744D5" w:rsidP="00FA36FF">
      <w:pPr>
        <w:pStyle w:val="1"/>
      </w:pPr>
      <w:hyperlink w:anchor="_Toc988929" w:history="1">
        <w:r w:rsidR="002D376B">
          <w:rPr>
            <w:rFonts w:ascii="宋体" w:eastAsia="宋体" w:hAnsi="宋体" w:hint="eastAsia"/>
          </w:rPr>
          <w:t>第四节 公司治理</w:t>
        </w:r>
        <w:r w:rsidR="002D376B">
          <w:rPr>
            <w:webHidden/>
          </w:rPr>
          <w:tab/>
        </w:r>
        <w:r w:rsidR="002D376B">
          <w:rPr>
            <w:webHidden/>
          </w:rPr>
          <w:fldChar w:fldCharType="begin"/>
        </w:r>
        <w:r w:rsidR="002D376B">
          <w:rPr>
            <w:webHidden/>
          </w:rPr>
          <w:instrText xml:space="preserve"> PAGEREF _Toc988929 \h </w:instrText>
        </w:r>
        <w:r w:rsidR="002D376B">
          <w:rPr>
            <w:webHidden/>
          </w:rPr>
        </w:r>
        <w:r w:rsidR="002D376B">
          <w:rPr>
            <w:webHidden/>
          </w:rPr>
          <w:fldChar w:fldCharType="separate"/>
        </w:r>
        <w:r w:rsidR="00647797">
          <w:rPr>
            <w:webHidden/>
          </w:rPr>
          <w:t>23</w:t>
        </w:r>
        <w:r w:rsidR="002D376B">
          <w:rPr>
            <w:webHidden/>
          </w:rPr>
          <w:fldChar w:fldCharType="end"/>
        </w:r>
      </w:hyperlink>
    </w:p>
    <w:p w:rsidR="00334CB7" w:rsidRPr="00FA36FF" w:rsidRDefault="000744D5" w:rsidP="00FA36FF">
      <w:pPr>
        <w:pStyle w:val="1"/>
      </w:pPr>
      <w:hyperlink w:anchor="_Toc988936" w:history="1">
        <w:r w:rsidR="002D376B">
          <w:rPr>
            <w:rFonts w:ascii="宋体" w:eastAsia="宋体" w:hAnsi="宋体" w:hint="eastAsia"/>
          </w:rPr>
          <w:t>第五节 环境和社会责任</w:t>
        </w:r>
        <w:r w:rsidR="002D376B">
          <w:rPr>
            <w:webHidden/>
          </w:rPr>
          <w:tab/>
        </w:r>
        <w:r w:rsidR="002D376B">
          <w:rPr>
            <w:webHidden/>
          </w:rPr>
          <w:fldChar w:fldCharType="begin"/>
        </w:r>
        <w:r w:rsidR="002D376B">
          <w:rPr>
            <w:webHidden/>
          </w:rPr>
          <w:instrText xml:space="preserve"> PAGEREF _Toc988936 \h </w:instrText>
        </w:r>
        <w:r w:rsidR="002D376B">
          <w:rPr>
            <w:webHidden/>
          </w:rPr>
        </w:r>
        <w:r w:rsidR="002D376B">
          <w:rPr>
            <w:webHidden/>
          </w:rPr>
          <w:fldChar w:fldCharType="separate"/>
        </w:r>
        <w:r w:rsidR="00647797">
          <w:rPr>
            <w:webHidden/>
          </w:rPr>
          <w:t>25</w:t>
        </w:r>
        <w:r w:rsidR="002D376B">
          <w:rPr>
            <w:webHidden/>
          </w:rPr>
          <w:fldChar w:fldCharType="end"/>
        </w:r>
      </w:hyperlink>
    </w:p>
    <w:p w:rsidR="00334CB7" w:rsidRDefault="000744D5" w:rsidP="00FA36FF">
      <w:pPr>
        <w:pStyle w:val="1"/>
      </w:pPr>
      <w:hyperlink w:anchor="_Toc988939" w:history="1">
        <w:r w:rsidR="002D376B">
          <w:rPr>
            <w:rFonts w:ascii="宋体" w:eastAsia="宋体" w:hAnsi="宋体" w:hint="eastAsia"/>
          </w:rPr>
          <w:t>第六节 重要事项</w:t>
        </w:r>
        <w:r w:rsidR="002D376B">
          <w:rPr>
            <w:webHidden/>
          </w:rPr>
          <w:tab/>
        </w:r>
        <w:r w:rsidR="002D376B">
          <w:rPr>
            <w:webHidden/>
          </w:rPr>
          <w:fldChar w:fldCharType="begin"/>
        </w:r>
        <w:r w:rsidR="002D376B">
          <w:rPr>
            <w:webHidden/>
          </w:rPr>
          <w:instrText xml:space="preserve"> PAGEREF _Toc988939 \h </w:instrText>
        </w:r>
        <w:r w:rsidR="002D376B">
          <w:rPr>
            <w:webHidden/>
          </w:rPr>
        </w:r>
        <w:r w:rsidR="002D376B">
          <w:rPr>
            <w:webHidden/>
          </w:rPr>
          <w:fldChar w:fldCharType="separate"/>
        </w:r>
        <w:r w:rsidR="00647797">
          <w:rPr>
            <w:webHidden/>
          </w:rPr>
          <w:t>29</w:t>
        </w:r>
        <w:r w:rsidR="002D376B">
          <w:rPr>
            <w:webHidden/>
          </w:rPr>
          <w:fldChar w:fldCharType="end"/>
        </w:r>
      </w:hyperlink>
    </w:p>
    <w:p w:rsidR="00334CB7" w:rsidRDefault="000744D5" w:rsidP="00FA36FF">
      <w:pPr>
        <w:pStyle w:val="1"/>
      </w:pPr>
      <w:hyperlink w:anchor="_Toc988968" w:history="1">
        <w:r w:rsidR="002D376B">
          <w:rPr>
            <w:rFonts w:ascii="宋体" w:eastAsia="宋体" w:hAnsi="宋体" w:hint="eastAsia"/>
          </w:rPr>
          <w:t>第七节 股份变动及股东情况</w:t>
        </w:r>
        <w:r w:rsidR="002D376B">
          <w:rPr>
            <w:webHidden/>
          </w:rPr>
          <w:tab/>
        </w:r>
        <w:r w:rsidR="002D376B">
          <w:rPr>
            <w:webHidden/>
          </w:rPr>
          <w:fldChar w:fldCharType="begin"/>
        </w:r>
        <w:r w:rsidR="002D376B">
          <w:rPr>
            <w:webHidden/>
          </w:rPr>
          <w:instrText xml:space="preserve"> PAGEREF _Toc988968 \h </w:instrText>
        </w:r>
        <w:r w:rsidR="002D376B">
          <w:rPr>
            <w:webHidden/>
          </w:rPr>
        </w:r>
        <w:r w:rsidR="002D376B">
          <w:rPr>
            <w:webHidden/>
          </w:rPr>
          <w:fldChar w:fldCharType="separate"/>
        </w:r>
        <w:r w:rsidR="00647797">
          <w:rPr>
            <w:webHidden/>
          </w:rPr>
          <w:t>36</w:t>
        </w:r>
        <w:r w:rsidR="002D376B">
          <w:rPr>
            <w:webHidden/>
          </w:rPr>
          <w:fldChar w:fldCharType="end"/>
        </w:r>
      </w:hyperlink>
    </w:p>
    <w:p w:rsidR="00334CB7" w:rsidRDefault="000744D5" w:rsidP="00FA36FF">
      <w:pPr>
        <w:pStyle w:val="1"/>
      </w:pPr>
      <w:hyperlink w:anchor="_Toc988976" w:history="1">
        <w:r w:rsidR="002D376B">
          <w:rPr>
            <w:rFonts w:ascii="宋体" w:eastAsia="宋体" w:hAnsi="宋体" w:hint="eastAsia"/>
          </w:rPr>
          <w:t>第八节 优先股相关情况</w:t>
        </w:r>
        <w:r w:rsidR="002D376B">
          <w:rPr>
            <w:webHidden/>
          </w:rPr>
          <w:tab/>
        </w:r>
        <w:r w:rsidR="002D376B">
          <w:rPr>
            <w:webHidden/>
          </w:rPr>
          <w:fldChar w:fldCharType="begin"/>
        </w:r>
        <w:r w:rsidR="002D376B">
          <w:rPr>
            <w:webHidden/>
          </w:rPr>
          <w:instrText xml:space="preserve"> PAGEREF _Toc988976 \h </w:instrText>
        </w:r>
        <w:r w:rsidR="002D376B">
          <w:rPr>
            <w:webHidden/>
          </w:rPr>
        </w:r>
        <w:r w:rsidR="002D376B">
          <w:rPr>
            <w:webHidden/>
          </w:rPr>
          <w:fldChar w:fldCharType="separate"/>
        </w:r>
        <w:r w:rsidR="00647797">
          <w:rPr>
            <w:webHidden/>
          </w:rPr>
          <w:t>40</w:t>
        </w:r>
        <w:r w:rsidR="002D376B">
          <w:rPr>
            <w:webHidden/>
          </w:rPr>
          <w:fldChar w:fldCharType="end"/>
        </w:r>
      </w:hyperlink>
    </w:p>
    <w:p w:rsidR="00334CB7" w:rsidRDefault="000744D5" w:rsidP="00FA36FF">
      <w:pPr>
        <w:pStyle w:val="1"/>
      </w:pPr>
      <w:hyperlink w:anchor="_Toc988977" w:history="1">
        <w:r w:rsidR="002D376B">
          <w:rPr>
            <w:rFonts w:ascii="宋体" w:eastAsia="宋体" w:hAnsi="宋体" w:hint="eastAsia"/>
          </w:rPr>
          <w:t>第九节 债券相关情况</w:t>
        </w:r>
        <w:r w:rsidR="002D376B">
          <w:rPr>
            <w:webHidden/>
          </w:rPr>
          <w:tab/>
        </w:r>
        <w:r w:rsidR="002D376B">
          <w:rPr>
            <w:webHidden/>
          </w:rPr>
          <w:fldChar w:fldCharType="begin"/>
        </w:r>
        <w:r w:rsidR="002D376B">
          <w:rPr>
            <w:webHidden/>
          </w:rPr>
          <w:instrText xml:space="preserve"> PAGEREF _Toc988977 \h </w:instrText>
        </w:r>
        <w:r w:rsidR="002D376B">
          <w:rPr>
            <w:webHidden/>
          </w:rPr>
        </w:r>
        <w:r w:rsidR="002D376B">
          <w:rPr>
            <w:webHidden/>
          </w:rPr>
          <w:fldChar w:fldCharType="separate"/>
        </w:r>
        <w:r w:rsidR="00647797">
          <w:rPr>
            <w:webHidden/>
          </w:rPr>
          <w:t>41</w:t>
        </w:r>
        <w:r w:rsidR="002D376B">
          <w:rPr>
            <w:webHidden/>
          </w:rPr>
          <w:fldChar w:fldCharType="end"/>
        </w:r>
      </w:hyperlink>
    </w:p>
    <w:p w:rsidR="00334CB7" w:rsidRDefault="000744D5" w:rsidP="00FA36FF">
      <w:pPr>
        <w:pStyle w:val="1"/>
      </w:pPr>
      <w:hyperlink w:anchor="_Toc988978" w:history="1">
        <w:r w:rsidR="002D376B">
          <w:rPr>
            <w:rFonts w:ascii="宋体" w:eastAsia="宋体" w:hAnsi="宋体" w:hint="eastAsia"/>
          </w:rPr>
          <w:t>第十节 财务报告</w:t>
        </w:r>
        <w:r w:rsidR="002D376B">
          <w:rPr>
            <w:webHidden/>
          </w:rPr>
          <w:tab/>
        </w:r>
        <w:r w:rsidR="002D376B">
          <w:rPr>
            <w:webHidden/>
          </w:rPr>
          <w:fldChar w:fldCharType="begin"/>
        </w:r>
        <w:r w:rsidR="002D376B">
          <w:rPr>
            <w:webHidden/>
          </w:rPr>
          <w:instrText xml:space="preserve"> PAGEREF _Toc988978 \h </w:instrText>
        </w:r>
        <w:r w:rsidR="002D376B">
          <w:rPr>
            <w:webHidden/>
          </w:rPr>
        </w:r>
        <w:r w:rsidR="002D376B">
          <w:rPr>
            <w:webHidden/>
          </w:rPr>
          <w:fldChar w:fldCharType="separate"/>
        </w:r>
        <w:r w:rsidR="00647797">
          <w:rPr>
            <w:webHidden/>
          </w:rPr>
          <w:t>42</w:t>
        </w:r>
        <w:r w:rsidR="002D376B">
          <w:rPr>
            <w:webHidden/>
          </w:rPr>
          <w:fldChar w:fldCharType="end"/>
        </w:r>
      </w:hyperlink>
      <w:r w:rsidR="002D376B">
        <w:fldChar w:fldCharType="end"/>
      </w:r>
    </w:p>
    <w:p w:rsidR="00334CB7" w:rsidRDefault="002D376B">
      <w:r>
        <w:br w:type="page"/>
      </w:r>
    </w:p>
    <w:p w:rsidR="00334CB7" w:rsidRDefault="002D376B">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C1183B" w:rsidRDefault="002D376B">
      <w:pPr>
        <w:pStyle w:val="a3"/>
        <w:spacing w:line="560" w:lineRule="atLeast"/>
        <w:divId w:val="338582775"/>
        <w:rPr>
          <w:sz w:val="18"/>
          <w:szCs w:val="18"/>
        </w:rPr>
      </w:pPr>
      <w:r>
        <w:rPr>
          <w:rFonts w:hint="eastAsia"/>
          <w:sz w:val="18"/>
          <w:szCs w:val="18"/>
        </w:rPr>
        <w:t>（一）载有公司负责人、主管会计工作负责人、会计主管人员签名并盖章的财务报表。</w:t>
      </w:r>
    </w:p>
    <w:p w:rsidR="00C1183B" w:rsidRDefault="002D376B">
      <w:pPr>
        <w:pStyle w:val="a3"/>
        <w:spacing w:line="560" w:lineRule="atLeast"/>
        <w:divId w:val="338582775"/>
        <w:rPr>
          <w:sz w:val="18"/>
          <w:szCs w:val="18"/>
        </w:rPr>
      </w:pPr>
      <w:r>
        <w:rPr>
          <w:rFonts w:hint="eastAsia"/>
          <w:sz w:val="18"/>
          <w:szCs w:val="18"/>
        </w:rPr>
        <w:t>（二）报告期内公开披露过的所有公司文件的正本及公告的原稿。</w:t>
      </w:r>
    </w:p>
    <w:p w:rsidR="00C1183B" w:rsidRDefault="002D376B">
      <w:pPr>
        <w:pStyle w:val="a3"/>
        <w:spacing w:line="560" w:lineRule="atLeast"/>
        <w:divId w:val="338582775"/>
        <w:rPr>
          <w:sz w:val="18"/>
          <w:szCs w:val="18"/>
        </w:rPr>
      </w:pPr>
      <w:r>
        <w:rPr>
          <w:rFonts w:hint="eastAsia"/>
          <w:sz w:val="18"/>
          <w:szCs w:val="18"/>
        </w:rPr>
        <w:t>（三）载有公司法定代表人签名并盖章的半年度报告。</w:t>
      </w:r>
    </w:p>
    <w:p w:rsidR="00334CB7" w:rsidRDefault="002D376B">
      <w:r>
        <w:br w:type="page"/>
      </w:r>
    </w:p>
    <w:p w:rsidR="00334CB7" w:rsidRDefault="002D376B">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w:t>
      </w:r>
      <w:r w:rsidR="00B127A2">
        <w:rPr>
          <w:rFonts w:ascii="宋体" w:eastAsia="宋体" w:hAnsi="宋体" w:cs="宋体" w:hint="eastAsia"/>
          <w:b/>
          <w:bCs/>
          <w:sz w:val="32"/>
          <w:szCs w:val="32"/>
        </w:rPr>
        <w:t xml:space="preserve">  </w:t>
      </w:r>
      <w:r>
        <w:rPr>
          <w:rFonts w:ascii="宋体" w:eastAsia="宋体" w:hAnsi="宋体" w:cs="宋体"/>
          <w:b/>
          <w:bCs/>
          <w:sz w:val="32"/>
          <w:szCs w:val="32"/>
        </w:rPr>
        <w:t>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319"/>
        <w:gridCol w:w="1000"/>
        <w:gridCol w:w="4320"/>
      </w:tblGrid>
      <w:tr w:rsidR="00334CB7">
        <w:trPr>
          <w:trHeight w:val="240"/>
        </w:trPr>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释义项</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释义内容</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中国证监会、证监会</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中国证券监督管理委员会</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深交所</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深圳证券交易所</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公司、本公司、华西股份</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江苏华西村股份有限公司</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控股股东、华西集团</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江苏华西集团有限公司</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化纤厂</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江苏华西村股份有限公司特种化纤厂，为本公司下属分厂</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华西码头</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江阴华西化工码头有限公司，为本公司全资子公司</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一村资本</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一村资本有限公司，为本公司参股公司，截至报告期末，公司持有其40.92%的股权</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联储证券</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联储证券股份有限公司，为本公司参股公司，截至报告期末，公司持有其11.73%的股权</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华泰证券</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华泰证券股份有限公司，为本公司参股公司，截至报告期末，公司持有其1,000万股股票</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江苏银行</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江苏银行股份有限公司，为本公司参股公司，截至报告期末，公司持有其1,452.888万股股票</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华西财务</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江苏华西集团财务有限公司，为本公司参股公司，截至报告期末，公司持有其10%的股权</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r>
              <w:rPr>
                <w:rFonts w:ascii="宋体" w:eastAsia="宋体" w:hAnsi="宋体" w:cs="宋体"/>
                <w:sz w:val="18"/>
                <w:szCs w:val="18"/>
              </w:rPr>
              <w:t>企业管理咨询合伙企业（有限合伙），为公司控制的合伙企业，公司向上海启</w:t>
            </w:r>
            <w:proofErr w:type="gramStart"/>
            <w:r>
              <w:rPr>
                <w:rFonts w:ascii="宋体" w:eastAsia="宋体" w:hAnsi="宋体" w:cs="宋体"/>
                <w:sz w:val="18"/>
                <w:szCs w:val="18"/>
              </w:rPr>
              <w:t>澜</w:t>
            </w:r>
            <w:proofErr w:type="gramEnd"/>
            <w:r>
              <w:rPr>
                <w:rFonts w:ascii="宋体" w:eastAsia="宋体" w:hAnsi="宋体" w:cs="宋体"/>
                <w:sz w:val="18"/>
                <w:szCs w:val="18"/>
              </w:rPr>
              <w:t>实缴出资人民币96,250</w:t>
            </w:r>
            <w:r w:rsidR="00FA36FF">
              <w:rPr>
                <w:rFonts w:ascii="宋体" w:eastAsia="宋体" w:hAnsi="宋体" w:cs="宋体"/>
                <w:sz w:val="18"/>
                <w:szCs w:val="18"/>
              </w:rPr>
              <w:t>万元</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索尔思光电</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jc w:val="both"/>
              <w:rPr>
                <w:rFonts w:ascii="宋体" w:eastAsia="宋体" w:hAnsi="宋体" w:cs="宋体"/>
                <w:sz w:val="18"/>
                <w:szCs w:val="18"/>
              </w:rPr>
            </w:pPr>
            <w:r>
              <w:rPr>
                <w:rFonts w:ascii="宋体" w:eastAsia="宋体" w:hAnsi="宋体" w:cs="宋体"/>
                <w:sz w:val="18"/>
                <w:szCs w:val="18"/>
              </w:rPr>
              <w:t>Source  Photonics Holdings (Cayman) Limited，为本公司参股公司，截至报告期末，公司通过上海启澜持有其6,549.65</w:t>
            </w:r>
            <w:r w:rsidR="00FA36FF">
              <w:rPr>
                <w:rFonts w:ascii="宋体" w:eastAsia="宋体" w:hAnsi="宋体" w:cs="宋体"/>
                <w:sz w:val="18"/>
                <w:szCs w:val="18"/>
              </w:rPr>
              <w:t>万股股份</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PTA</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精对苯二甲酸</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MEG</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乙二醇</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报告期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2024年1月1日至2024年6月30日</w:t>
            </w:r>
          </w:p>
        </w:tc>
      </w:tr>
      <w:tr w:rsidR="007D0B78">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D0B78" w:rsidRDefault="007D0B78" w:rsidP="00B127A2">
            <w:pPr>
              <w:spacing w:line="336" w:lineRule="auto"/>
              <w:rPr>
                <w:rFonts w:ascii="宋体" w:eastAsia="宋体" w:hAnsi="宋体" w:cs="宋体"/>
                <w:sz w:val="18"/>
                <w:szCs w:val="18"/>
              </w:rPr>
            </w:pPr>
            <w:r>
              <w:rPr>
                <w:rFonts w:ascii="宋体" w:eastAsia="宋体" w:hAnsi="宋体" w:cs="宋体"/>
                <w:sz w:val="18"/>
                <w:szCs w:val="18"/>
              </w:rPr>
              <w:t>上年同期</w:t>
            </w:r>
            <w:r w:rsidR="00E56509">
              <w:rPr>
                <w:rFonts w:ascii="宋体" w:eastAsia="宋体" w:hAnsi="宋体" w:cs="宋体"/>
                <w:sz w:val="18"/>
                <w:szCs w:val="18"/>
              </w:rPr>
              <w:t>，上期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D0B78" w:rsidRDefault="00E56509"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D0B78" w:rsidRDefault="007D0B78" w:rsidP="00B127A2">
            <w:pPr>
              <w:spacing w:line="336" w:lineRule="auto"/>
              <w:rPr>
                <w:rFonts w:ascii="宋体" w:eastAsia="宋体" w:hAnsi="宋体" w:cs="宋体"/>
                <w:sz w:val="18"/>
                <w:szCs w:val="18"/>
              </w:rPr>
            </w:pPr>
            <w:r>
              <w:rPr>
                <w:rFonts w:ascii="宋体" w:eastAsia="宋体" w:hAnsi="宋体" w:cs="宋体" w:hint="eastAsia"/>
                <w:sz w:val="18"/>
                <w:szCs w:val="18"/>
              </w:rPr>
              <w:t>2023年1月1日至2023年6月30日</w:t>
            </w:r>
          </w:p>
        </w:tc>
      </w:tr>
      <w:tr w:rsidR="00334CB7">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元、万元</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B127A2">
            <w:pPr>
              <w:spacing w:before="40" w:after="40" w:line="336" w:lineRule="auto"/>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334CB7" w:rsidRDefault="002D376B" w:rsidP="00B127A2">
            <w:pPr>
              <w:spacing w:line="336" w:lineRule="auto"/>
              <w:rPr>
                <w:rFonts w:ascii="宋体" w:eastAsia="宋体" w:hAnsi="宋体" w:cs="宋体"/>
                <w:sz w:val="18"/>
                <w:szCs w:val="18"/>
              </w:rPr>
            </w:pPr>
            <w:r>
              <w:rPr>
                <w:rFonts w:ascii="宋体" w:eastAsia="宋体" w:hAnsi="宋体" w:cs="宋体"/>
                <w:sz w:val="18"/>
                <w:szCs w:val="18"/>
              </w:rPr>
              <w:t>人民币元、万元</w:t>
            </w:r>
          </w:p>
        </w:tc>
      </w:tr>
    </w:tbl>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334CB7" w:rsidRDefault="002D376B">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000936</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公司的中文简称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华西股份</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公司的外文名称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JIANGSU  HUAXICUN CO.,LTD.</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吴协恩</w:t>
            </w:r>
          </w:p>
        </w:tc>
      </w:tr>
    </w:tbl>
    <w:p w:rsidR="00334CB7" w:rsidRDefault="002D376B">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6426"/>
      </w:tblGrid>
      <w:tr w:rsidR="0060382D" w:rsidTr="00FA36F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0382D" w:rsidRDefault="0060382D"/>
        </w:tc>
        <w:tc>
          <w:tcPr>
            <w:tcW w:w="6426" w:type="dxa"/>
            <w:tcBorders>
              <w:top w:val="single" w:sz="2" w:space="0" w:color="auto"/>
              <w:left w:val="single" w:sz="2" w:space="0" w:color="auto"/>
              <w:bottom w:val="single" w:sz="2" w:space="0" w:color="auto"/>
              <w:right w:val="single" w:sz="2" w:space="0" w:color="auto"/>
            </w:tcBorders>
            <w:shd w:val="clear" w:color="auto" w:fill="D3D3D3"/>
            <w:vAlign w:val="center"/>
          </w:tcPr>
          <w:p w:rsidR="0060382D" w:rsidRDefault="0060382D">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r>
      <w:tr w:rsidR="0060382D" w:rsidTr="00FA36F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0382D" w:rsidRDefault="0060382D">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6426" w:type="dxa"/>
            <w:tcBorders>
              <w:top w:val="single" w:sz="2" w:space="0" w:color="auto"/>
              <w:left w:val="single" w:sz="2" w:space="0" w:color="auto"/>
              <w:bottom w:val="single" w:sz="2" w:space="0" w:color="auto"/>
              <w:right w:val="single" w:sz="2" w:space="0" w:color="auto"/>
            </w:tcBorders>
            <w:vAlign w:val="center"/>
          </w:tcPr>
          <w:p w:rsidR="0060382D" w:rsidRDefault="0060382D">
            <w:pPr>
              <w:spacing w:line="240" w:lineRule="exact"/>
              <w:rPr>
                <w:rFonts w:ascii="宋体" w:eastAsia="宋体" w:hAnsi="宋体" w:cs="宋体"/>
                <w:sz w:val="18"/>
                <w:szCs w:val="18"/>
              </w:rPr>
            </w:pPr>
            <w:r>
              <w:rPr>
                <w:rFonts w:ascii="宋体" w:eastAsia="宋体" w:hAnsi="宋体" w:cs="宋体"/>
                <w:sz w:val="18"/>
                <w:szCs w:val="18"/>
              </w:rPr>
              <w:t>王学良</w:t>
            </w:r>
          </w:p>
        </w:tc>
      </w:tr>
      <w:tr w:rsidR="0060382D" w:rsidTr="00FA36F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0382D" w:rsidRDefault="0060382D">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6426" w:type="dxa"/>
            <w:tcBorders>
              <w:top w:val="single" w:sz="2" w:space="0" w:color="auto"/>
              <w:left w:val="single" w:sz="2" w:space="0" w:color="auto"/>
              <w:bottom w:val="single" w:sz="2" w:space="0" w:color="auto"/>
              <w:right w:val="single" w:sz="2" w:space="0" w:color="auto"/>
            </w:tcBorders>
            <w:vAlign w:val="center"/>
          </w:tcPr>
          <w:p w:rsidR="0060382D" w:rsidRDefault="0060382D">
            <w:pPr>
              <w:spacing w:line="240" w:lineRule="exact"/>
              <w:rPr>
                <w:rFonts w:ascii="宋体" w:eastAsia="宋体" w:hAnsi="宋体" w:cs="宋体"/>
                <w:sz w:val="18"/>
                <w:szCs w:val="18"/>
              </w:rPr>
            </w:pPr>
            <w:r>
              <w:rPr>
                <w:rFonts w:ascii="宋体" w:eastAsia="宋体" w:hAnsi="宋体" w:cs="宋体"/>
                <w:sz w:val="18"/>
                <w:szCs w:val="18"/>
              </w:rPr>
              <w:t>江苏省江阴市华士镇华西工业园泾浜路88号</w:t>
            </w:r>
          </w:p>
        </w:tc>
      </w:tr>
      <w:tr w:rsidR="0060382D" w:rsidTr="00FA36F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0382D" w:rsidRDefault="0060382D">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6426" w:type="dxa"/>
            <w:tcBorders>
              <w:top w:val="single" w:sz="2" w:space="0" w:color="auto"/>
              <w:left w:val="single" w:sz="2" w:space="0" w:color="auto"/>
              <w:bottom w:val="single" w:sz="2" w:space="0" w:color="auto"/>
              <w:right w:val="single" w:sz="2" w:space="0" w:color="auto"/>
            </w:tcBorders>
            <w:vAlign w:val="center"/>
          </w:tcPr>
          <w:p w:rsidR="0060382D" w:rsidRDefault="0060382D">
            <w:pPr>
              <w:spacing w:line="240" w:lineRule="exact"/>
              <w:rPr>
                <w:rFonts w:ascii="宋体" w:eastAsia="宋体" w:hAnsi="宋体" w:cs="宋体"/>
                <w:sz w:val="18"/>
                <w:szCs w:val="18"/>
              </w:rPr>
            </w:pPr>
            <w:r>
              <w:rPr>
                <w:rFonts w:ascii="宋体" w:eastAsia="宋体" w:hAnsi="宋体" w:cs="宋体"/>
                <w:sz w:val="18"/>
                <w:szCs w:val="18"/>
              </w:rPr>
              <w:t>0510-86217188</w:t>
            </w:r>
          </w:p>
        </w:tc>
      </w:tr>
      <w:tr w:rsidR="0060382D" w:rsidTr="00FA36F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0382D" w:rsidRDefault="0060382D">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6426" w:type="dxa"/>
            <w:tcBorders>
              <w:top w:val="single" w:sz="2" w:space="0" w:color="auto"/>
              <w:left w:val="single" w:sz="2" w:space="0" w:color="auto"/>
              <w:bottom w:val="single" w:sz="2" w:space="0" w:color="auto"/>
              <w:right w:val="single" w:sz="2" w:space="0" w:color="auto"/>
            </w:tcBorders>
            <w:vAlign w:val="center"/>
          </w:tcPr>
          <w:p w:rsidR="0060382D" w:rsidRDefault="0060382D">
            <w:pPr>
              <w:spacing w:line="240" w:lineRule="exact"/>
              <w:rPr>
                <w:rFonts w:ascii="宋体" w:eastAsia="宋体" w:hAnsi="宋体" w:cs="宋体"/>
                <w:sz w:val="18"/>
                <w:szCs w:val="18"/>
              </w:rPr>
            </w:pPr>
            <w:r>
              <w:rPr>
                <w:rFonts w:ascii="宋体" w:eastAsia="宋体" w:hAnsi="宋体" w:cs="宋体"/>
                <w:sz w:val="18"/>
                <w:szCs w:val="18"/>
              </w:rPr>
              <w:t>0510-86217177</w:t>
            </w:r>
          </w:p>
        </w:tc>
      </w:tr>
      <w:tr w:rsidR="0060382D" w:rsidTr="00FA36F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0382D" w:rsidRDefault="0060382D">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6426" w:type="dxa"/>
            <w:tcBorders>
              <w:top w:val="single" w:sz="2" w:space="0" w:color="auto"/>
              <w:left w:val="single" w:sz="2" w:space="0" w:color="auto"/>
              <w:bottom w:val="single" w:sz="2" w:space="0" w:color="auto"/>
              <w:right w:val="single" w:sz="2" w:space="0" w:color="auto"/>
            </w:tcBorders>
            <w:vAlign w:val="center"/>
          </w:tcPr>
          <w:p w:rsidR="0060382D" w:rsidRDefault="0060382D">
            <w:pPr>
              <w:spacing w:line="240" w:lineRule="exact"/>
              <w:rPr>
                <w:rFonts w:ascii="宋体" w:eastAsia="宋体" w:hAnsi="宋体" w:cs="宋体"/>
                <w:sz w:val="18"/>
                <w:szCs w:val="18"/>
              </w:rPr>
            </w:pPr>
            <w:r>
              <w:rPr>
                <w:rFonts w:ascii="宋体" w:eastAsia="宋体" w:hAnsi="宋体" w:cs="宋体"/>
                <w:sz w:val="18"/>
                <w:szCs w:val="18"/>
              </w:rPr>
              <w:t>wangxl@cnhuaxicun.com</w:t>
            </w:r>
          </w:p>
        </w:tc>
      </w:tr>
    </w:tbl>
    <w:p w:rsidR="00334CB7" w:rsidRDefault="002D376B">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三、其他情况</w:t>
      </w:r>
      <w:bookmarkEnd w:id="4"/>
    </w:p>
    <w:p w:rsidR="00334CB7" w:rsidRDefault="002D376B">
      <w:pPr>
        <w:pStyle w:val="3"/>
        <w:spacing w:line="280" w:lineRule="exact"/>
        <w:jc w:val="left"/>
        <w:rPr>
          <w:rFonts w:ascii="宋体" w:hAnsi="宋体" w:cs="宋体"/>
          <w:b/>
          <w:bCs/>
        </w:rPr>
      </w:pPr>
      <w:bookmarkStart w:id="5" w:name="_Toc988894"/>
      <w:r>
        <w:rPr>
          <w:rFonts w:ascii="宋体" w:hAnsi="宋体" w:cs="宋体"/>
          <w:b/>
          <w:bCs/>
        </w:rPr>
        <w:t>1、公司联系方式</w:t>
      </w:r>
      <w:bookmarkEnd w:id="5"/>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公司注册地址、公司办公地址及其邮政编码、公司网址、电子信箱等在报告期是否变化</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公司注册地址</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江苏省江阴市华士镇华西村</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公司注册地址的邮政编码</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214420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公司办公地址</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江苏省江阴市华士镇华西工业园泾浜路88号</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公司办公地址的邮政编码</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214420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公司网址</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http://www.jshuaxicun.com</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公司电子信箱</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hxgf@cnhuaxicun.com</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临时公告披露的指定网站查询日期</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2024年01月30日</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临时公告披露的指定网站查询索引</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《关于变更办公地址的公告》（公告编号：2024-002），刊登于巨潮资讯网（http://www.cninfo.com.cn）。</w:t>
            </w:r>
          </w:p>
        </w:tc>
      </w:tr>
    </w:tbl>
    <w:p w:rsidR="00334CB7" w:rsidRDefault="002D376B">
      <w:pPr>
        <w:pStyle w:val="3"/>
        <w:spacing w:line="280" w:lineRule="exact"/>
        <w:jc w:val="left"/>
        <w:rPr>
          <w:rFonts w:ascii="宋体" w:hAnsi="宋体" w:cs="宋体"/>
          <w:b/>
          <w:bCs/>
        </w:rPr>
      </w:pPr>
      <w:bookmarkStart w:id="6" w:name="_Toc988895"/>
      <w:r>
        <w:rPr>
          <w:rFonts w:ascii="宋体" w:hAnsi="宋体" w:cs="宋体"/>
          <w:b/>
          <w:bCs/>
        </w:rPr>
        <w:t>2、信息披露及备置地点</w:t>
      </w:r>
      <w:bookmarkEnd w:id="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信息披露及备置地点在报告期是否变化</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公司披露半年度报告的证券交易所网站和媒体名称及网址，公司半年度报告备置地在报告期无变化，具体可参见2023年年报。</w:t>
      </w:r>
    </w:p>
    <w:p w:rsidR="00334CB7" w:rsidRDefault="002D376B">
      <w:pPr>
        <w:pStyle w:val="3"/>
        <w:spacing w:line="280" w:lineRule="exact"/>
        <w:jc w:val="left"/>
        <w:rPr>
          <w:rFonts w:ascii="宋体" w:hAnsi="宋体" w:cs="宋体"/>
          <w:b/>
          <w:bCs/>
        </w:rPr>
      </w:pPr>
      <w:bookmarkStart w:id="7" w:name="_Toc988896"/>
      <w:r>
        <w:rPr>
          <w:rFonts w:ascii="宋体" w:hAnsi="宋体" w:cs="宋体"/>
          <w:b/>
          <w:bCs/>
        </w:rPr>
        <w:lastRenderedPageBreak/>
        <w:t>3、其他有关资料</w:t>
      </w:r>
      <w:bookmarkEnd w:id="7"/>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其他有关资料在报告期是否变更情况</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四、主要会计数据和财务指标</w:t>
      </w:r>
      <w:bookmarkEnd w:id="8"/>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16.56%</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78.86%</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79,315,393.53</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42,330,666.42</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87.37%</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15,448,105.88</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194.07%</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0.87%</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60382D">
            <w:pPr>
              <w:spacing w:line="240" w:lineRule="exact"/>
              <w:jc w:val="right"/>
              <w:rPr>
                <w:rFonts w:ascii="宋体" w:eastAsia="宋体" w:hAnsi="宋体" w:cs="宋体"/>
                <w:sz w:val="18"/>
                <w:szCs w:val="18"/>
              </w:rPr>
            </w:pPr>
            <w:r>
              <w:rPr>
                <w:rFonts w:ascii="宋体" w:eastAsia="宋体" w:hAnsi="宋体" w:cs="宋体"/>
                <w:sz w:val="18"/>
                <w:szCs w:val="18"/>
              </w:rPr>
              <w:t>增加了</w:t>
            </w:r>
            <w:r>
              <w:rPr>
                <w:rFonts w:ascii="宋体" w:eastAsia="宋体" w:hAnsi="宋体" w:cs="宋体" w:hint="eastAsia"/>
                <w:sz w:val="18"/>
                <w:szCs w:val="18"/>
              </w:rPr>
              <w:t>0.67个百分点</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6,586,762,890.93</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2.02%</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5,174,879,168.00</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1.16%</w:t>
            </w:r>
          </w:p>
        </w:tc>
      </w:tr>
    </w:tbl>
    <w:p w:rsidR="00334CB7" w:rsidRDefault="002D376B">
      <w:pPr>
        <w:pStyle w:val="2"/>
        <w:spacing w:before="300" w:after="300" w:line="320" w:lineRule="exact"/>
        <w:rPr>
          <w:rFonts w:ascii="宋体" w:eastAsia="宋体" w:hAnsi="宋体" w:cs="宋体"/>
          <w:b/>
          <w:bCs/>
          <w:sz w:val="24"/>
          <w:szCs w:val="24"/>
        </w:rPr>
      </w:pPr>
      <w:bookmarkStart w:id="9" w:name="_Toc988898"/>
      <w:r>
        <w:rPr>
          <w:rFonts w:ascii="宋体" w:eastAsia="宋体" w:hAnsi="宋体" w:cs="宋体"/>
          <w:b/>
          <w:bCs/>
          <w:sz w:val="24"/>
          <w:szCs w:val="24"/>
        </w:rPr>
        <w:t>五、境内外会计准则下会计数据差异</w:t>
      </w:r>
      <w:bookmarkEnd w:id="9"/>
    </w:p>
    <w:p w:rsidR="00334CB7" w:rsidRDefault="002D376B">
      <w:pPr>
        <w:pStyle w:val="3"/>
        <w:spacing w:line="280" w:lineRule="exact"/>
        <w:jc w:val="left"/>
        <w:rPr>
          <w:rFonts w:ascii="宋体" w:hAnsi="宋体" w:cs="宋体"/>
          <w:b/>
          <w:bCs/>
        </w:rPr>
      </w:pPr>
      <w:bookmarkStart w:id="10" w:name="_Toc988899"/>
      <w:r>
        <w:rPr>
          <w:rFonts w:ascii="宋体" w:hAnsi="宋体" w:cs="宋体"/>
          <w:b/>
          <w:bCs/>
        </w:rPr>
        <w:t>1、同时按照国际会计准则与按照中国会计准则披露的财务报告中净利润和净资产差异情况</w:t>
      </w:r>
      <w:bookmarkEnd w:id="10"/>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公司报告期不存在按照国际会计准则与按照中国会计准则披露的财务报告中净利润和净资产差异情况。</w:t>
      </w:r>
    </w:p>
    <w:p w:rsidR="00334CB7" w:rsidRDefault="002D376B">
      <w:pPr>
        <w:pStyle w:val="3"/>
        <w:spacing w:line="280" w:lineRule="exact"/>
        <w:jc w:val="left"/>
        <w:rPr>
          <w:rFonts w:ascii="宋体" w:hAnsi="宋体" w:cs="宋体"/>
          <w:b/>
          <w:bCs/>
        </w:rPr>
      </w:pPr>
      <w:bookmarkStart w:id="11" w:name="_Toc988900"/>
      <w:r>
        <w:rPr>
          <w:rFonts w:ascii="宋体" w:hAnsi="宋体" w:cs="宋体"/>
          <w:b/>
          <w:bCs/>
        </w:rPr>
        <w:t>2、同时按照境外会计准则与按照中国会计准则披露的财务报告中净利润和净资产差异情况</w:t>
      </w:r>
      <w:bookmarkEnd w:id="11"/>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公司报告期不存在按照境外会计准则与按照中国会计准则披露的财务报告中净利润和净资产差异情况。</w:t>
      </w:r>
    </w:p>
    <w:p w:rsidR="00334CB7" w:rsidRDefault="002D376B">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六、非经常性损益项目及金额</w:t>
      </w:r>
      <w:bookmarkEnd w:id="12"/>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-77,127.08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23,546.81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59,326.11</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FA36FF">
            <w:pPr>
              <w:spacing w:line="240" w:lineRule="exact"/>
              <w:jc w:val="both"/>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12,238,470.18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BD0562">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w:t>
            </w:r>
            <w:r w:rsidR="00BD0562">
              <w:rPr>
                <w:rFonts w:ascii="宋体" w:eastAsia="宋体" w:hAnsi="宋体" w:cs="宋体"/>
                <w:sz w:val="18"/>
                <w:szCs w:val="18"/>
              </w:rPr>
              <w:t>外投资等。本期交易性金融资产、其他非流动金融资产</w:t>
            </w:r>
            <w:r w:rsidR="00624149">
              <w:rPr>
                <w:rFonts w:ascii="宋体" w:eastAsia="宋体" w:hAnsi="宋体" w:cs="宋体"/>
                <w:sz w:val="18"/>
                <w:szCs w:val="18"/>
              </w:rPr>
              <w:t>产生</w:t>
            </w:r>
            <w:r w:rsidR="00BD0562">
              <w:rPr>
                <w:rFonts w:ascii="宋体" w:eastAsia="宋体" w:hAnsi="宋体" w:cs="宋体"/>
                <w:sz w:val="18"/>
                <w:szCs w:val="18"/>
              </w:rPr>
              <w:t>的公允价值变动</w:t>
            </w:r>
            <w:r w:rsidR="004D42EC">
              <w:rPr>
                <w:rFonts w:ascii="宋体" w:eastAsia="宋体" w:hAnsi="宋体" w:cs="宋体"/>
                <w:sz w:val="18"/>
                <w:szCs w:val="18"/>
              </w:rPr>
              <w:t>损益</w:t>
            </w:r>
            <w:r w:rsidR="00BD0562">
              <w:rPr>
                <w:rFonts w:ascii="宋体" w:eastAsia="宋体" w:hAnsi="宋体" w:cs="宋体"/>
                <w:sz w:val="18"/>
                <w:szCs w:val="18"/>
              </w:rPr>
              <w:t>和</w:t>
            </w:r>
            <w:r>
              <w:rPr>
                <w:rFonts w:ascii="宋体" w:eastAsia="宋体" w:hAnsi="宋体" w:cs="宋体"/>
                <w:sz w:val="18"/>
                <w:szCs w:val="18"/>
              </w:rPr>
              <w:t>处置交易性金融资产、其他非流动金融资产产生的投资收益系公司的经常性损益。</w:t>
            </w:r>
          </w:p>
        </w:tc>
      </w:tr>
    </w:tbl>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334CB7" w:rsidRDefault="002D376B">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一、报告期内公司从事的主要业务</w:t>
      </w:r>
      <w:bookmarkEnd w:id="14"/>
    </w:p>
    <w:p w:rsidR="00C1183B" w:rsidRDefault="002D376B" w:rsidP="00FA36FF">
      <w:pPr>
        <w:pStyle w:val="a3"/>
        <w:spacing w:before="40" w:beforeAutospacing="0" w:after="40" w:afterAutospacing="0" w:line="276" w:lineRule="auto"/>
        <w:ind w:firstLine="360"/>
        <w:jc w:val="both"/>
        <w:divId w:val="76875139"/>
      </w:pPr>
      <w:r>
        <w:rPr>
          <w:rStyle w:val="a4"/>
          <w:rFonts w:hint="eastAsia"/>
          <w:sz w:val="18"/>
          <w:szCs w:val="18"/>
        </w:rPr>
        <w:t>（一）公司主要业务情况</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公司主要从事涤纶化纤的研发、生产和销售，石化仓储物流服务。</w:t>
      </w:r>
    </w:p>
    <w:p w:rsidR="00C1183B" w:rsidRDefault="002D376B" w:rsidP="00FA36FF">
      <w:pPr>
        <w:pStyle w:val="a3"/>
        <w:spacing w:before="40" w:beforeAutospacing="0" w:after="40" w:afterAutospacing="0" w:line="276" w:lineRule="auto"/>
        <w:ind w:firstLine="360"/>
        <w:jc w:val="both"/>
        <w:divId w:val="76875139"/>
      </w:pPr>
      <w:r>
        <w:rPr>
          <w:rStyle w:val="a4"/>
          <w:rFonts w:hint="eastAsia"/>
          <w:sz w:val="18"/>
          <w:szCs w:val="18"/>
        </w:rPr>
        <w:t>1、涤纶化纤业务</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公司化纤产品主要为涤纶短纤维，主要包括水刺专用涤纶短纤维、半消光涤纶短纤维、有光涤纶短纤维、荧光增白涤纶短纤维等。水刺专用涤纶短纤维主要应用于水刺、针刺等设备，最终产品被广泛应用到卫材、医疗和擦拭，汽车、过滤、皮革和工程基建等领域。半消光涤纶短纤维、有光涤纶短纤维、荧光增白涤纶短纤维等主要用于纺织行业，单独纺纱或与棉、粘胶纤维、麻、毛、维纶等混纺，所得纱线用于服饰纺织、家装面料等。</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（1）采购模式</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公司涤纶化纤业务所需大宗原材料主要为精对苯二甲酸（PTA）和乙二醇（MEG）。PTA供应商的选择范围相对较小，供应商相对稳定。公司对原材料的采购通常是</w:t>
      </w:r>
      <w:r w:rsidR="00BD0562">
        <w:rPr>
          <w:rFonts w:hint="eastAsia"/>
          <w:sz w:val="18"/>
          <w:szCs w:val="18"/>
        </w:rPr>
        <w:t xml:space="preserve">和生产厂家直接协商，选择有竞争力的供应商建立长期稳定的合作关系。 </w:t>
      </w:r>
      <w:r>
        <w:rPr>
          <w:rFonts w:hint="eastAsia"/>
          <w:sz w:val="18"/>
          <w:szCs w:val="18"/>
        </w:rPr>
        <w:t>PTA主要以合同货和现货相结合的方式采购，MEG主要以现货方式采购。</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（2）生产模式</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化纤厂生产车间主要有7个，其中聚酯车间3个，纺丝车间4个。目前已形成年产各类涤纶短纤维40万吨的生产能力，生产设备工艺全套引进德国吉玛公司、德国纽玛格公司、日本东洋纺的生产装置及工艺流程。聚酯生产中心采用DCS集散型控制系统，使聚酯生产实现了由计算机控制的自动化生产。短丝生产中心采用了PCS集散型电脑控制，可生产各种规格纺织类、非织造类涤纶短纤维。</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涤纶短纤维的生产流程如下：备料（PTA+MEG）→打浆→酯化→缩聚→熔体输送→熔体过滤器→纺丝→卷绕→横动→集束→牵伸→叠丝→蒸汽预热箱→卷曲→定型→切断机→检验（自检）→打包→成品检验→成品入库。</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（3）销售模式</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化纤厂的销售市场主要分为两大类，一类是针对传统纺织行业的客户市场，一类是针对非织造行业的客户市场。化纤厂的销售政策主要以市场为导向，同时兼顾出口政策的调整及汇率变化，适时调整销售策略，追求可持续效益。在两大类市场的基础上，结合现有市场客户群及潜在客户群进行市场细分，针对不同类别的客户采取不同的营销策略。化纤厂现有10条涤纶短纤维生产线，可以根据客户需求生产差异化产品。</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化纤厂的销售模式主要分为现货销售和长期合作销售。现货销售是一单一结，长期合作销售是和稳定的客户以月初报价、按月均价结算销售。化纤厂以直销为主，直销客户占比80%-90%。</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化纤厂销售部主要分为内销、外贸和后台三个业务团队。内销负责国内市场的销售，外贸负责国外市场的开拓和销售，后台负责产品订单接收和内勤管理。化纤厂注重销售人员的培养，销售队伍稳定。销售部每年会统计客户满意度并综合分析，提出相应的改进措施，以持续提高客户满意度。</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涤纶短纤为郑州商品交易所挂牌上市品种，公司通过合理利用期货金融工具，对企业库存进行保值操作，灵活调节产品库存、盘活资金，对预防市场突发情况，稳定企业经营发挥了积极作用。</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公司同时兼顾国内、国外市场，根据市场变化和消费导向适时调整销售策略，注重打造企业品牌，已连续多年获得“江苏省重点培育和发展的国际知名品牌”。</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lastRenderedPageBreak/>
        <w:t> </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Style w:val="a4"/>
          <w:rFonts w:cs="Calibri" w:hint="eastAsia"/>
          <w:sz w:val="18"/>
          <w:szCs w:val="18"/>
        </w:rPr>
        <w:t>2、石化仓储业务</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公司的石化仓储业务主要由全资子公司华西码头开展。华西码头位于苏、锡、常化工企业中心区，紧邻长江、连接京杭大运河，顺长江而上可直达长江中上游主要城市，地理位置优越，是长三角石化物流基地的重要国际港口口岸。华西码头仓储总容量达30万立方米，可接卸苯类、醇类、酸类等五十多种化工品。</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（1）码头情况及罐区情况</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①码头情况</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华西码头自有一座5万吨级液体化工品专用码头一座。码头配有2个2万吨级外轮泊位（兼靠5万吨级），外档可停靠1条5万吨级外轮，或者同时停靠2个2万吨级外轮作业，另外拥有2个3,000吨级内轮泊位和2个500吨级内轮泊位。</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②罐区情况</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华西码头现有8个储罐区，共有储罐89个，其中保税区储罐有7个，总罐容30.48万立方米。报告期内，公司储罐数量和罐容未发生改变。储罐存储品种主要包括丙酮、苯乙烯、苯酚、甲苯、对二甲苯、油品等。</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（2）业务流程</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（3）定价模式和结算方式</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华西码头的定价模式：①向客户收取首期保底基本费用，该基本收费按照储存30天的标准计价；超过30天后的时间按日标准收取仓储费。②长期客户以年度为单位签订长期合同，每月收取固定仓储费用。华西码头根据对市场的敏锐把握，基于自身的行业优势地位，采取了对公司较为有利的定价模式。</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华西码头按月计算应收客户仓储服务费，客户最迟必须在提货前支付完毕所有的费用。华西码头回款情况良好，账期较短，盈利质量较高，确保了公司的稳健经营。</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（4）营销模式</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建立多渠道的市场信息网络，全面了解重点区域市场和客户情况、竞争对手的信息，采取多种手段推介公司信息，提高公司知名度和影响力。</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完善客户信息管理制度和售后服务，华西码头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建立和实施灵活的定价模式，本着长期合作，利益共享，共同承担风险的原则，进一步稳定老客户，不断开发新客户。</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 </w:t>
      </w:r>
    </w:p>
    <w:p w:rsidR="00C1183B" w:rsidRDefault="002D376B" w:rsidP="00FA36FF">
      <w:pPr>
        <w:pStyle w:val="a3"/>
        <w:spacing w:before="40" w:beforeAutospacing="0" w:after="40" w:afterAutospacing="0" w:line="276" w:lineRule="auto"/>
        <w:ind w:firstLine="360"/>
        <w:jc w:val="both"/>
        <w:divId w:val="76875139"/>
      </w:pPr>
      <w:r>
        <w:rPr>
          <w:rStyle w:val="a4"/>
          <w:rFonts w:hint="eastAsia"/>
          <w:sz w:val="18"/>
          <w:szCs w:val="18"/>
        </w:rPr>
        <w:t>（二）所属行业的发展情况</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lastRenderedPageBreak/>
        <w:t>2024年1-6月，国内涤纶短纤维行业虽扩能有限，但内需增量有限叠加出口不畅，3-4月涤纶短纤维行业去库存进程略慢，导致行业加工费持续在低位运行。上半年行业加工费均值816.63元/吨，环比下滑12.01%，同比下滑15.48%。直至6月初，受下游集中补库存等因素影响，涤纶短纤维现货流动性逐步收紧，行业加工费和基差逐步向上修复。</w:t>
      </w:r>
    </w:p>
    <w:p w:rsidR="00C1183B" w:rsidRDefault="002D376B" w:rsidP="00FA36FF">
      <w:pPr>
        <w:pStyle w:val="a3"/>
        <w:spacing w:before="40" w:beforeAutospacing="0" w:after="40" w:afterAutospacing="0" w:line="276" w:lineRule="auto"/>
        <w:ind w:firstLine="360"/>
        <w:jc w:val="both"/>
        <w:divId w:val="76875139"/>
        <w:rPr>
          <w:rFonts w:ascii="Calibri" w:hAnsi="Calibri" w:cs="Calibri"/>
          <w:sz w:val="21"/>
          <w:szCs w:val="21"/>
        </w:rPr>
      </w:pPr>
      <w:r>
        <w:rPr>
          <w:rFonts w:cs="Calibri" w:hint="eastAsia"/>
          <w:sz w:val="18"/>
          <w:szCs w:val="18"/>
        </w:rPr>
        <w:t>2024年下半年，涤纶短纤维供需结构或有望改善，保利润成为企业共识，行业现金流或逐渐修复。此外，下半年预计行业供应压力或整体减轻，随着国内经济环境的不断改善，涤纶短纤维行业效益有望增强。</w:t>
      </w:r>
    </w:p>
    <w:p w:rsidR="00C1183B" w:rsidRDefault="002D376B" w:rsidP="00FA36FF">
      <w:pPr>
        <w:pStyle w:val="a3"/>
        <w:spacing w:before="0" w:beforeAutospacing="0" w:after="0" w:afterAutospacing="0" w:line="276" w:lineRule="auto"/>
        <w:ind w:firstLine="360"/>
        <w:divId w:val="76875139"/>
        <w:rPr>
          <w:rFonts w:ascii="Calibri" w:hAnsi="Calibri" w:cs="Calibri"/>
          <w:sz w:val="21"/>
          <w:szCs w:val="21"/>
        </w:rPr>
      </w:pPr>
      <w:r>
        <w:rPr>
          <w:rFonts w:cs="Calibri" w:hint="eastAsia"/>
          <w:sz w:val="18"/>
          <w:szCs w:val="18"/>
        </w:rPr>
        <w:t>（以上数据来源于隆众资讯涤纶短纤2024年中报告）</w:t>
      </w:r>
    </w:p>
    <w:p w:rsidR="00C1183B" w:rsidRDefault="002D376B" w:rsidP="00FA36FF">
      <w:pPr>
        <w:pStyle w:val="a3"/>
        <w:spacing w:before="40" w:beforeAutospacing="0" w:after="40" w:afterAutospacing="0" w:line="276" w:lineRule="auto"/>
        <w:ind w:firstLine="360"/>
        <w:jc w:val="both"/>
        <w:divId w:val="76875139"/>
      </w:pPr>
      <w:r>
        <w:rPr>
          <w:rFonts w:hint="eastAsia"/>
          <w:sz w:val="18"/>
          <w:szCs w:val="18"/>
        </w:rPr>
        <w:t> </w:t>
      </w:r>
    </w:p>
    <w:p w:rsidR="00C1183B" w:rsidRDefault="002D376B" w:rsidP="00FA36FF">
      <w:pPr>
        <w:pStyle w:val="a3"/>
        <w:spacing w:before="0" w:beforeAutospacing="0" w:after="0" w:afterAutospacing="0" w:line="276" w:lineRule="auto"/>
        <w:ind w:firstLine="357"/>
        <w:divId w:val="76875139"/>
      </w:pPr>
      <w:r>
        <w:rPr>
          <w:rStyle w:val="a4"/>
          <w:rFonts w:hint="eastAsia"/>
          <w:sz w:val="18"/>
          <w:szCs w:val="18"/>
        </w:rPr>
        <w:t>（三）公司报告期主要经营情况</w:t>
      </w:r>
    </w:p>
    <w:p w:rsidR="00C1183B" w:rsidRDefault="002D376B" w:rsidP="00FA36FF">
      <w:pPr>
        <w:pStyle w:val="a3"/>
        <w:spacing w:before="0" w:beforeAutospacing="0" w:after="0" w:afterAutospacing="0" w:line="276" w:lineRule="auto"/>
        <w:ind w:firstLine="360"/>
        <w:jc w:val="both"/>
        <w:divId w:val="76875139"/>
      </w:pPr>
      <w:r>
        <w:rPr>
          <w:rFonts w:hint="eastAsia"/>
          <w:sz w:val="18"/>
          <w:szCs w:val="18"/>
        </w:rPr>
        <w:t>2024年半年度公司共实现营业收入155,474.13万元，较上年同期增加了16.56%；实现营业利润8,600.56万元，较上年同期增加了41.84%；实现归属于母公司股东的净利润7,937.47万元，较上年同期增加了78.86%；经营活动产生的现金流量净额为1,544.81万元，较上年同期增加了194.07%；每股收益0.09元，较上年同期增加了80%；实现加权平均净资产收益率1.54%，较上年同期增加了0.67个百分点。2024年半年度归属于母公司股东的净利润较上年同期增加的主要原因是：本期权益法核算的长期股权投资收益同比增加。</w:t>
      </w:r>
    </w:p>
    <w:p w:rsidR="00C1183B" w:rsidRDefault="002D376B" w:rsidP="00FA36FF">
      <w:pPr>
        <w:pStyle w:val="a3"/>
        <w:spacing w:before="0" w:beforeAutospacing="0" w:after="0" w:afterAutospacing="0" w:line="276" w:lineRule="auto"/>
        <w:ind w:firstLine="361"/>
        <w:divId w:val="76875139"/>
      </w:pPr>
      <w:r>
        <w:rPr>
          <w:rStyle w:val="a4"/>
          <w:rFonts w:hint="eastAsia"/>
          <w:sz w:val="18"/>
          <w:szCs w:val="18"/>
        </w:rPr>
        <w:t>1、涤纶化纤业务</w:t>
      </w:r>
    </w:p>
    <w:p w:rsidR="00C1183B" w:rsidRDefault="002D376B" w:rsidP="00FA36FF">
      <w:pPr>
        <w:pStyle w:val="a3"/>
        <w:spacing w:before="0" w:beforeAutospacing="0" w:after="0" w:afterAutospacing="0" w:line="276" w:lineRule="auto"/>
        <w:ind w:firstLine="360"/>
        <w:divId w:val="76875139"/>
      </w:pPr>
      <w:r>
        <w:rPr>
          <w:rFonts w:hint="eastAsia"/>
          <w:sz w:val="18"/>
          <w:szCs w:val="18"/>
        </w:rPr>
        <w:t xml:space="preserve">报告期内，国内涤纶短纤维市场表现不佳，行业加工费持续低迷，行业整体利润持续亏损。此外，由于出口依赖程度较高，地缘政治紧张和海运费上涨等进一步加剧了行业的困难。报告期内，公司通过积极调整库存，加强节能降耗等提升盈利能力，降低亏损。主要开展工作如下： </w:t>
      </w:r>
    </w:p>
    <w:p w:rsidR="00C1183B" w:rsidRDefault="002D376B" w:rsidP="00FA36FF">
      <w:pPr>
        <w:pStyle w:val="a3"/>
        <w:spacing w:before="0" w:beforeAutospacing="0" w:after="0" w:afterAutospacing="0" w:line="276" w:lineRule="auto"/>
        <w:ind w:firstLine="360"/>
        <w:divId w:val="76875139"/>
      </w:pPr>
      <w:r>
        <w:rPr>
          <w:rFonts w:hint="eastAsia"/>
          <w:sz w:val="18"/>
          <w:szCs w:val="18"/>
        </w:rPr>
        <w:t>（1）降本节支方面</w:t>
      </w:r>
    </w:p>
    <w:p w:rsidR="00C1183B" w:rsidRDefault="002D376B" w:rsidP="00FA36FF">
      <w:pPr>
        <w:pStyle w:val="a3"/>
        <w:spacing w:before="0" w:beforeAutospacing="0" w:after="0" w:afterAutospacing="0" w:line="276" w:lineRule="auto"/>
        <w:ind w:firstLine="360"/>
        <w:divId w:val="76875139"/>
      </w:pPr>
      <w:r>
        <w:rPr>
          <w:rFonts w:hint="eastAsia"/>
          <w:sz w:val="18"/>
          <w:szCs w:val="18"/>
        </w:rPr>
        <w:t>公司利用春节期间开展了检修工作，对工艺空调风机、循环水泵电机、燃气炉、蒸汽控制系统等进行改造完善，进一步加强节能降耗方面的工作。电力、蒸汽、天然气消耗量均较去年同期有一定的下降。</w:t>
      </w:r>
    </w:p>
    <w:p w:rsidR="00C1183B" w:rsidRDefault="002D376B" w:rsidP="00FA36FF">
      <w:pPr>
        <w:pStyle w:val="a3"/>
        <w:spacing w:before="0" w:beforeAutospacing="0" w:after="0" w:afterAutospacing="0" w:line="276" w:lineRule="auto"/>
        <w:ind w:firstLine="360"/>
        <w:divId w:val="76875139"/>
      </w:pPr>
      <w:r>
        <w:rPr>
          <w:rFonts w:hint="eastAsia"/>
          <w:sz w:val="18"/>
          <w:szCs w:val="18"/>
        </w:rPr>
        <w:t>（2）产品研发方面</w:t>
      </w:r>
    </w:p>
    <w:p w:rsidR="00C1183B" w:rsidRDefault="002D376B" w:rsidP="00FA36FF">
      <w:pPr>
        <w:pStyle w:val="a3"/>
        <w:spacing w:before="0" w:beforeAutospacing="0" w:after="0" w:afterAutospacing="0" w:line="276" w:lineRule="auto"/>
        <w:ind w:firstLine="360"/>
        <w:divId w:val="76875139"/>
      </w:pPr>
      <w:r>
        <w:rPr>
          <w:rFonts w:hint="eastAsia"/>
          <w:sz w:val="18"/>
          <w:szCs w:val="18"/>
        </w:rPr>
        <w:t>公司继续结合市场，开发新品，对生产线进行改造完善，进行设备、工艺的更新工作，为品种完善、提升效率作出支持。公司依托博士后工作站，针对环保低碳、绿色健康、节能减排方向，对产品进行改进完善，开发无锑针刺产品等；与东华大学、江南大学、南通大学等多所高等院校开展产学研合作，从产品功能性、差异化方向完善，实施开发有机抗菌纤维等。报告期内，公司被评为江苏省质量信用AA级企业并通过了Ecovadis企业社会责任银牌认证。</w:t>
      </w:r>
    </w:p>
    <w:p w:rsidR="00C1183B" w:rsidRDefault="002D376B" w:rsidP="00FA36FF">
      <w:pPr>
        <w:pStyle w:val="a3"/>
        <w:spacing w:before="0" w:beforeAutospacing="0" w:after="0" w:afterAutospacing="0" w:line="276" w:lineRule="auto"/>
        <w:ind w:firstLine="360"/>
        <w:divId w:val="76875139"/>
      </w:pPr>
      <w:r>
        <w:rPr>
          <w:rFonts w:hint="eastAsia"/>
          <w:sz w:val="18"/>
          <w:szCs w:val="18"/>
        </w:rPr>
        <w:t>（3）采购销售方面</w:t>
      </w:r>
    </w:p>
    <w:p w:rsidR="00C1183B" w:rsidRDefault="002D376B" w:rsidP="00FA36FF">
      <w:pPr>
        <w:pStyle w:val="a3"/>
        <w:spacing w:before="0" w:beforeAutospacing="0" w:after="0" w:afterAutospacing="0" w:line="276" w:lineRule="auto"/>
        <w:ind w:firstLine="360"/>
        <w:divId w:val="76875139"/>
      </w:pPr>
      <w:r>
        <w:rPr>
          <w:rFonts w:hint="eastAsia"/>
          <w:sz w:val="18"/>
          <w:szCs w:val="18"/>
        </w:rPr>
        <w:t>公司凭借品牌优势和在高附加值领域的主动发力，实现了稳定的市场占比并且份额有所增加。在运营过程中，公司根据市场行情节奏进行了波段操作，取得了一些效果。自检修完成以来，公司一直满负荷生产，确保了产销平衡。同时，通过将现场运营与资本市场结合，利用套期保值策略，有效降低了成本，提高了售价，把握了盈利机会。</w:t>
      </w:r>
    </w:p>
    <w:p w:rsidR="00C1183B" w:rsidRDefault="002D376B" w:rsidP="00FA36FF">
      <w:pPr>
        <w:pStyle w:val="a3"/>
        <w:spacing w:before="0" w:beforeAutospacing="0" w:after="0" w:afterAutospacing="0" w:line="276" w:lineRule="auto"/>
        <w:ind w:firstLine="360"/>
        <w:divId w:val="76875139"/>
      </w:pPr>
      <w:r>
        <w:rPr>
          <w:rFonts w:hint="eastAsia"/>
          <w:sz w:val="18"/>
          <w:szCs w:val="18"/>
        </w:rPr>
        <w:t>报告期内，涤纶短纤维实现销售收入119,394.10万元，较上年同期减少了2.07%，涤纶短纤维产品本期实现毛利1,051.84万元，较上年同期减少了11.03%，涤纶短纤维毛利率为0.88%，较上年同期减少了0.09个百分点。</w:t>
      </w:r>
      <w:r>
        <w:rPr>
          <w:rFonts w:hint="eastAsia"/>
          <w:color w:val="FF0000"/>
          <w:sz w:val="18"/>
          <w:szCs w:val="18"/>
        </w:rPr>
        <w:t xml:space="preserve"> </w:t>
      </w:r>
    </w:p>
    <w:p w:rsidR="00C1183B" w:rsidRDefault="002D376B" w:rsidP="00FA36FF">
      <w:pPr>
        <w:pStyle w:val="a3"/>
        <w:spacing w:before="0" w:beforeAutospacing="0" w:after="0" w:afterAutospacing="0" w:line="276" w:lineRule="auto"/>
        <w:ind w:firstLine="357"/>
        <w:divId w:val="76875139"/>
      </w:pPr>
      <w:r>
        <w:rPr>
          <w:rStyle w:val="a4"/>
          <w:rFonts w:hint="eastAsia"/>
          <w:sz w:val="18"/>
          <w:szCs w:val="18"/>
        </w:rPr>
        <w:t>2、石化仓储业务</w:t>
      </w:r>
    </w:p>
    <w:p w:rsidR="00C1183B" w:rsidRDefault="002D376B" w:rsidP="00FA36FF">
      <w:pPr>
        <w:pStyle w:val="a3"/>
        <w:spacing w:before="0" w:beforeAutospacing="0" w:after="0" w:afterAutospacing="0" w:line="276" w:lineRule="auto"/>
        <w:ind w:firstLine="360"/>
        <w:jc w:val="both"/>
        <w:divId w:val="76875139"/>
        <w:rPr>
          <w:rFonts w:ascii="Calibri" w:hAnsi="Calibri" w:cs="Calibri"/>
          <w:sz w:val="21"/>
          <w:szCs w:val="21"/>
        </w:rPr>
      </w:pPr>
      <w:r>
        <w:rPr>
          <w:rFonts w:cs="Calibri" w:hint="eastAsia"/>
          <w:sz w:val="18"/>
          <w:szCs w:val="18"/>
        </w:rPr>
        <w:t>2024年上半年，整个仓储行业面临着货源不足、库存量低的情形，华西码头管理层另辟蹊径，紧密贴近期货产品，丰富服务内容，顺利完成期货交易所新上市品种的交割、交收等工作，稳定了经营效益。</w:t>
      </w:r>
    </w:p>
    <w:p w:rsidR="00C1183B" w:rsidRDefault="002D376B" w:rsidP="00FA36FF">
      <w:pPr>
        <w:pStyle w:val="a3"/>
        <w:spacing w:before="0" w:beforeAutospacing="0" w:after="0" w:afterAutospacing="0" w:line="276" w:lineRule="auto"/>
        <w:ind w:firstLine="360"/>
        <w:jc w:val="both"/>
        <w:divId w:val="76875139"/>
        <w:rPr>
          <w:rFonts w:ascii="Calibri" w:hAnsi="Calibri" w:cs="Calibri"/>
          <w:sz w:val="21"/>
          <w:szCs w:val="21"/>
        </w:rPr>
      </w:pPr>
      <w:r>
        <w:rPr>
          <w:rFonts w:cs="Calibri" w:hint="eastAsia"/>
          <w:sz w:val="18"/>
          <w:szCs w:val="18"/>
        </w:rPr>
        <w:t>报告期内，华西码头围绕“安全融合，以进促稳”，稳住工厂客户。同时，根据产品更新迭代趋势，努力开拓新的领域并进行提前布局，在市场环境中与同行企业形成差异化竞争，保持在仓储业中的领先优势。</w:t>
      </w:r>
    </w:p>
    <w:p w:rsidR="00C1183B" w:rsidRDefault="002D376B" w:rsidP="00FA36FF">
      <w:pPr>
        <w:pStyle w:val="a3"/>
        <w:spacing w:before="0" w:beforeAutospacing="0" w:after="0" w:afterAutospacing="0" w:line="276" w:lineRule="auto"/>
        <w:ind w:firstLine="360"/>
        <w:jc w:val="both"/>
        <w:divId w:val="76875139"/>
        <w:rPr>
          <w:rFonts w:ascii="Calibri" w:hAnsi="Calibri" w:cs="Calibri"/>
          <w:sz w:val="21"/>
          <w:szCs w:val="21"/>
        </w:rPr>
      </w:pPr>
      <w:r>
        <w:rPr>
          <w:rFonts w:cs="Calibri" w:hint="eastAsia"/>
          <w:sz w:val="18"/>
          <w:szCs w:val="18"/>
        </w:rPr>
        <w:t>2024年1-6月，华西码头共实现营业收入12,556.85万元，同比减少了27.58%；实现净利润4,896.17万元，较上年同期基本持平。</w:t>
      </w:r>
    </w:p>
    <w:p w:rsidR="00334CB7" w:rsidRDefault="002D376B" w:rsidP="00FA36FF">
      <w:pPr>
        <w:pStyle w:val="2"/>
        <w:spacing w:before="300" w:after="300" w:line="276" w:lineRule="auto"/>
        <w:rPr>
          <w:rFonts w:ascii="宋体" w:eastAsia="宋体" w:hAnsi="宋体" w:cs="宋体"/>
          <w:b/>
          <w:bCs/>
          <w:sz w:val="24"/>
          <w:szCs w:val="24"/>
        </w:rPr>
      </w:pPr>
      <w:bookmarkStart w:id="15" w:name="_Toc988904"/>
      <w:r>
        <w:rPr>
          <w:rFonts w:ascii="宋体" w:eastAsia="宋体" w:hAnsi="宋体" w:cs="宋体"/>
          <w:b/>
          <w:bCs/>
          <w:sz w:val="24"/>
          <w:szCs w:val="24"/>
        </w:rPr>
        <w:lastRenderedPageBreak/>
        <w:t>二、核心竞争力分析</w:t>
      </w:r>
      <w:bookmarkEnd w:id="15"/>
    </w:p>
    <w:p w:rsidR="00C1183B" w:rsidRDefault="002D376B" w:rsidP="00FA36FF">
      <w:pPr>
        <w:pStyle w:val="a3"/>
        <w:spacing w:before="0" w:beforeAutospacing="0" w:after="0" w:afterAutospacing="0" w:line="276" w:lineRule="auto"/>
        <w:ind w:firstLine="360"/>
        <w:jc w:val="both"/>
        <w:divId w:val="2037002468"/>
      </w:pPr>
      <w:r>
        <w:rPr>
          <w:rFonts w:hint="eastAsia"/>
          <w:sz w:val="18"/>
          <w:szCs w:val="18"/>
        </w:rPr>
        <w:t>公司的核心竞争力主要体现在：</w:t>
      </w:r>
    </w:p>
    <w:p w:rsidR="00C1183B" w:rsidRDefault="002D376B" w:rsidP="00FA36FF">
      <w:pPr>
        <w:pStyle w:val="a3"/>
        <w:spacing w:before="0" w:beforeAutospacing="0" w:after="0" w:afterAutospacing="0" w:line="276" w:lineRule="auto"/>
        <w:ind w:firstLine="360"/>
        <w:jc w:val="both"/>
        <w:divId w:val="2037002468"/>
      </w:pPr>
      <w:r>
        <w:rPr>
          <w:rFonts w:hint="eastAsia"/>
          <w:sz w:val="18"/>
          <w:szCs w:val="18"/>
        </w:rPr>
        <w:t>1、品牌优势</w:t>
      </w:r>
    </w:p>
    <w:p w:rsidR="00C1183B" w:rsidRDefault="002D376B" w:rsidP="00FA36FF">
      <w:pPr>
        <w:pStyle w:val="a3"/>
        <w:spacing w:before="0" w:beforeAutospacing="0" w:after="0" w:afterAutospacing="0" w:line="276" w:lineRule="auto"/>
        <w:ind w:firstLine="360"/>
        <w:jc w:val="both"/>
        <w:divId w:val="2037002468"/>
      </w:pPr>
      <w:r>
        <w:rPr>
          <w:rFonts w:hint="eastAsia"/>
          <w:sz w:val="18"/>
          <w:szCs w:val="18"/>
        </w:rPr>
        <w:t>经过多年的经营发展，“华西村”品牌已树立了诚信品牌形象，是值得信赖的品牌。这种品牌优势使得公司在涤纶短纤维市场拥有了一大批长期客户，保证了市场的稳定性，同时在产品价格上也形成了一定的优势。</w:t>
      </w:r>
    </w:p>
    <w:p w:rsidR="00C1183B" w:rsidRDefault="002D376B" w:rsidP="00FA36FF">
      <w:pPr>
        <w:pStyle w:val="a3"/>
        <w:spacing w:before="0" w:beforeAutospacing="0" w:after="0" w:afterAutospacing="0" w:line="276" w:lineRule="auto"/>
        <w:ind w:firstLine="360"/>
        <w:jc w:val="both"/>
        <w:divId w:val="2037002468"/>
      </w:pPr>
      <w:r>
        <w:rPr>
          <w:rFonts w:hint="eastAsia"/>
          <w:sz w:val="18"/>
          <w:szCs w:val="18"/>
        </w:rPr>
        <w:t>2、技术优势</w:t>
      </w:r>
    </w:p>
    <w:p w:rsidR="00C1183B" w:rsidRDefault="002D376B" w:rsidP="00FA36FF">
      <w:pPr>
        <w:pStyle w:val="a3"/>
        <w:spacing w:before="0" w:beforeAutospacing="0" w:after="0" w:afterAutospacing="0" w:line="276" w:lineRule="auto"/>
        <w:ind w:firstLine="360"/>
        <w:jc w:val="both"/>
        <w:divId w:val="2037002468"/>
      </w:pPr>
      <w:r>
        <w:rPr>
          <w:rFonts w:hint="eastAsia"/>
          <w:sz w:val="18"/>
          <w:szCs w:val="18"/>
        </w:rPr>
        <w:t>公司拥有稳定专业的研发团队，拥有省级企业技术中心，博士后创新实践基地，拥有多项自主知识产权。近年来与高校和科研院所开展产学研合作更加密切，并重视与下游企业特别是与品牌企业的联合开发，协同创新能力不断增强。截至报告期末，公司已拥有专利80项，其中发明专利12项，实用新型专利68项。</w:t>
      </w:r>
    </w:p>
    <w:p w:rsidR="00C1183B" w:rsidRDefault="002D376B" w:rsidP="00FA36FF">
      <w:pPr>
        <w:pStyle w:val="a3"/>
        <w:spacing w:before="0" w:beforeAutospacing="0" w:after="0" w:afterAutospacing="0" w:line="276" w:lineRule="auto"/>
        <w:ind w:firstLine="360"/>
        <w:jc w:val="both"/>
        <w:divId w:val="2037002468"/>
      </w:pPr>
      <w:r>
        <w:rPr>
          <w:rFonts w:hint="eastAsia"/>
          <w:sz w:val="18"/>
          <w:szCs w:val="18"/>
        </w:rPr>
        <w:t>3、产品优势</w:t>
      </w:r>
    </w:p>
    <w:p w:rsidR="00C1183B" w:rsidRDefault="002D376B" w:rsidP="00FA36FF">
      <w:pPr>
        <w:pStyle w:val="a3"/>
        <w:spacing w:before="0" w:beforeAutospacing="0" w:after="0" w:afterAutospacing="0" w:line="276" w:lineRule="auto"/>
        <w:ind w:firstLine="360"/>
        <w:jc w:val="both"/>
        <w:divId w:val="2037002468"/>
      </w:pPr>
      <w:r>
        <w:rPr>
          <w:rFonts w:hint="eastAsia"/>
          <w:sz w:val="18"/>
          <w:szCs w:val="18"/>
        </w:rPr>
        <w:t>公司利用自身的设备优势和人才优势，成功地开发了市场高端的差别化产品，提高了产品的附加值。这些差别化产品在市场上具有很高的竞争力，使得公司在差别化纤维领域处于领先地位，并在一些差别化产品上拥有了定价权，提高了企业的效益。</w:t>
      </w:r>
    </w:p>
    <w:p w:rsidR="00334CB7" w:rsidRDefault="002D376B">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三、主营业务分析</w:t>
      </w:r>
      <w:bookmarkEnd w:id="1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概述</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参见“一、报告期内公司从事的主要业务”相关内容。</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主要财务数据同比变动情况</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16.56%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1,247,952,427.96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17.99%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4,188,700.76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1,897,076.49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120.80%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主要原因是本期销售业务费比上年同期增加。</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26,346,388.17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24,004,176.28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rsidP="00630967">
            <w:pPr>
              <w:spacing w:line="240" w:lineRule="exact"/>
              <w:jc w:val="both"/>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11,677,292.49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8,021,110.24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45.58%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主要原因是本期汇兑收益比上年同期减少。</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6,553,725.72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17,346,186.54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-62.22%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主要原因是：①本期应纳税所得额比上年同期减少；②本期子公司江阴华西化工码头有限公司适用15%的所得税税率，而上年同期适用25%的所得税税率。</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研发投入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4,542,941.96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4,892,838.35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rsidP="00630967">
            <w:pPr>
              <w:spacing w:line="240" w:lineRule="exact"/>
              <w:jc w:val="both"/>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15,448,105.88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194.07%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主要原因是本期支付的各项税费比上年同期减少。</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-191,828,582.59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12,811,971.85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-1,597.26%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主要原因是：①本期投资支付的现金比上年同期增加；②本期</w:t>
            </w:r>
            <w:r>
              <w:rPr>
                <w:rFonts w:ascii="宋体" w:eastAsia="宋体" w:hAnsi="宋体" w:cs="宋体"/>
                <w:sz w:val="18"/>
                <w:szCs w:val="18"/>
              </w:rPr>
              <w:lastRenderedPageBreak/>
              <w:t>购建固定资产支付的现金比上年同期增加。</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-390,335.44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32,545,381.27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-101.20%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主要原因是本期取得借款收到的现金比上年同期减少。</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-172,380,911.73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34,015,928.07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-606.77%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主要原因是本期投资活动产生的现金流量净额比上年同期减少。</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489,971.06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1,639,178.75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-70.11%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主要原因是本期收到的政府补助款比上年同期减少。</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66,447,289.68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10,648,315.76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524.02%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主要原因是本期权益法核算的长期股权投资收益比上年同期增加。</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公允价值变动收益</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-6,155,311.91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6,748,211.48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-191.21%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主要原因是本期持有的金融资产产生的公允价值变动收益比上年同期减少。</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信用减值损失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-3,380,399.27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-883,681.54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E27B5B">
            <w:pPr>
              <w:spacing w:line="240" w:lineRule="exact"/>
              <w:jc w:val="right"/>
              <w:rPr>
                <w:rFonts w:ascii="宋体" w:eastAsia="宋体" w:hAnsi="宋体" w:cs="宋体"/>
                <w:sz w:val="18"/>
                <w:szCs w:val="18"/>
              </w:rPr>
            </w:pPr>
            <w:r>
              <w:rPr>
                <w:rFonts w:ascii="宋体" w:eastAsia="宋体" w:hAnsi="宋体" w:cs="宋体" w:hint="eastAsia"/>
                <w:sz w:val="18"/>
                <w:szCs w:val="18"/>
              </w:rPr>
              <w:t>-</w:t>
            </w:r>
            <w:r w:rsidR="002D376B">
              <w:rPr>
                <w:rFonts w:ascii="宋体" w:eastAsia="宋体" w:hAnsi="宋体" w:cs="宋体"/>
                <w:sz w:val="18"/>
                <w:szCs w:val="18"/>
              </w:rPr>
              <w:t>282.54%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主要原因是本期计提的坏账准备比上年同期增加。</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资产减值损失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-2,974,212.01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-459,850.69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E27B5B">
            <w:pPr>
              <w:spacing w:line="240" w:lineRule="exact"/>
              <w:jc w:val="right"/>
              <w:rPr>
                <w:rFonts w:ascii="宋体" w:eastAsia="宋体" w:hAnsi="宋体" w:cs="宋体"/>
                <w:sz w:val="18"/>
                <w:szCs w:val="18"/>
              </w:rPr>
            </w:pPr>
            <w:r>
              <w:rPr>
                <w:rFonts w:ascii="宋体" w:eastAsia="宋体" w:hAnsi="宋体" w:cs="宋体" w:hint="eastAsia"/>
                <w:sz w:val="18"/>
                <w:szCs w:val="18"/>
              </w:rPr>
              <w:t>-</w:t>
            </w:r>
            <w:r w:rsidR="002D376B">
              <w:rPr>
                <w:rFonts w:ascii="宋体" w:eastAsia="宋体" w:hAnsi="宋体" w:cs="宋体"/>
                <w:sz w:val="18"/>
                <w:szCs w:val="18"/>
              </w:rPr>
              <w:t>546.78%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主要原因是本期计提的存货跌价准备比上年同期增加。</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营业外收入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92,004.30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1,447,161.87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-93.64%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主要原因是本期收到的补偿款比上年同期减少。</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169,131.38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357,802.09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-52.73%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主要原因是本期捐赠支出比上年同期减少。</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公司报告期利润构成或利润来源发生重大变动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公司报告期利润构成或利润来源没有发生重大变动。</w:t>
      </w:r>
    </w:p>
    <w:p w:rsidR="005C5846" w:rsidRDefault="005C5846">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营业收入构成</w:t>
      </w:r>
      <w:r w:rsidR="00042564">
        <w:rPr>
          <w:rFonts w:ascii="宋体" w:eastAsia="宋体" w:hAnsi="宋体" w:cs="宋体"/>
          <w:sz w:val="18"/>
          <w:szCs w:val="18"/>
        </w:rPr>
        <w:t>：</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334CB7" w:rsidTr="005C5846">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334CB7" w:rsidTr="005C5846">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16.56%</w:t>
            </w:r>
          </w:p>
        </w:tc>
      </w:tr>
      <w:tr w:rsidR="00334CB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91.16%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1,229,061,953.89</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92.15%</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15.32%</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93,960,612.29</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100,466,665.94</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7.53%</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-6.48%</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B673DE">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915.93%</w:t>
            </w:r>
          </w:p>
        </w:tc>
      </w:tr>
      <w:tr w:rsidR="00334CB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1,193,940,999.82</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76.79%</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1,219,201,648.88</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91.41%</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-2.07%</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93,960,612.29</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100,466,665.94</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7.53%</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-6.48%</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rsidP="005C5846">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5C5846">
            <w:pPr>
              <w:spacing w:line="240" w:lineRule="exact"/>
              <w:jc w:val="right"/>
              <w:rPr>
                <w:rFonts w:ascii="宋体" w:eastAsia="宋体" w:hAnsi="宋体" w:cs="宋体"/>
                <w:sz w:val="18"/>
                <w:szCs w:val="18"/>
              </w:rPr>
            </w:pPr>
            <w:r w:rsidRPr="005C5846">
              <w:rPr>
                <w:rFonts w:ascii="宋体" w:eastAsia="宋体" w:hAnsi="宋体" w:cs="宋体" w:hint="eastAsia"/>
                <w:sz w:val="18"/>
                <w:szCs w:val="18"/>
              </w:rPr>
              <w:t>266,839,694.88</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5C5846">
            <w:pPr>
              <w:spacing w:line="240" w:lineRule="exact"/>
              <w:jc w:val="right"/>
              <w:rPr>
                <w:rFonts w:ascii="宋体" w:eastAsia="宋体" w:hAnsi="宋体" w:cs="宋体"/>
                <w:sz w:val="18"/>
                <w:szCs w:val="18"/>
              </w:rPr>
            </w:pPr>
            <w:r>
              <w:rPr>
                <w:rFonts w:ascii="宋体" w:eastAsia="宋体" w:hAnsi="宋体" w:cs="宋体" w:hint="eastAsia"/>
                <w:sz w:val="18"/>
                <w:szCs w:val="18"/>
              </w:rPr>
              <w:t>17.17</w:t>
            </w:r>
            <w:r w:rsidR="002D376B">
              <w:rPr>
                <w:rFonts w:ascii="宋体" w:eastAsia="宋体" w:hAnsi="宋体"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5C5846">
            <w:pPr>
              <w:spacing w:line="240" w:lineRule="exact"/>
              <w:jc w:val="right"/>
              <w:rPr>
                <w:rFonts w:ascii="宋体" w:eastAsia="宋体" w:hAnsi="宋体" w:cs="宋体"/>
                <w:sz w:val="18"/>
                <w:szCs w:val="18"/>
              </w:rPr>
            </w:pPr>
            <w:r w:rsidRPr="005C5846">
              <w:rPr>
                <w:rFonts w:ascii="宋体" w:eastAsia="宋体" w:hAnsi="宋体" w:cs="宋体" w:hint="eastAsia"/>
                <w:sz w:val="18"/>
                <w:szCs w:val="18"/>
              </w:rPr>
              <w:t>14,139,190.01</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5C5846">
            <w:pPr>
              <w:spacing w:line="240" w:lineRule="exact"/>
              <w:jc w:val="right"/>
              <w:rPr>
                <w:rFonts w:ascii="宋体" w:eastAsia="宋体" w:hAnsi="宋体" w:cs="宋体"/>
                <w:sz w:val="18"/>
                <w:szCs w:val="18"/>
              </w:rPr>
            </w:pPr>
            <w:r>
              <w:rPr>
                <w:rFonts w:ascii="宋体" w:eastAsia="宋体" w:hAnsi="宋体" w:cs="宋体" w:hint="eastAsia"/>
                <w:sz w:val="18"/>
                <w:szCs w:val="18"/>
              </w:rPr>
              <w:t>1.06</w:t>
            </w:r>
            <w:r w:rsidR="002D376B">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5C5846">
            <w:pPr>
              <w:spacing w:line="240" w:lineRule="exact"/>
              <w:jc w:val="right"/>
              <w:rPr>
                <w:rFonts w:ascii="宋体" w:eastAsia="宋体" w:hAnsi="宋体" w:cs="宋体"/>
                <w:sz w:val="18"/>
                <w:szCs w:val="18"/>
              </w:rPr>
            </w:pPr>
            <w:r>
              <w:rPr>
                <w:rFonts w:ascii="宋体" w:eastAsia="宋体" w:hAnsi="宋体" w:cs="宋体" w:hint="eastAsia"/>
                <w:sz w:val="18"/>
                <w:szCs w:val="18"/>
              </w:rPr>
              <w:t>1,787.23</w:t>
            </w:r>
            <w:r w:rsidR="002D376B">
              <w:rPr>
                <w:rFonts w:ascii="宋体" w:eastAsia="宋体" w:hAnsi="宋体" w:cs="宋体"/>
                <w:sz w:val="18"/>
                <w:szCs w:val="18"/>
              </w:rPr>
              <w:t>%</w:t>
            </w:r>
          </w:p>
        </w:tc>
      </w:tr>
      <w:tr w:rsidR="00334CB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分地区</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华东</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741,314,907.48</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47.68%</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731,644,309.92</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54.86%</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华北</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284,009,847.80</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18.27%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292,416,554.65</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21.92%</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-2.87%</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华中</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44,660,635.75</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30,278,035.17</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2.27%</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47.50%</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华南</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218,799,137.11</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14.07%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54,578,615.51</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4.09%</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300.89%</w:t>
            </w:r>
          </w:p>
        </w:tc>
      </w:tr>
      <w:tr w:rsidR="00334CB7" w:rsidTr="005C584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265,956,778.85</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17.11%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224,889,989.58</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16.86%</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18.26%</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占公司营业收入或营业利润10%以上的行业、产品或地区情况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334CB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1,405,281,485.95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0.85%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15.32%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-0.14%</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93,960,612.29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25,286,025.38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73.09%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1.71%</w:t>
            </w:r>
          </w:p>
        </w:tc>
      </w:tr>
      <w:tr w:rsidR="00334CB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1,193,940,999.82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1,183,422,576.09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0.88%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93,960,612.29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25,286,025.38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73.09%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1.71%</w:t>
            </w:r>
          </w:p>
        </w:tc>
      </w:tr>
      <w:tr w:rsidR="00334CB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华东</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697,844,417.00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634,264,885.06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-1.07%</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华北</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284,009,847.80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280,595,090.43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华中</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44,660,635.75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44,071,119.19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47.50%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47.21%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0.20%</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华南</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218,799,137.11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216,099,525.98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300.89%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294.28%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1.65%</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265,956,778.85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255,536,890.67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18.26%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19.57%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w:t>
            </w:r>
          </w:p>
        </w:tc>
      </w:tr>
    </w:tbl>
    <w:p w:rsidR="00B51486" w:rsidRDefault="00B51486">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公司主营业务数据统计口径在报告期发生调整的情况下，公司最近1期按报告期末口径调整后的主营业务数据</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四、非主营业务分析</w:t>
      </w:r>
      <w:bookmarkEnd w:id="17"/>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18" w:name="_Toc988907"/>
      <w:r>
        <w:rPr>
          <w:rFonts w:ascii="宋体" w:eastAsia="宋体" w:hAnsi="宋体" w:cs="宋体"/>
          <w:b/>
          <w:bCs/>
          <w:sz w:val="24"/>
          <w:szCs w:val="24"/>
        </w:rPr>
        <w:t>五、资产及负债状况分析</w:t>
      </w:r>
      <w:bookmarkEnd w:id="18"/>
    </w:p>
    <w:p w:rsidR="00334CB7" w:rsidRDefault="002D376B">
      <w:pPr>
        <w:pStyle w:val="3"/>
        <w:spacing w:line="280" w:lineRule="exact"/>
        <w:jc w:val="left"/>
        <w:rPr>
          <w:rFonts w:ascii="宋体" w:hAnsi="宋体" w:cs="宋体"/>
          <w:b/>
          <w:bCs/>
        </w:rPr>
      </w:pPr>
      <w:bookmarkStart w:id="19" w:name="_Toc988908"/>
      <w:r>
        <w:rPr>
          <w:rFonts w:ascii="宋体" w:hAnsi="宋体" w:cs="宋体"/>
          <w:b/>
          <w:bCs/>
        </w:rPr>
        <w:t>1、资产构成重大变动情况</w:t>
      </w:r>
      <w:bookmarkEnd w:id="1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161"/>
        <w:gridCol w:w="1593"/>
      </w:tblGrid>
      <w:tr w:rsidR="00334CB7" w:rsidTr="00BF5B4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上年末</w:t>
            </w:r>
          </w:p>
        </w:tc>
        <w:tc>
          <w:tcPr>
            <w:tcW w:w="116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334CB7" w:rsidTr="00BF5B4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16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492,320,747.21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666,337,136.82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10.32%</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-2.85%</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163,210,279.59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109,741,338.42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0.78%</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主要原因是期末应收的化纤出口销售货款增加。</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303,633,783.09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334,634,188.55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5.18%</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-0.57%</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334CB7" w:rsidP="00630967">
            <w:pPr>
              <w:spacing w:line="240" w:lineRule="exact"/>
              <w:jc w:val="both"/>
              <w:rPr>
                <w:rFonts w:ascii="宋体" w:eastAsia="宋体" w:hAnsi="宋体" w:cs="宋体"/>
                <w:sz w:val="18"/>
                <w:szCs w:val="18"/>
              </w:rPr>
            </w:pP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3,543,899,749.86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53.80%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55.31%</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-1.51%</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334CB7" w:rsidP="00630967">
            <w:pPr>
              <w:spacing w:line="240" w:lineRule="exact"/>
              <w:jc w:val="both"/>
              <w:rPr>
                <w:rFonts w:ascii="宋体" w:eastAsia="宋体" w:hAnsi="宋体" w:cs="宋体"/>
                <w:sz w:val="18"/>
                <w:szCs w:val="18"/>
              </w:rPr>
            </w:pP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476,126,628.48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7.23%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466,295,788.81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7.22%</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334CB7" w:rsidP="00630967">
            <w:pPr>
              <w:spacing w:line="240" w:lineRule="exact"/>
              <w:jc w:val="both"/>
              <w:rPr>
                <w:rFonts w:ascii="宋体" w:eastAsia="宋体" w:hAnsi="宋体" w:cs="宋体"/>
                <w:sz w:val="18"/>
                <w:szCs w:val="18"/>
              </w:rPr>
            </w:pP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60,487,054.62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0.92%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0.37%</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0.55%</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主要原因是化纤厂增加了新建项目的投入。</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1,090,709,348.89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16.56%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1,094,175,911.15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16.95%</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-0.39%</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334CB7" w:rsidP="00630967">
            <w:pPr>
              <w:spacing w:line="240" w:lineRule="exact"/>
              <w:jc w:val="both"/>
              <w:rPr>
                <w:rFonts w:ascii="宋体" w:eastAsia="宋体" w:hAnsi="宋体" w:cs="宋体"/>
                <w:sz w:val="18"/>
                <w:szCs w:val="18"/>
              </w:rPr>
            </w:pP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109,312,966.15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57,960,875.88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0.90%</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0.76%</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主要原因是期末化纤厂预收销售合同货款增加。</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0.30%</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主要原因是期末银行发放的长期借款增加。</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预付款项</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55,485,386.56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0.84%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35,465,028.18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0.55%</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主要原因是期末预付的化纤原材料款项增加。</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6,233,465.05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1,423,307.95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主要原因是期末应收的保证金款项增加。</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2,541,399.10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主要原因是期末预付的长期资产构建款项减少。</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预收款项</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2,180,394.57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7,126,997.60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主要原因是期末预收的仓储款项减少。</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应付职工薪酬</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18,196,459.69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35,186,096.44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0.54%</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-0.26%</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主要原因是本期支付了上年计提的奖金款项。</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应交税费</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9,261,238.13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2,589,275.66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主要原因是期末应交所得税款项增加。</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18,309,599.26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607,183.47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10452D">
            <w:pPr>
              <w:spacing w:line="240" w:lineRule="exact"/>
              <w:jc w:val="both"/>
              <w:rPr>
                <w:rFonts w:ascii="宋体" w:eastAsia="宋体" w:hAnsi="宋体" w:cs="宋体"/>
                <w:sz w:val="18"/>
                <w:szCs w:val="18"/>
              </w:rPr>
            </w:pPr>
            <w:r>
              <w:rPr>
                <w:rFonts w:ascii="宋体" w:eastAsia="宋体" w:hAnsi="宋体" w:cs="宋体"/>
                <w:sz w:val="18"/>
                <w:szCs w:val="18"/>
              </w:rPr>
              <w:t>主要原因是期末增加了应付股利款项1,772.03</w:t>
            </w:r>
            <w:r w:rsidR="00F35B6A">
              <w:rPr>
                <w:rFonts w:ascii="宋体" w:eastAsia="宋体" w:hAnsi="宋体" w:cs="宋体"/>
                <w:sz w:val="18"/>
                <w:szCs w:val="18"/>
              </w:rPr>
              <w:t>万元</w:t>
            </w:r>
            <w:r w:rsidR="00BF5B4E">
              <w:rPr>
                <w:rFonts w:ascii="宋体" w:eastAsia="宋体" w:hAnsi="宋体" w:cs="宋体"/>
                <w:sz w:val="18"/>
                <w:szCs w:val="18"/>
              </w:rPr>
              <w:t>。</w:t>
            </w:r>
          </w:p>
        </w:tc>
      </w:tr>
      <w:tr w:rsidR="00334CB7" w:rsidTr="00BF5B4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8,495,922.23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0.13%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12,931,116.72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116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59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主要原因是期末权益法下可转损益的其他综合收益减少。</w:t>
            </w:r>
          </w:p>
        </w:tc>
      </w:tr>
    </w:tbl>
    <w:p w:rsidR="00334CB7" w:rsidRDefault="002D376B">
      <w:pPr>
        <w:pStyle w:val="3"/>
        <w:spacing w:line="280" w:lineRule="exact"/>
        <w:jc w:val="left"/>
        <w:rPr>
          <w:rFonts w:ascii="宋体" w:hAnsi="宋体" w:cs="宋体"/>
          <w:b/>
          <w:bCs/>
        </w:rPr>
      </w:pPr>
      <w:bookmarkStart w:id="20" w:name="_Toc988909"/>
      <w:r>
        <w:rPr>
          <w:rFonts w:ascii="宋体" w:hAnsi="宋体" w:cs="宋体"/>
          <w:b/>
          <w:bCs/>
        </w:rPr>
        <w:t>2、主要境外资产情况</w:t>
      </w:r>
      <w:bookmarkEnd w:id="20"/>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1134"/>
        <w:gridCol w:w="993"/>
        <w:gridCol w:w="992"/>
        <w:gridCol w:w="994"/>
        <w:gridCol w:w="1071"/>
        <w:gridCol w:w="1071"/>
        <w:gridCol w:w="1071"/>
        <w:gridCol w:w="1071"/>
      </w:tblGrid>
      <w:tr w:rsidR="00334CB7" w:rsidTr="00630967">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资产的具体内容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资产规模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所在地</w:t>
            </w:r>
          </w:p>
        </w:tc>
        <w:tc>
          <w:tcPr>
            <w:tcW w:w="99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运营模式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保障资产安全性的控制措施</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收益状况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境外资产占公司净资产的比重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是否存在重大减值风险</w:t>
            </w:r>
          </w:p>
        </w:tc>
      </w:tr>
      <w:tr w:rsidR="00334CB7" w:rsidTr="00630967">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索尔思光电6,549.65万</w:t>
            </w:r>
            <w:r>
              <w:rPr>
                <w:rFonts w:ascii="宋体" w:eastAsia="宋体" w:hAnsi="宋体" w:cs="宋体"/>
                <w:sz w:val="18"/>
                <w:szCs w:val="18"/>
              </w:rPr>
              <w:lastRenderedPageBreak/>
              <w:t>股股份</w:t>
            </w:r>
          </w:p>
        </w:tc>
        <w:tc>
          <w:tcPr>
            <w:tcW w:w="113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资产收购</w:t>
            </w:r>
          </w:p>
        </w:tc>
        <w:tc>
          <w:tcPr>
            <w:tcW w:w="99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98,848.55万元</w:t>
            </w:r>
          </w:p>
        </w:tc>
        <w:tc>
          <w:tcPr>
            <w:tcW w:w="992"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开曼群岛</w:t>
            </w:r>
          </w:p>
        </w:tc>
        <w:tc>
          <w:tcPr>
            <w:tcW w:w="99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垂直整合模式</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240" w:lineRule="exact"/>
              <w:jc w:val="both"/>
              <w:rPr>
                <w:rFonts w:ascii="宋体" w:eastAsia="宋体" w:hAnsi="宋体" w:cs="宋体"/>
                <w:sz w:val="18"/>
                <w:szCs w:val="18"/>
              </w:rPr>
            </w:pPr>
            <w:r>
              <w:rPr>
                <w:rFonts w:ascii="宋体" w:eastAsia="宋体" w:hAnsi="宋体" w:cs="宋体"/>
                <w:sz w:val="18"/>
                <w:szCs w:val="18"/>
              </w:rPr>
              <w:t>公司定期取得并审</w:t>
            </w:r>
            <w:r>
              <w:rPr>
                <w:rFonts w:ascii="宋体" w:eastAsia="宋体" w:hAnsi="宋体" w:cs="宋体"/>
                <w:sz w:val="18"/>
                <w:szCs w:val="18"/>
              </w:rPr>
              <w:lastRenderedPageBreak/>
              <w:t>阅索尔思光电财务报告，及时了解其生产经营状况，确保公司的资产安全。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1,604.41万元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r>
      <w:tr w:rsidR="00334CB7" w:rsidTr="00630967">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其他情况说明</w:t>
            </w:r>
          </w:p>
        </w:tc>
        <w:tc>
          <w:tcPr>
            <w:tcW w:w="8397" w:type="dxa"/>
            <w:gridSpan w:val="8"/>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无。</w:t>
            </w:r>
          </w:p>
        </w:tc>
      </w:tr>
    </w:tbl>
    <w:p w:rsidR="00334CB7" w:rsidRDefault="002D376B">
      <w:pPr>
        <w:pStyle w:val="3"/>
        <w:spacing w:line="280" w:lineRule="exact"/>
        <w:jc w:val="left"/>
        <w:rPr>
          <w:rFonts w:ascii="宋体" w:hAnsi="宋体" w:cs="宋体"/>
          <w:b/>
          <w:bCs/>
        </w:rPr>
      </w:pPr>
      <w:bookmarkStart w:id="21" w:name="_Toc988910"/>
      <w:r>
        <w:rPr>
          <w:rFonts w:ascii="宋体" w:hAnsi="宋体" w:cs="宋体"/>
          <w:b/>
          <w:bCs/>
        </w:rPr>
        <w:t>3、以公允价值计量的资产和负债</w:t>
      </w:r>
      <w:bookmarkEnd w:id="21"/>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309,897,476.06</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-4,948,339.06</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327,143,137.00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-1,206,972.85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34,634,378.76</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10452D">
            <w:pPr>
              <w:spacing w:line="240" w:lineRule="exact"/>
              <w:rPr>
                <w:rFonts w:ascii="宋体" w:eastAsia="宋体" w:hAnsi="宋体" w:cs="宋体"/>
                <w:sz w:val="18"/>
                <w:szCs w:val="18"/>
              </w:rPr>
            </w:pPr>
            <w:r>
              <w:rPr>
                <w:rFonts w:ascii="宋体" w:eastAsia="宋体" w:hAnsi="宋体" w:cs="宋体" w:hint="eastAsia"/>
                <w:sz w:val="18"/>
                <w:szCs w:val="18"/>
              </w:rPr>
              <w:t>3</w:t>
            </w:r>
            <w:r w:rsidR="002D376B">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141,899,872.44</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170,587,490.34</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10452D">
            <w:pPr>
              <w:spacing w:line="240" w:lineRule="exact"/>
              <w:rPr>
                <w:rFonts w:ascii="宋体" w:eastAsia="宋体" w:hAnsi="宋体" w:cs="宋体"/>
                <w:sz w:val="18"/>
                <w:szCs w:val="18"/>
              </w:rPr>
            </w:pPr>
            <w:r>
              <w:rPr>
                <w:rFonts w:ascii="宋体" w:eastAsia="宋体" w:hAnsi="宋体" w:cs="宋体" w:hint="eastAsia"/>
                <w:sz w:val="18"/>
                <w:szCs w:val="18"/>
              </w:rPr>
              <w:t>4</w:t>
            </w:r>
            <w:r w:rsidR="002D376B">
              <w:rPr>
                <w:rFonts w:ascii="宋体" w:eastAsia="宋体" w:hAnsi="宋体" w:cs="宋体"/>
                <w:sz w:val="18"/>
                <w:szCs w:val="18"/>
              </w:rPr>
              <w:t>.其他非流动金融资产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827,409,863.78</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1,111,707,212.28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-6,155,311.91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1,359,774,869.88</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C1183B" w:rsidRDefault="00C1183B">
      <w:pPr>
        <w:divId w:val="911811315"/>
        <w:rPr>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C1183B" w:rsidRDefault="002D376B" w:rsidP="00B51486">
      <w:pPr>
        <w:pStyle w:val="3"/>
        <w:spacing w:line="280" w:lineRule="exact"/>
        <w:jc w:val="left"/>
        <w:divId w:val="145896146"/>
        <w:rPr>
          <w:sz w:val="18"/>
          <w:szCs w:val="18"/>
        </w:rPr>
      </w:pPr>
      <w:bookmarkStart w:id="22" w:name="_Toc988911"/>
      <w:r>
        <w:rPr>
          <w:rFonts w:ascii="宋体" w:hAnsi="宋体" w:cs="宋体"/>
          <w:b/>
          <w:bCs/>
        </w:rPr>
        <w:t>4、截至报告期末的资产权利受限情况</w:t>
      </w:r>
      <w:bookmarkEnd w:id="22"/>
      <w:r w:rsidR="00B51486">
        <w:rPr>
          <w:rFonts w:ascii="宋体" w:hAnsi="宋体" w:cs="宋体" w:hint="eastAsia"/>
          <w:b/>
          <w:bCs/>
        </w:rPr>
        <w:t xml:space="preserve">                         </w:t>
      </w:r>
      <w:r>
        <w:rPr>
          <w:rFonts w:hint="eastAsia"/>
          <w:sz w:val="18"/>
          <w:szCs w:val="18"/>
        </w:rPr>
        <w:t xml:space="preserve">                                                    </w:t>
      </w:r>
      <w:r w:rsidR="00630967">
        <w:rPr>
          <w:rFonts w:hint="eastAsia"/>
          <w:sz w:val="18"/>
          <w:szCs w:val="18"/>
        </w:rPr>
        <w:t xml:space="preserve">        </w:t>
      </w:r>
      <w:r>
        <w:rPr>
          <w:rFonts w:hint="eastAsia"/>
          <w:sz w:val="18"/>
          <w:szCs w:val="18"/>
        </w:rPr>
        <w:t> </w:t>
      </w:r>
      <w:r>
        <w:rPr>
          <w:rFonts w:hint="eastAsia"/>
          <w:sz w:val="18"/>
          <w:szCs w:val="18"/>
        </w:rPr>
        <w:t>单位：元</w:t>
      </w:r>
    </w:p>
    <w:tbl>
      <w:tblPr>
        <w:tblW w:w="9284" w:type="dxa"/>
        <w:jc w:val="center"/>
        <w:tblInd w:w="-68" w:type="dxa"/>
        <w:tblCellMar>
          <w:left w:w="0" w:type="dxa"/>
          <w:right w:w="0" w:type="dxa"/>
        </w:tblCellMar>
        <w:tblLook w:val="04A0" w:firstRow="1" w:lastRow="0" w:firstColumn="1" w:lastColumn="0" w:noHBand="0" w:noVBand="1"/>
      </w:tblPr>
      <w:tblGrid>
        <w:gridCol w:w="1877"/>
        <w:gridCol w:w="1560"/>
        <w:gridCol w:w="5847"/>
      </w:tblGrid>
      <w:tr w:rsidR="00C1183B" w:rsidTr="0010452D">
        <w:trPr>
          <w:divId w:val="145896146"/>
          <w:trHeight w:val="360"/>
          <w:tblHeader/>
          <w:jc w:val="center"/>
        </w:trPr>
        <w:tc>
          <w:tcPr>
            <w:tcW w:w="187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56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期末账面价值</w:t>
            </w:r>
          </w:p>
        </w:tc>
        <w:tc>
          <w:tcPr>
            <w:tcW w:w="584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受限原因</w:t>
            </w:r>
          </w:p>
        </w:tc>
      </w:tr>
      <w:tr w:rsidR="00C1183B" w:rsidTr="0010452D">
        <w:trPr>
          <w:divId w:val="145896146"/>
          <w:trHeight w:val="360"/>
          <w:jc w:val="center"/>
        </w:trPr>
        <w:tc>
          <w:tcPr>
            <w:tcW w:w="187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货币资金</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154,070,670.02</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借款保证金、信用证保证金、质押的定期存款及利息</w:t>
            </w:r>
          </w:p>
        </w:tc>
      </w:tr>
      <w:tr w:rsidR="00C1183B" w:rsidTr="0010452D">
        <w:trPr>
          <w:divId w:val="145896146"/>
          <w:trHeight w:val="360"/>
          <w:jc w:val="center"/>
        </w:trPr>
        <w:tc>
          <w:tcPr>
            <w:tcW w:w="187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应收票据</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19,141,817.45</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票据质押</w:t>
            </w:r>
          </w:p>
        </w:tc>
      </w:tr>
      <w:tr w:rsidR="00C1183B" w:rsidTr="0010452D">
        <w:trPr>
          <w:divId w:val="145896146"/>
          <w:trHeight w:val="360"/>
          <w:jc w:val="center"/>
        </w:trPr>
        <w:tc>
          <w:tcPr>
            <w:tcW w:w="187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应收款项融资</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130,959,443.87</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票据质押</w:t>
            </w:r>
          </w:p>
        </w:tc>
      </w:tr>
      <w:tr w:rsidR="00C1183B" w:rsidTr="0010452D">
        <w:trPr>
          <w:divId w:val="145896146"/>
          <w:trHeight w:val="360"/>
          <w:jc w:val="center"/>
        </w:trPr>
        <w:tc>
          <w:tcPr>
            <w:tcW w:w="187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lastRenderedPageBreak/>
              <w:t>江阴华西化工码头有限公司75%股权</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473,288,763.46</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中国工商银行借款4,000万元由江苏华西集团有限公司提供担保及公司持有的江阴华西化工码头有限公司75%股权质押</w:t>
            </w:r>
          </w:p>
        </w:tc>
      </w:tr>
      <w:tr w:rsidR="00C1183B" w:rsidTr="0010452D">
        <w:trPr>
          <w:divId w:val="145896146"/>
          <w:trHeight w:val="360"/>
          <w:jc w:val="center"/>
        </w:trPr>
        <w:tc>
          <w:tcPr>
            <w:tcW w:w="187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   计</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777,460,694.80</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r>
    </w:tbl>
    <w:p w:rsidR="00334CB7" w:rsidRDefault="002D376B">
      <w:pPr>
        <w:pStyle w:val="2"/>
        <w:spacing w:before="300" w:after="300" w:line="320" w:lineRule="exact"/>
        <w:rPr>
          <w:rFonts w:ascii="宋体" w:eastAsia="宋体" w:hAnsi="宋体" w:cs="宋体"/>
          <w:b/>
          <w:bCs/>
          <w:sz w:val="24"/>
          <w:szCs w:val="24"/>
        </w:rPr>
      </w:pPr>
      <w:bookmarkStart w:id="23" w:name="_Toc988912"/>
      <w:r>
        <w:rPr>
          <w:rFonts w:ascii="宋体" w:eastAsia="宋体" w:hAnsi="宋体" w:cs="宋体"/>
          <w:b/>
          <w:bCs/>
          <w:sz w:val="24"/>
          <w:szCs w:val="24"/>
        </w:rPr>
        <w:t>六、投资状况分析</w:t>
      </w:r>
      <w:bookmarkEnd w:id="23"/>
    </w:p>
    <w:p w:rsidR="00334CB7" w:rsidRDefault="002D376B">
      <w:pPr>
        <w:pStyle w:val="3"/>
        <w:spacing w:line="280" w:lineRule="exact"/>
        <w:jc w:val="left"/>
        <w:rPr>
          <w:rFonts w:ascii="宋体" w:hAnsi="宋体" w:cs="宋体"/>
          <w:b/>
          <w:bCs/>
        </w:rPr>
      </w:pPr>
      <w:bookmarkStart w:id="24" w:name="_Toc988913"/>
      <w:r>
        <w:rPr>
          <w:rFonts w:ascii="宋体" w:hAnsi="宋体" w:cs="宋体"/>
          <w:b/>
          <w:bCs/>
        </w:rPr>
        <w:t>1、总体情况</w:t>
      </w:r>
      <w:bookmarkEnd w:id="24"/>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630967">
            <w:pPr>
              <w:spacing w:before="40" w:after="40" w:line="360" w:lineRule="auto"/>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630967">
            <w:pPr>
              <w:spacing w:before="40" w:after="40" w:line="360" w:lineRule="auto"/>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630967">
            <w:pPr>
              <w:spacing w:before="40" w:after="40" w:line="360" w:lineRule="auto"/>
              <w:jc w:val="center"/>
              <w:rPr>
                <w:rFonts w:ascii="宋体" w:eastAsia="宋体" w:hAnsi="宋体" w:cs="宋体"/>
                <w:sz w:val="18"/>
                <w:szCs w:val="18"/>
              </w:rPr>
            </w:pPr>
            <w:r>
              <w:rPr>
                <w:rFonts w:ascii="宋体" w:eastAsia="宋体" w:hAnsi="宋体" w:cs="宋体"/>
                <w:sz w:val="18"/>
                <w:szCs w:val="18"/>
              </w:rPr>
              <w:t>变动幅度</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360" w:lineRule="auto"/>
              <w:jc w:val="right"/>
              <w:rPr>
                <w:rFonts w:ascii="宋体" w:eastAsia="宋体" w:hAnsi="宋体" w:cs="宋体"/>
                <w:sz w:val="18"/>
                <w:szCs w:val="18"/>
              </w:rPr>
            </w:pPr>
            <w:r>
              <w:rPr>
                <w:rFonts w:ascii="宋体" w:eastAsia="宋体" w:hAnsi="宋体" w:cs="宋体"/>
                <w:sz w:val="18"/>
                <w:szCs w:val="18"/>
              </w:rPr>
              <w:t>226,809,621.61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360" w:lineRule="auto"/>
              <w:jc w:val="right"/>
              <w:rPr>
                <w:rFonts w:ascii="宋体" w:eastAsia="宋体" w:hAnsi="宋体" w:cs="宋体"/>
                <w:sz w:val="18"/>
                <w:szCs w:val="18"/>
              </w:rPr>
            </w:pPr>
            <w:r>
              <w:rPr>
                <w:rFonts w:ascii="宋体" w:eastAsia="宋体" w:hAnsi="宋体" w:cs="宋体"/>
                <w:sz w:val="18"/>
                <w:szCs w:val="18"/>
              </w:rPr>
              <w:t>12,583,645.56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630967">
            <w:pPr>
              <w:spacing w:line="360" w:lineRule="auto"/>
              <w:jc w:val="right"/>
              <w:rPr>
                <w:rFonts w:ascii="宋体" w:eastAsia="宋体" w:hAnsi="宋体" w:cs="宋体"/>
                <w:sz w:val="18"/>
                <w:szCs w:val="18"/>
              </w:rPr>
            </w:pPr>
            <w:r>
              <w:rPr>
                <w:rFonts w:ascii="宋体" w:eastAsia="宋体" w:hAnsi="宋体" w:cs="宋体"/>
                <w:sz w:val="18"/>
                <w:szCs w:val="18"/>
              </w:rPr>
              <w:t>1,702.42%</w:t>
            </w:r>
          </w:p>
        </w:tc>
      </w:tr>
    </w:tbl>
    <w:p w:rsidR="00334CB7" w:rsidRDefault="002D376B">
      <w:pPr>
        <w:pStyle w:val="3"/>
        <w:spacing w:line="280" w:lineRule="exact"/>
        <w:jc w:val="left"/>
        <w:rPr>
          <w:rFonts w:ascii="宋体" w:hAnsi="宋体" w:cs="宋体"/>
          <w:b/>
          <w:bCs/>
        </w:rPr>
      </w:pPr>
      <w:bookmarkStart w:id="25" w:name="_Toc988914"/>
      <w:r>
        <w:rPr>
          <w:rFonts w:ascii="宋体" w:hAnsi="宋体" w:cs="宋体"/>
          <w:b/>
          <w:bCs/>
        </w:rPr>
        <w:t>2、报告期内获取的重大的股权投资情况</w:t>
      </w:r>
      <w:bookmarkEnd w:id="25"/>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26" w:name="_Toc988915"/>
      <w:r>
        <w:rPr>
          <w:rFonts w:ascii="宋体" w:hAnsi="宋体" w:cs="宋体"/>
          <w:b/>
          <w:bCs/>
        </w:rPr>
        <w:t>3、报告期内正在进行的重大的非股权投资情况</w:t>
      </w:r>
      <w:bookmarkEnd w:id="26"/>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27" w:name="_Toc988916"/>
      <w:r>
        <w:rPr>
          <w:rFonts w:ascii="宋体" w:hAnsi="宋体" w:cs="宋体"/>
          <w:b/>
          <w:bCs/>
        </w:rPr>
        <w:t>4、金融资产投资</w:t>
      </w:r>
      <w:bookmarkEnd w:id="27"/>
    </w:p>
    <w:p w:rsidR="00334CB7" w:rsidRDefault="002D376B">
      <w:pPr>
        <w:keepNext/>
        <w:keepLines/>
        <w:spacing w:before="300" w:after="300" w:line="280" w:lineRule="exact"/>
        <w:outlineLvl w:val="3"/>
        <w:rPr>
          <w:rFonts w:ascii="宋体" w:eastAsia="宋体" w:hAnsi="宋体" w:cs="宋体"/>
          <w:b/>
          <w:bCs/>
          <w:sz w:val="18"/>
          <w:szCs w:val="18"/>
        </w:rPr>
      </w:pPr>
      <w:bookmarkStart w:id="28" w:name="_Toc988917"/>
      <w:r>
        <w:rPr>
          <w:rFonts w:ascii="宋体" w:eastAsia="宋体" w:hAnsi="宋体" w:cs="宋体"/>
          <w:b/>
          <w:bCs/>
          <w:sz w:val="18"/>
          <w:szCs w:val="18"/>
        </w:rPr>
        <w:t>（1） 证券投资情况</w:t>
      </w:r>
      <w:bookmarkEnd w:id="28"/>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334CB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334CB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601688</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华泰证券</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5,888,246.32</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139,500,000.00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-15,600,000.00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-15,600,000.00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123,900,000.00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自有资金</w:t>
            </w:r>
          </w:p>
        </w:tc>
      </w:tr>
      <w:tr w:rsidR="00334CB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600919</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江苏银行</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53,428,277.53</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167,443,207.20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10,751,371.20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F2169E">
            <w:pPr>
              <w:spacing w:line="240" w:lineRule="exact"/>
              <w:jc w:val="right"/>
              <w:rPr>
                <w:rFonts w:ascii="宋体" w:eastAsia="宋体" w:hAnsi="宋体" w:cs="宋体"/>
                <w:sz w:val="18"/>
                <w:szCs w:val="18"/>
              </w:rPr>
            </w:pPr>
            <w:r w:rsidRPr="00F2169E">
              <w:rPr>
                <w:rFonts w:ascii="宋体" w:eastAsia="宋体" w:hAnsi="宋体" w:cs="宋体"/>
                <w:sz w:val="18"/>
                <w:szCs w:val="18"/>
              </w:rPr>
              <w:t>85,114,291.76</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31,141,654.73</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107,949,578.40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自有资金</w:t>
            </w:r>
          </w:p>
        </w:tc>
      </w:tr>
      <w:tr w:rsidR="00334CB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期末持有的其他证券投资</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334CB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59,316,523.85</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306,943,207.20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-4,848,628.80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F2169E">
            <w:pPr>
              <w:spacing w:line="240" w:lineRule="exact"/>
              <w:jc w:val="right"/>
              <w:rPr>
                <w:rFonts w:ascii="宋体" w:eastAsia="宋体" w:hAnsi="宋体" w:cs="宋体"/>
                <w:sz w:val="18"/>
                <w:szCs w:val="18"/>
              </w:rPr>
            </w:pPr>
            <w:r w:rsidRPr="00F2169E">
              <w:rPr>
                <w:rFonts w:ascii="宋体" w:eastAsia="宋体" w:hAnsi="宋体" w:cs="宋体"/>
                <w:sz w:val="18"/>
                <w:szCs w:val="18"/>
              </w:rPr>
              <w:t>85,114,291.76</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15,541,654.73</w:t>
            </w:r>
          </w:p>
        </w:tc>
        <w:tc>
          <w:tcPr>
            <w:tcW w:w="68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231,849,578.40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334CB7" w:rsidRDefault="002D376B">
      <w:pPr>
        <w:keepNext/>
        <w:keepLines/>
        <w:spacing w:before="300" w:after="300" w:line="280" w:lineRule="exact"/>
        <w:outlineLvl w:val="3"/>
        <w:rPr>
          <w:rFonts w:ascii="宋体" w:eastAsia="宋体" w:hAnsi="宋体" w:cs="宋体"/>
          <w:b/>
          <w:bCs/>
          <w:sz w:val="18"/>
          <w:szCs w:val="18"/>
        </w:rPr>
      </w:pPr>
      <w:bookmarkStart w:id="29" w:name="_Toc988918"/>
      <w:r>
        <w:rPr>
          <w:rFonts w:ascii="宋体" w:eastAsia="宋体" w:hAnsi="宋体" w:cs="宋体"/>
          <w:b/>
          <w:bCs/>
          <w:sz w:val="18"/>
          <w:szCs w:val="18"/>
        </w:rPr>
        <w:lastRenderedPageBreak/>
        <w:t>（2） 衍生品投资情况</w:t>
      </w:r>
      <w:bookmarkEnd w:id="29"/>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keepNext/>
        <w:keepLines/>
        <w:spacing w:before="300" w:after="300" w:line="280" w:lineRule="exact"/>
        <w:outlineLvl w:val="4"/>
        <w:rPr>
          <w:rFonts w:ascii="宋体" w:eastAsia="宋体" w:hAnsi="宋体" w:cs="宋体"/>
          <w:b/>
          <w:bCs/>
          <w:sz w:val="18"/>
          <w:szCs w:val="18"/>
        </w:rPr>
      </w:pPr>
      <w:bookmarkStart w:id="30" w:name="_Toc988919"/>
      <w:r>
        <w:rPr>
          <w:rFonts w:ascii="宋体" w:eastAsia="宋体" w:hAnsi="宋体" w:cs="宋体"/>
          <w:b/>
          <w:bCs/>
          <w:sz w:val="18"/>
          <w:szCs w:val="18"/>
        </w:rPr>
        <w:t>1） 报告期内以套期保值为目的的衍生品投资</w:t>
      </w:r>
      <w:bookmarkEnd w:id="30"/>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851"/>
        <w:gridCol w:w="978"/>
        <w:gridCol w:w="1431"/>
        <w:gridCol w:w="1418"/>
        <w:gridCol w:w="1276"/>
        <w:gridCol w:w="1230"/>
        <w:gridCol w:w="1071"/>
      </w:tblGrid>
      <w:tr w:rsidR="0063096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衍生品投资类型</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初始投资金额</w:t>
            </w:r>
          </w:p>
        </w:tc>
        <w:tc>
          <w:tcPr>
            <w:tcW w:w="978"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期初金额</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1230"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r>
      <w:tr w:rsidR="00630967" w:rsidTr="00630967">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rPr>
                <w:rFonts w:ascii="宋体" w:eastAsia="宋体" w:hAnsi="宋体" w:cs="宋体"/>
                <w:sz w:val="18"/>
                <w:szCs w:val="18"/>
              </w:rPr>
            </w:pPr>
            <w:r>
              <w:rPr>
                <w:rFonts w:ascii="宋体" w:eastAsia="宋体" w:hAnsi="宋体" w:cs="宋体"/>
                <w:sz w:val="18"/>
                <w:szCs w:val="18"/>
              </w:rPr>
              <w:t>商品衍生品</w:t>
            </w:r>
          </w:p>
        </w:tc>
        <w:tc>
          <w:tcPr>
            <w:tcW w:w="851"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78"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31"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-120.7</w:t>
            </w:r>
          </w:p>
        </w:tc>
        <w:tc>
          <w:tcPr>
            <w:tcW w:w="1418"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hint="eastAsia"/>
                <w:sz w:val="18"/>
                <w:szCs w:val="18"/>
              </w:rPr>
              <w:t>746.40</w:t>
            </w:r>
          </w:p>
        </w:tc>
        <w:tc>
          <w:tcPr>
            <w:tcW w:w="1230"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22,881.99</w:t>
            </w:r>
          </w:p>
        </w:tc>
        <w:tc>
          <w:tcPr>
            <w:tcW w:w="1071"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4.42%</w:t>
            </w:r>
          </w:p>
        </w:tc>
      </w:tr>
      <w:tr w:rsidR="0063096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630967" w:rsidRDefault="00630967">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51"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78"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31"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-120.7</w:t>
            </w:r>
          </w:p>
        </w:tc>
        <w:tc>
          <w:tcPr>
            <w:tcW w:w="1418"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hint="eastAsia"/>
                <w:sz w:val="18"/>
                <w:szCs w:val="18"/>
              </w:rPr>
              <w:t>746.40</w:t>
            </w:r>
          </w:p>
        </w:tc>
        <w:tc>
          <w:tcPr>
            <w:tcW w:w="1230"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22,881.99</w:t>
            </w:r>
          </w:p>
        </w:tc>
        <w:tc>
          <w:tcPr>
            <w:tcW w:w="1071" w:type="dxa"/>
            <w:tcBorders>
              <w:top w:val="single" w:sz="2" w:space="0" w:color="auto"/>
              <w:left w:val="single" w:sz="2" w:space="0" w:color="auto"/>
              <w:bottom w:val="single" w:sz="2" w:space="0" w:color="auto"/>
              <w:right w:val="single" w:sz="2" w:space="0" w:color="auto"/>
            </w:tcBorders>
            <w:vAlign w:val="center"/>
          </w:tcPr>
          <w:p w:rsidR="00630967" w:rsidRDefault="00630967">
            <w:pPr>
              <w:spacing w:line="240" w:lineRule="exact"/>
              <w:jc w:val="right"/>
              <w:rPr>
                <w:rFonts w:ascii="宋体" w:eastAsia="宋体" w:hAnsi="宋体" w:cs="宋体"/>
                <w:sz w:val="18"/>
                <w:szCs w:val="18"/>
              </w:rPr>
            </w:pPr>
            <w:r>
              <w:rPr>
                <w:rFonts w:ascii="宋体" w:eastAsia="宋体" w:hAnsi="宋体" w:cs="宋体"/>
                <w:sz w:val="18"/>
                <w:szCs w:val="18"/>
              </w:rPr>
              <w:t>4.42%</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报告期内套期保值业务的会计政策、会计核算具体原则，以及与上一报告期相比是否发生重大变化的说明</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报告期公司套期保值业务的会计政策及会计核算具体原则与上一报告期相比没有发生重大变化。</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报告期实际损益情况的说明</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公司开展商品套期保值业务，以公司主要原材料和产品等为交易品种，报告期实际损益金额为746.40万元。</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套期保值效果的说明</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公司通过期货套期保值操作可以更好地规避原料和产品价格波动带来的风险，降低其对公司生产经营的影响，但同时也可能存在市场、流动性、技术及内控等多方面风险。报告期内，公司通过开展期货套期保值业务，并选择信誉度高、运作规范的期货公司开展业务，有效规避价格和市场风险，有一定保值效果。</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衍生品投资资金来源</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自有资金</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报告期衍生品持仓的风险分析及控制措施说明（包括但不限于市场风险、流动性风险、信用风险、操作风险、法律风险等）</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rsidP="004B36C1">
            <w:pPr>
              <w:spacing w:line="240" w:lineRule="exact"/>
              <w:jc w:val="both"/>
              <w:rPr>
                <w:rFonts w:ascii="宋体" w:eastAsia="宋体" w:hAnsi="宋体" w:cs="宋体"/>
                <w:sz w:val="18"/>
                <w:szCs w:val="18"/>
              </w:rPr>
            </w:pPr>
            <w:r>
              <w:rPr>
                <w:rFonts w:ascii="宋体" w:eastAsia="宋体" w:hAnsi="宋体" w:cs="宋体"/>
                <w:sz w:val="18"/>
                <w:szCs w:val="18"/>
              </w:rPr>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已投资衍生品报告期内市场价格或产品公允价值变动的情况，对衍生品公允价值的分析应披露具体使用的方法及相关假设与参数的设定</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rsidP="004B36C1">
            <w:pPr>
              <w:spacing w:line="240" w:lineRule="exact"/>
              <w:jc w:val="both"/>
              <w:rPr>
                <w:rFonts w:ascii="宋体" w:eastAsia="宋体" w:hAnsi="宋体" w:cs="宋体"/>
                <w:sz w:val="18"/>
                <w:szCs w:val="18"/>
              </w:rPr>
            </w:pPr>
            <w:r>
              <w:rPr>
                <w:rFonts w:ascii="宋体" w:eastAsia="宋体" w:hAnsi="宋体" w:cs="宋体"/>
                <w:sz w:val="18"/>
                <w:szCs w:val="18"/>
              </w:rPr>
              <w:t>公司开展的商品衍生品交易品种市场透明度大，成交活跃，成交价格和当日结算价能充分反映衍生品的公允价值。</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涉诉情况（如适用）</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衍生品投资审批董事会公告披露日期</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2024年04月30日</w:t>
            </w:r>
          </w:p>
        </w:tc>
      </w:tr>
      <w:tr w:rsidR="00334CB7" w:rsidTr="00630967">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衍生品投资审批股东会公告披露日期</w:t>
            </w:r>
          </w:p>
        </w:tc>
        <w:tc>
          <w:tcPr>
            <w:tcW w:w="8255"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2024年05月25日</w:t>
            </w:r>
          </w:p>
        </w:tc>
      </w:tr>
    </w:tbl>
    <w:p w:rsidR="00630967" w:rsidRDefault="00630967">
      <w:pPr>
        <w:spacing w:before="100" w:after="100" w:line="240" w:lineRule="exact"/>
        <w:rPr>
          <w:rFonts w:ascii="宋体" w:eastAsia="宋体" w:hAnsi="宋体" w:cs="宋体"/>
          <w:sz w:val="18"/>
          <w:szCs w:val="18"/>
        </w:rPr>
      </w:pPr>
      <w:r>
        <w:rPr>
          <w:rFonts w:ascii="宋体" w:eastAsia="宋体" w:hAnsi="宋体" w:cs="宋体" w:hint="eastAsia"/>
          <w:sz w:val="18"/>
          <w:szCs w:val="18"/>
        </w:rPr>
        <w:t>注：上述衍生品</w:t>
      </w:r>
      <w:r w:rsidR="00643089">
        <w:rPr>
          <w:rFonts w:ascii="宋体" w:eastAsia="宋体" w:hAnsi="宋体" w:cs="宋体" w:hint="eastAsia"/>
          <w:sz w:val="18"/>
          <w:szCs w:val="18"/>
        </w:rPr>
        <w:t>投资</w:t>
      </w:r>
      <w:r>
        <w:rPr>
          <w:rFonts w:ascii="宋体" w:eastAsia="宋体" w:hAnsi="宋体" w:cs="宋体" w:hint="eastAsia"/>
          <w:sz w:val="18"/>
          <w:szCs w:val="18"/>
        </w:rPr>
        <w:t>期末金额为合约金额。</w:t>
      </w:r>
    </w:p>
    <w:p w:rsidR="00630967" w:rsidRDefault="00630967">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C1183B" w:rsidRDefault="002D376B" w:rsidP="00630967">
      <w:pPr>
        <w:pStyle w:val="a3"/>
        <w:spacing w:before="0" w:beforeAutospacing="0" w:after="0" w:afterAutospacing="0" w:line="276" w:lineRule="auto"/>
        <w:ind w:firstLine="357"/>
        <w:jc w:val="both"/>
        <w:divId w:val="937982370"/>
      </w:pPr>
      <w:r>
        <w:rPr>
          <w:rFonts w:hint="eastAsia"/>
          <w:color w:val="000000"/>
          <w:sz w:val="18"/>
          <w:szCs w:val="18"/>
        </w:rPr>
        <w:t>公司主要生产产品为涤纶短纤维，年产各类涤纶短纤维40万吨，涤纶短纤维的核心生产原料为精对苯二甲酸和乙二醇。受宏观经济及石油价格等因素的影响，公司产成品和原材料价格波动幅度较大，对公司的盈利能力带来较大的影响。为有效规避原材料和产品价格波动带来的风险，降低其对公司生产经营的影响，在不影响公司主营业务正常开展的情况下，公司（含子公司）开展衍生品套期保值业务。</w:t>
      </w:r>
    </w:p>
    <w:p w:rsidR="00C1183B" w:rsidRDefault="002D376B" w:rsidP="00630967">
      <w:pPr>
        <w:pStyle w:val="a3"/>
        <w:spacing w:before="0" w:beforeAutospacing="0" w:after="0" w:afterAutospacing="0" w:line="276" w:lineRule="auto"/>
        <w:ind w:firstLine="357"/>
        <w:jc w:val="both"/>
        <w:divId w:val="937982370"/>
      </w:pPr>
      <w:r>
        <w:rPr>
          <w:rFonts w:hint="eastAsia"/>
          <w:sz w:val="18"/>
          <w:szCs w:val="18"/>
        </w:rPr>
        <w:t>在业务开展期间，任一时点保证金余额(含前述投资的收益进行再投资的相关金额，不包括交割当期头寸而支付的全额保证金在内)合计不超过人民币6,000万元。</w:t>
      </w:r>
    </w:p>
    <w:p w:rsidR="00334CB7" w:rsidRDefault="002D376B">
      <w:pPr>
        <w:keepNext/>
        <w:keepLines/>
        <w:spacing w:before="300" w:after="300" w:line="280" w:lineRule="exact"/>
        <w:outlineLvl w:val="4"/>
        <w:rPr>
          <w:rFonts w:ascii="宋体" w:eastAsia="宋体" w:hAnsi="宋体" w:cs="宋体"/>
          <w:b/>
          <w:bCs/>
          <w:sz w:val="18"/>
          <w:szCs w:val="18"/>
        </w:rPr>
      </w:pPr>
      <w:bookmarkStart w:id="31" w:name="_Toc988920"/>
      <w:r>
        <w:rPr>
          <w:rFonts w:ascii="宋体" w:eastAsia="宋体" w:hAnsi="宋体" w:cs="宋体"/>
          <w:b/>
          <w:bCs/>
          <w:sz w:val="18"/>
          <w:szCs w:val="18"/>
        </w:rPr>
        <w:t>2） 报告期内以投机为目的的衍生品投资</w:t>
      </w:r>
      <w:bookmarkEnd w:id="31"/>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公司报告期不存在以投机为目的的衍生品投资。</w:t>
      </w:r>
    </w:p>
    <w:p w:rsidR="00334CB7" w:rsidRDefault="002D376B">
      <w:pPr>
        <w:pStyle w:val="3"/>
        <w:spacing w:line="280" w:lineRule="exact"/>
        <w:jc w:val="left"/>
        <w:rPr>
          <w:rFonts w:ascii="宋体" w:hAnsi="宋体" w:cs="宋体"/>
          <w:b/>
          <w:bCs/>
        </w:rPr>
      </w:pPr>
      <w:bookmarkStart w:id="32" w:name="_Toc988921"/>
      <w:r>
        <w:rPr>
          <w:rFonts w:ascii="宋体" w:hAnsi="宋体" w:cs="宋体"/>
          <w:b/>
          <w:bCs/>
        </w:rPr>
        <w:t>5、募集资金使用情况</w:t>
      </w:r>
      <w:bookmarkEnd w:id="32"/>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334CB7" w:rsidRDefault="002D376B">
      <w:pPr>
        <w:pStyle w:val="2"/>
        <w:spacing w:before="300" w:after="300" w:line="320" w:lineRule="exact"/>
        <w:rPr>
          <w:rFonts w:ascii="宋体" w:eastAsia="宋体" w:hAnsi="宋体" w:cs="宋体"/>
          <w:b/>
          <w:bCs/>
          <w:sz w:val="24"/>
          <w:szCs w:val="24"/>
        </w:rPr>
      </w:pPr>
      <w:bookmarkStart w:id="33" w:name="_Toc988922"/>
      <w:r>
        <w:rPr>
          <w:rFonts w:ascii="宋体" w:eastAsia="宋体" w:hAnsi="宋体" w:cs="宋体"/>
          <w:b/>
          <w:bCs/>
          <w:sz w:val="24"/>
          <w:szCs w:val="24"/>
        </w:rPr>
        <w:t>七、重大资产和股权出售</w:t>
      </w:r>
      <w:bookmarkEnd w:id="33"/>
    </w:p>
    <w:p w:rsidR="00334CB7" w:rsidRDefault="002D376B">
      <w:pPr>
        <w:pStyle w:val="3"/>
        <w:spacing w:line="280" w:lineRule="exact"/>
        <w:jc w:val="left"/>
        <w:rPr>
          <w:rFonts w:ascii="宋体" w:hAnsi="宋体" w:cs="宋体"/>
          <w:b/>
          <w:bCs/>
        </w:rPr>
      </w:pPr>
      <w:bookmarkStart w:id="34" w:name="_Toc988923"/>
      <w:r>
        <w:rPr>
          <w:rFonts w:ascii="宋体" w:hAnsi="宋体" w:cs="宋体"/>
          <w:b/>
          <w:bCs/>
        </w:rPr>
        <w:t>1、出售重大资产情况</w:t>
      </w:r>
      <w:bookmarkEnd w:id="34"/>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334CB7" w:rsidRDefault="002D376B">
      <w:pPr>
        <w:pStyle w:val="3"/>
        <w:spacing w:line="280" w:lineRule="exact"/>
        <w:jc w:val="left"/>
        <w:rPr>
          <w:rFonts w:ascii="宋体" w:hAnsi="宋体" w:cs="宋体"/>
          <w:b/>
          <w:bCs/>
        </w:rPr>
      </w:pPr>
      <w:bookmarkStart w:id="35" w:name="_Toc988924"/>
      <w:r>
        <w:rPr>
          <w:rFonts w:ascii="宋体" w:hAnsi="宋体" w:cs="宋体"/>
          <w:b/>
          <w:bCs/>
        </w:rPr>
        <w:t>2、出售重大股权情况</w:t>
      </w:r>
      <w:bookmarkEnd w:id="35"/>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36" w:name="_Toc988925"/>
      <w:r>
        <w:rPr>
          <w:rFonts w:ascii="宋体" w:eastAsia="宋体" w:hAnsi="宋体" w:cs="宋体"/>
          <w:b/>
          <w:bCs/>
          <w:sz w:val="24"/>
          <w:szCs w:val="24"/>
        </w:rPr>
        <w:t>八、主要控股参股公司分析</w:t>
      </w:r>
      <w:bookmarkEnd w:id="36"/>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主要子公司及对公司净利润影响达10%以上的参股公司情况</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华西码头</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液体化工码头的建设经营及</w:t>
            </w:r>
            <w:r>
              <w:rPr>
                <w:rFonts w:ascii="宋体" w:eastAsia="宋体" w:hAnsi="宋体" w:cs="宋体"/>
                <w:sz w:val="18"/>
                <w:szCs w:val="18"/>
              </w:rPr>
              <w:lastRenderedPageBreak/>
              <w:t>配套服务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20,442万元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65,616.34</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63,105.17</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12,556.85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5,705.46</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4,896.17</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一村资本</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投资管理、资产管理、创业投资、实业投资</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238,194万元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568,505.40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477,165.21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1,751.29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10,301.93</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7,445.63</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索尔思光电</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50,000美元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268,740.00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85,887.34</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99,755.79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6,118.41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5,801.44</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江苏银行</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吸收公众存款，发放贷款等业务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1,835,132万元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377,083,384.90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29,223,357.50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4,162,495.70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2,445,743.40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1,941,107.50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华泰证券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902,938万元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90,550,838.86</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18,221,743.20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3,657,758.53</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1,468,731.94</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1,303,625.93</w:t>
            </w:r>
          </w:p>
        </w:tc>
      </w:tr>
    </w:tbl>
    <w:p w:rsidR="00630967" w:rsidRDefault="00630967">
      <w:pPr>
        <w:spacing w:before="100" w:after="100" w:line="240" w:lineRule="exact"/>
        <w:rPr>
          <w:rFonts w:ascii="宋体" w:eastAsia="宋体" w:hAnsi="宋体" w:cs="宋体"/>
          <w:sz w:val="18"/>
          <w:szCs w:val="18"/>
        </w:rPr>
      </w:pPr>
    </w:p>
    <w:p w:rsidR="00630967" w:rsidRDefault="00630967" w:rsidP="00630967">
      <w:pPr>
        <w:spacing w:before="100" w:after="100" w:line="240" w:lineRule="exact"/>
        <w:rPr>
          <w:rFonts w:ascii="宋体" w:eastAsia="宋体" w:hAnsi="宋体" w:cs="宋体"/>
          <w:sz w:val="18"/>
          <w:szCs w:val="18"/>
        </w:rPr>
      </w:pPr>
      <w:r>
        <w:rPr>
          <w:rFonts w:ascii="宋体" w:eastAsia="宋体" w:hAnsi="宋体" w:cs="宋体" w:hint="eastAsia"/>
          <w:sz w:val="18"/>
          <w:szCs w:val="18"/>
        </w:rPr>
        <w:t>注：上述华泰证券财务数据来源于其2023年度审计报告，其余公司财务数据来源于其2024年半年度未经审计的财务报表。</w:t>
      </w:r>
    </w:p>
    <w:p w:rsidR="00630967" w:rsidRPr="00630967" w:rsidRDefault="00630967">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334CB7" w:rsidRDefault="00630967">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sidR="002D376B">
        <w:rPr>
          <w:rFonts w:ascii="宋体" w:eastAsia="宋体" w:hAnsi="宋体" w:cs="宋体"/>
          <w:sz w:val="18"/>
          <w:szCs w:val="18"/>
        </w:rPr>
        <w:t>适用</w:t>
      </w:r>
      <w:r>
        <w:rPr>
          <w:rFonts w:ascii="宋体" w:eastAsia="宋体" w:hAnsi="宋体" w:cs="宋体" w:hint="eastAsia"/>
          <w:sz w:val="18"/>
          <w:szCs w:val="18"/>
        </w:rPr>
        <w:t xml:space="preserve">  </w:t>
      </w:r>
      <w:r>
        <w:rPr>
          <w:rFonts w:ascii="宋体" w:eastAsia="宋体" w:hAnsi="宋体" w:cs="宋体"/>
          <w:sz w:val="18"/>
          <w:szCs w:val="18"/>
        </w:rPr>
        <w:t>□不</w:t>
      </w:r>
      <w:r w:rsidR="002D376B">
        <w:rPr>
          <w:rFonts w:ascii="宋体" w:eastAsia="宋体" w:hAnsi="宋体" w:cs="宋体"/>
          <w:sz w:val="18"/>
          <w:szCs w:val="18"/>
        </w:rPr>
        <w:t>适用</w:t>
      </w:r>
    </w:p>
    <w:p w:rsidR="00C1183B" w:rsidRDefault="002D376B" w:rsidP="00630967">
      <w:pPr>
        <w:pStyle w:val="a3"/>
        <w:ind w:firstLineChars="200" w:firstLine="360"/>
        <w:divId w:val="1660040256"/>
        <w:rPr>
          <w:sz w:val="18"/>
          <w:szCs w:val="18"/>
        </w:rPr>
      </w:pPr>
      <w:r>
        <w:rPr>
          <w:rFonts w:hint="eastAsia"/>
          <w:sz w:val="18"/>
          <w:szCs w:val="18"/>
        </w:rPr>
        <w:t>报告期内，经2023年度股东大会授权，公司通过</w:t>
      </w:r>
      <w:r>
        <w:rPr>
          <w:rFonts w:hint="eastAsia"/>
          <w:color w:val="333333"/>
          <w:sz w:val="18"/>
          <w:szCs w:val="18"/>
          <w:shd w:val="clear" w:color="auto" w:fill="FFFFFF"/>
        </w:rPr>
        <w:t>集中竞价交易方式出售江苏银行股票1,050万股，获得净利润约1,017万元。截至2024年7月4日，公司持有的江苏银行股票已处置完毕。</w:t>
      </w:r>
    </w:p>
    <w:p w:rsidR="00334CB7" w:rsidRDefault="002D376B">
      <w:pPr>
        <w:pStyle w:val="2"/>
        <w:spacing w:before="300" w:after="300" w:line="320" w:lineRule="exact"/>
        <w:rPr>
          <w:rFonts w:ascii="宋体" w:eastAsia="宋体" w:hAnsi="宋体" w:cs="宋体"/>
          <w:b/>
          <w:bCs/>
          <w:sz w:val="24"/>
          <w:szCs w:val="24"/>
        </w:rPr>
      </w:pPr>
      <w:bookmarkStart w:id="37" w:name="_Toc988926"/>
      <w:r>
        <w:rPr>
          <w:rFonts w:ascii="宋体" w:eastAsia="宋体" w:hAnsi="宋体" w:cs="宋体"/>
          <w:b/>
          <w:bCs/>
          <w:sz w:val="24"/>
          <w:szCs w:val="24"/>
        </w:rPr>
        <w:t>九、公司控制的结构化主体情况</w:t>
      </w:r>
      <w:bookmarkEnd w:id="37"/>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1183B" w:rsidRPr="00930AC4" w:rsidRDefault="002D376B">
      <w:pPr>
        <w:pStyle w:val="a3"/>
        <w:spacing w:before="40" w:beforeAutospacing="0" w:after="40" w:afterAutospacing="0"/>
        <w:ind w:firstLine="360"/>
        <w:jc w:val="both"/>
        <w:divId w:val="182592169"/>
        <w:rPr>
          <w:rFonts w:asciiTheme="minorEastAsia" w:eastAsiaTheme="minorEastAsia" w:hAnsiTheme="minorEastAsia"/>
        </w:rPr>
      </w:pPr>
      <w:r w:rsidRPr="00930AC4">
        <w:rPr>
          <w:rFonts w:asciiTheme="minorEastAsia" w:eastAsiaTheme="minorEastAsia" w:hAnsiTheme="minorEastAsia" w:hint="eastAsia"/>
          <w:sz w:val="18"/>
          <w:szCs w:val="18"/>
        </w:rPr>
        <w:t>报告期末纳入公司合并范围的结构化主体共</w:t>
      </w:r>
      <w:r w:rsidRPr="00930AC4">
        <w:rPr>
          <w:rFonts w:asciiTheme="minorEastAsia" w:eastAsiaTheme="minorEastAsia" w:hAnsiTheme="minorEastAsia" w:cs="Times New Roman"/>
          <w:sz w:val="18"/>
          <w:szCs w:val="18"/>
        </w:rPr>
        <w:t>1</w:t>
      </w:r>
      <w:r w:rsidRPr="00930AC4">
        <w:rPr>
          <w:rFonts w:asciiTheme="minorEastAsia" w:eastAsiaTheme="minorEastAsia" w:hAnsiTheme="minorEastAsia" w:hint="eastAsia"/>
          <w:sz w:val="18"/>
          <w:szCs w:val="18"/>
        </w:rPr>
        <w:t>户，为上海启澜企业管理咨询合伙企业（有限合伙），总规模：</w:t>
      </w:r>
      <w:r w:rsidRPr="00930AC4">
        <w:rPr>
          <w:rFonts w:asciiTheme="minorEastAsia" w:eastAsiaTheme="minorEastAsia" w:hAnsiTheme="minorEastAsia" w:cs="Times New Roman"/>
          <w:sz w:val="18"/>
          <w:szCs w:val="18"/>
        </w:rPr>
        <w:t>115,000</w:t>
      </w:r>
      <w:r w:rsidRPr="00930AC4">
        <w:rPr>
          <w:rFonts w:asciiTheme="minorEastAsia" w:eastAsiaTheme="minorEastAsia" w:hAnsiTheme="minorEastAsia" w:hint="eastAsia"/>
          <w:sz w:val="18"/>
          <w:szCs w:val="18"/>
        </w:rPr>
        <w:t>万元，公司作为有限合伙人认缴出资</w:t>
      </w:r>
      <w:r w:rsidRPr="00930AC4">
        <w:rPr>
          <w:rFonts w:asciiTheme="minorEastAsia" w:eastAsiaTheme="minorEastAsia" w:hAnsiTheme="minorEastAsia" w:cs="Times New Roman"/>
          <w:sz w:val="18"/>
          <w:szCs w:val="18"/>
        </w:rPr>
        <w:t>114,200</w:t>
      </w:r>
      <w:r w:rsidRPr="00930AC4">
        <w:rPr>
          <w:rFonts w:asciiTheme="minorEastAsia" w:eastAsiaTheme="minorEastAsia" w:hAnsiTheme="minorEastAsia" w:hint="eastAsia"/>
          <w:sz w:val="18"/>
          <w:szCs w:val="18"/>
        </w:rPr>
        <w:t>万元，占上海启澜总规模的</w:t>
      </w:r>
      <w:r w:rsidRPr="00930AC4">
        <w:rPr>
          <w:rFonts w:asciiTheme="minorEastAsia" w:eastAsiaTheme="minorEastAsia" w:hAnsiTheme="minorEastAsia" w:cs="Times New Roman"/>
          <w:sz w:val="18"/>
          <w:szCs w:val="18"/>
        </w:rPr>
        <w:t>99.30%</w:t>
      </w:r>
      <w:r w:rsidRPr="00930AC4">
        <w:rPr>
          <w:rFonts w:asciiTheme="minorEastAsia" w:eastAsiaTheme="minorEastAsia" w:hAnsiTheme="minorEastAsia" w:hint="eastAsia"/>
          <w:sz w:val="18"/>
          <w:szCs w:val="18"/>
        </w:rPr>
        <w:t>；上海一村安识企业管理有限公司作为普通合伙人认缴出资</w:t>
      </w:r>
      <w:r w:rsidRPr="00930AC4">
        <w:rPr>
          <w:rFonts w:asciiTheme="minorEastAsia" w:eastAsiaTheme="minorEastAsia" w:hAnsiTheme="minorEastAsia" w:cs="Times New Roman"/>
          <w:sz w:val="18"/>
          <w:szCs w:val="18"/>
        </w:rPr>
        <w:t>800</w:t>
      </w:r>
      <w:r w:rsidRPr="00930AC4">
        <w:rPr>
          <w:rFonts w:asciiTheme="minorEastAsia" w:eastAsiaTheme="minorEastAsia" w:hAnsiTheme="minorEastAsia" w:hint="eastAsia"/>
          <w:sz w:val="18"/>
          <w:szCs w:val="18"/>
        </w:rPr>
        <w:t>万元，占上海启澜总规模的</w:t>
      </w:r>
      <w:r w:rsidRPr="00930AC4">
        <w:rPr>
          <w:rFonts w:asciiTheme="minorEastAsia" w:eastAsiaTheme="minorEastAsia" w:hAnsiTheme="minorEastAsia" w:cs="Times New Roman"/>
          <w:sz w:val="18"/>
          <w:szCs w:val="18"/>
        </w:rPr>
        <w:t>0.70%</w:t>
      </w:r>
      <w:r w:rsidRPr="00930AC4">
        <w:rPr>
          <w:rFonts w:asciiTheme="minorEastAsia" w:eastAsiaTheme="minorEastAsia" w:hAnsiTheme="minorEastAsia" w:hint="eastAsia"/>
          <w:sz w:val="18"/>
          <w:szCs w:val="18"/>
        </w:rPr>
        <w:t>。公司向上海启澜实缴出资人民币</w:t>
      </w:r>
      <w:r w:rsidRPr="00930AC4">
        <w:rPr>
          <w:rFonts w:asciiTheme="minorEastAsia" w:eastAsiaTheme="minorEastAsia" w:hAnsiTheme="minorEastAsia" w:cs="Times New Roman"/>
          <w:sz w:val="18"/>
          <w:szCs w:val="18"/>
        </w:rPr>
        <w:t>96,250</w:t>
      </w:r>
      <w:r w:rsidRPr="00930AC4">
        <w:rPr>
          <w:rFonts w:asciiTheme="minorEastAsia" w:eastAsiaTheme="minorEastAsia" w:hAnsiTheme="minorEastAsia" w:hint="eastAsia"/>
          <w:sz w:val="18"/>
          <w:szCs w:val="18"/>
        </w:rPr>
        <w:t>万元。</w:t>
      </w:r>
    </w:p>
    <w:p w:rsidR="00C1183B" w:rsidRPr="00930AC4" w:rsidRDefault="002D376B">
      <w:pPr>
        <w:pStyle w:val="a3"/>
        <w:spacing w:before="40" w:beforeAutospacing="0" w:after="40" w:afterAutospacing="0"/>
        <w:ind w:firstLine="360"/>
        <w:jc w:val="both"/>
        <w:divId w:val="182592169"/>
        <w:rPr>
          <w:rFonts w:asciiTheme="minorEastAsia" w:eastAsiaTheme="minorEastAsia" w:hAnsiTheme="minorEastAsia"/>
        </w:rPr>
      </w:pPr>
      <w:r w:rsidRPr="00930AC4">
        <w:rPr>
          <w:rFonts w:asciiTheme="minorEastAsia" w:eastAsiaTheme="minorEastAsia" w:hAnsiTheme="minorEastAsia" w:hint="eastAsia"/>
          <w:sz w:val="18"/>
          <w:szCs w:val="18"/>
        </w:rPr>
        <w:t>利润分配：上海启澜从其直接或间接处置索尔思项目</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包括但不限于处置其在</w:t>
      </w:r>
      <w:r w:rsidRPr="00930AC4">
        <w:rPr>
          <w:rFonts w:asciiTheme="minorEastAsia" w:eastAsiaTheme="minorEastAsia" w:hAnsiTheme="minorEastAsia" w:cs="Times New Roman"/>
          <w:sz w:val="18"/>
          <w:szCs w:val="18"/>
        </w:rPr>
        <w:t>Diamond Hill, L.P.</w:t>
      </w:r>
      <w:r w:rsidRPr="00930AC4">
        <w:rPr>
          <w:rFonts w:asciiTheme="minorEastAsia" w:eastAsiaTheme="minorEastAsia" w:hAnsiTheme="minorEastAsia" w:hint="eastAsia"/>
          <w:sz w:val="18"/>
          <w:szCs w:val="18"/>
        </w:rPr>
        <w:t>的合伙份额或其他权益</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获得的收入或从其投资运营活动</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包括与索尔思项目相关的投资</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获得的分红、股息、利息、其他类似的现金收入在扣除为支付相关税费、债务、其他义务以及为将来可能发生的该等税费、债务、合伙企业费用和其他义务进行合理的预留适当的金额后可供分配的部分，应在经全体合伙人协商一致的合理时间内按照以下分配原则和顺序进行分配：</w:t>
      </w:r>
    </w:p>
    <w:p w:rsidR="00C1183B" w:rsidRPr="00930AC4" w:rsidRDefault="002D376B">
      <w:pPr>
        <w:pStyle w:val="a3"/>
        <w:spacing w:before="40" w:beforeAutospacing="0" w:after="40" w:afterAutospacing="0"/>
        <w:ind w:firstLine="360"/>
        <w:jc w:val="both"/>
        <w:divId w:val="182592169"/>
        <w:rPr>
          <w:rFonts w:asciiTheme="minorEastAsia" w:eastAsiaTheme="minorEastAsia" w:hAnsiTheme="minorEastAsia"/>
        </w:rPr>
      </w:pPr>
      <w:r w:rsidRPr="00930AC4">
        <w:rPr>
          <w:rFonts w:asciiTheme="minorEastAsia" w:eastAsiaTheme="minorEastAsia" w:hAnsiTheme="minorEastAsia" w:hint="eastAsia"/>
          <w:sz w:val="18"/>
          <w:szCs w:val="18"/>
        </w:rPr>
        <w:t>（</w:t>
      </w:r>
      <w:r w:rsidRPr="00930AC4">
        <w:rPr>
          <w:rFonts w:asciiTheme="minorEastAsia" w:eastAsiaTheme="minorEastAsia" w:hAnsiTheme="minorEastAsia" w:cs="Times New Roman"/>
          <w:sz w:val="18"/>
          <w:szCs w:val="18"/>
        </w:rPr>
        <w:t>1</w:t>
      </w:r>
      <w:r w:rsidRPr="00930AC4">
        <w:rPr>
          <w:rFonts w:asciiTheme="minorEastAsia" w:eastAsiaTheme="minorEastAsia" w:hAnsiTheme="minorEastAsia" w:hint="eastAsia"/>
          <w:sz w:val="18"/>
          <w:szCs w:val="18"/>
        </w:rPr>
        <w:t>）首先，百分之百向华西股份进行分配，直至华西股份所取得的累计分配等于其用于索尔思项目的实缴出资额；</w:t>
      </w:r>
    </w:p>
    <w:p w:rsidR="00C1183B" w:rsidRPr="00930AC4" w:rsidRDefault="002D376B">
      <w:pPr>
        <w:pStyle w:val="a3"/>
        <w:spacing w:before="40" w:beforeAutospacing="0" w:after="40" w:afterAutospacing="0"/>
        <w:ind w:firstLine="360"/>
        <w:jc w:val="both"/>
        <w:divId w:val="182592169"/>
        <w:rPr>
          <w:rFonts w:asciiTheme="minorEastAsia" w:eastAsiaTheme="minorEastAsia" w:hAnsiTheme="minorEastAsia"/>
        </w:rPr>
      </w:pPr>
      <w:r w:rsidRPr="00930AC4">
        <w:rPr>
          <w:rFonts w:asciiTheme="minorEastAsia" w:eastAsiaTheme="minorEastAsia" w:hAnsiTheme="minorEastAsia" w:hint="eastAsia"/>
          <w:sz w:val="18"/>
          <w:szCs w:val="18"/>
        </w:rPr>
        <w:t>（</w:t>
      </w:r>
      <w:r w:rsidRPr="00930AC4">
        <w:rPr>
          <w:rFonts w:asciiTheme="minorEastAsia" w:eastAsiaTheme="minorEastAsia" w:hAnsiTheme="minorEastAsia" w:cs="Times New Roman"/>
          <w:sz w:val="18"/>
          <w:szCs w:val="18"/>
        </w:rPr>
        <w:t>2</w:t>
      </w:r>
      <w:r w:rsidRPr="00930AC4">
        <w:rPr>
          <w:rFonts w:asciiTheme="minorEastAsia" w:eastAsiaTheme="minorEastAsia" w:hAnsiTheme="minorEastAsia" w:hint="eastAsia"/>
          <w:sz w:val="18"/>
          <w:szCs w:val="18"/>
        </w:rPr>
        <w:t>）其次，百分之百向华西股份进行分配，直至其就上述第（</w:t>
      </w:r>
      <w:r w:rsidRPr="00930AC4">
        <w:rPr>
          <w:rFonts w:asciiTheme="minorEastAsia" w:eastAsiaTheme="minorEastAsia" w:hAnsiTheme="minorEastAsia" w:cs="Times New Roman"/>
          <w:sz w:val="18"/>
          <w:szCs w:val="18"/>
        </w:rPr>
        <w:t>1</w:t>
      </w:r>
      <w:r w:rsidRPr="00930AC4">
        <w:rPr>
          <w:rFonts w:asciiTheme="minorEastAsia" w:eastAsiaTheme="minorEastAsia" w:hAnsiTheme="minorEastAsia" w:hint="eastAsia"/>
          <w:sz w:val="18"/>
          <w:szCs w:val="18"/>
        </w:rPr>
        <w:t>）款项下累计获得的分配额获得每年百分之八的单利计算所得的门槛收益</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门槛收益</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。门槛收益的计算期间为华西股份每一期实缴出资额的缴资到期日</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或实际出资日，如更晚</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起至华西股份根据上述第（</w:t>
      </w:r>
      <w:r w:rsidRPr="00930AC4">
        <w:rPr>
          <w:rFonts w:asciiTheme="minorEastAsia" w:eastAsiaTheme="minorEastAsia" w:hAnsiTheme="minorEastAsia" w:cs="Times New Roman"/>
          <w:sz w:val="18"/>
          <w:szCs w:val="18"/>
        </w:rPr>
        <w:t>1</w:t>
      </w:r>
      <w:r w:rsidRPr="00930AC4">
        <w:rPr>
          <w:rFonts w:asciiTheme="minorEastAsia" w:eastAsiaTheme="minorEastAsia" w:hAnsiTheme="minorEastAsia" w:hint="eastAsia"/>
          <w:sz w:val="18"/>
          <w:szCs w:val="18"/>
        </w:rPr>
        <w:t>）款收回该部分实缴出资额之日止（为计算门槛收益之目的，一年以三百六十日计算</w:t>
      </w:r>
      <w:r w:rsidRPr="00930AC4">
        <w:rPr>
          <w:rFonts w:asciiTheme="minorEastAsia" w:eastAsiaTheme="minorEastAsia" w:hAnsiTheme="minorEastAsia" w:cs="Times New Roman"/>
          <w:sz w:val="18"/>
          <w:szCs w:val="18"/>
        </w:rPr>
        <w:t xml:space="preserve">, </w:t>
      </w:r>
      <w:r w:rsidRPr="00930AC4">
        <w:rPr>
          <w:rFonts w:asciiTheme="minorEastAsia" w:eastAsiaTheme="minorEastAsia" w:hAnsiTheme="minorEastAsia" w:hint="eastAsia"/>
          <w:sz w:val="18"/>
          <w:szCs w:val="18"/>
        </w:rPr>
        <w:t>即门槛收益每日费率</w:t>
      </w:r>
      <w:r w:rsidRPr="00930AC4">
        <w:rPr>
          <w:rFonts w:asciiTheme="minorEastAsia" w:eastAsiaTheme="minorEastAsia" w:hAnsiTheme="minorEastAsia" w:cs="Times New Roman"/>
          <w:sz w:val="18"/>
          <w:szCs w:val="18"/>
        </w:rPr>
        <w:t>=</w:t>
      </w:r>
      <w:r w:rsidRPr="00930AC4">
        <w:rPr>
          <w:rFonts w:asciiTheme="minorEastAsia" w:eastAsiaTheme="minorEastAsia" w:hAnsiTheme="minorEastAsia" w:hint="eastAsia"/>
          <w:sz w:val="18"/>
          <w:szCs w:val="18"/>
        </w:rPr>
        <w:t>门槛收益每年费率</w:t>
      </w:r>
      <w:r w:rsidRPr="00930AC4">
        <w:rPr>
          <w:rFonts w:asciiTheme="minorEastAsia" w:eastAsiaTheme="minorEastAsia" w:hAnsiTheme="minorEastAsia" w:cs="Times New Roman"/>
          <w:sz w:val="18"/>
          <w:szCs w:val="18"/>
        </w:rPr>
        <w:t>/360</w:t>
      </w:r>
      <w:r w:rsidRPr="00930AC4">
        <w:rPr>
          <w:rFonts w:asciiTheme="minorEastAsia" w:eastAsiaTheme="minorEastAsia" w:hAnsiTheme="minorEastAsia" w:hint="eastAsia"/>
          <w:sz w:val="18"/>
          <w:szCs w:val="18"/>
        </w:rPr>
        <w:t>）；</w:t>
      </w:r>
    </w:p>
    <w:p w:rsidR="00C1183B" w:rsidRPr="00930AC4" w:rsidRDefault="002D376B">
      <w:pPr>
        <w:pStyle w:val="a3"/>
        <w:spacing w:before="40" w:beforeAutospacing="0" w:after="40" w:afterAutospacing="0"/>
        <w:ind w:firstLine="360"/>
        <w:jc w:val="both"/>
        <w:divId w:val="182592169"/>
        <w:rPr>
          <w:rFonts w:asciiTheme="minorEastAsia" w:eastAsiaTheme="minorEastAsia" w:hAnsiTheme="minorEastAsia"/>
        </w:rPr>
      </w:pPr>
      <w:r w:rsidRPr="00930AC4">
        <w:rPr>
          <w:rFonts w:asciiTheme="minorEastAsia" w:eastAsiaTheme="minorEastAsia" w:hAnsiTheme="minorEastAsia" w:hint="eastAsia"/>
          <w:sz w:val="18"/>
          <w:szCs w:val="18"/>
        </w:rPr>
        <w:t>（</w:t>
      </w:r>
      <w:r w:rsidRPr="00930AC4">
        <w:rPr>
          <w:rFonts w:asciiTheme="minorEastAsia" w:eastAsiaTheme="minorEastAsia" w:hAnsiTheme="minorEastAsia" w:cs="Times New Roman"/>
          <w:sz w:val="18"/>
          <w:szCs w:val="18"/>
        </w:rPr>
        <w:t>3</w:t>
      </w:r>
      <w:r w:rsidRPr="00930AC4">
        <w:rPr>
          <w:rFonts w:asciiTheme="minorEastAsia" w:eastAsiaTheme="minorEastAsia" w:hAnsiTheme="minorEastAsia" w:hint="eastAsia"/>
          <w:sz w:val="18"/>
          <w:szCs w:val="18"/>
        </w:rPr>
        <w:t>）再次，剩余部分百分之二十分配给上海一村安识企业管理有限公司，百分之八十分配给华西股份。</w:t>
      </w:r>
    </w:p>
    <w:p w:rsidR="00334CB7" w:rsidRDefault="002D376B">
      <w:pPr>
        <w:pStyle w:val="2"/>
        <w:spacing w:before="300" w:after="300" w:line="320" w:lineRule="exact"/>
        <w:rPr>
          <w:rFonts w:ascii="宋体" w:eastAsia="宋体" w:hAnsi="宋体" w:cs="宋体"/>
          <w:b/>
          <w:bCs/>
          <w:sz w:val="24"/>
          <w:szCs w:val="24"/>
        </w:rPr>
      </w:pPr>
      <w:bookmarkStart w:id="38" w:name="_Toc988927"/>
      <w:r>
        <w:rPr>
          <w:rFonts w:ascii="宋体" w:eastAsia="宋体" w:hAnsi="宋体" w:cs="宋体"/>
          <w:b/>
          <w:bCs/>
          <w:sz w:val="24"/>
          <w:szCs w:val="24"/>
        </w:rPr>
        <w:t>十、公司面临的风险和应对措施</w:t>
      </w:r>
      <w:bookmarkEnd w:id="38"/>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（1）宏观政策风险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公司所处的纺织化纤行业与投资和消费需求紧密相关，受宏观经济波动的影响较为明显。同时，公司产品市场是全球性市场，汇率的波动将会对公司外销利润带来不确定影响。从长期看，宏观调控措施将影响纺织化纤市场的总体供</w:t>
      </w:r>
      <w:r>
        <w:rPr>
          <w:rFonts w:hint="eastAsia"/>
          <w:sz w:val="18"/>
          <w:szCs w:val="18"/>
        </w:rPr>
        <w:lastRenderedPageBreak/>
        <w:t>求关系、产品供应结构等，并可能使相关市场短期内产生较大波动。如果公司不能适应国家的宏观调控政策并及时做出相应的业务策略调整，将可能对公司的经营成果和未来发展构成不利影响。</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（2）日常经营和管理风险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①化纤行业周期性波动风险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公司的生产经营主要受上游石化行业供给、下游纺织行业供需关系以及自身发展状况的影响，而呈现一定的周期特征。由于化纤行业的上下游——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②化纤行业市场竞争风险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种纤维等高端产品，经营业绩有下滑的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③原材料价格波动风险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公司涤纶短纤维产品的主要原料为精对苯二甲酸和乙二醇，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④石化仓储业务内延发展受限的风险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对于石化仓储企业来说，码头岸线及土地资源是企业发展的关键性资源。公司的仓储业务对码头和土地的依赖性较高。目前，公司无新增液体化工专用码头资源，且土地供给也受限，面临内延发展受限的风险。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⑤环保和安全生产风险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公司主营业务所处的纺织化纤和石化仓储行业，在生产经营的过程中还可能存在一定程度地影响周边环境的因素，例如产生废水、废气以及固体废弃物等污染物。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公司库区存储的货品大多数是易燃、易爆、有毒或腐蚀性的高危液体化工产品，若出现操作失误或设备故障，可能导致生产事故的发生，对周边地区及长江流域造成环境污染，从而面临承担赔偿相关损失和受到处罚的风险。因此，公司面临一定的安全生产、环境保护及其他突发事件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（3）人力资源风险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随着公司生产经营的良性可持续发展，公司的管理水平和员工素质也要随之提高，加上目前公司员工的年龄结构正在变的高龄化，这对公司在人力资源保障方面提出了更高要求。公司虽然建立了具备市场竞争力的薪酬机制，以及良好的培养机制，但在快速发展过程中仍会面临人力资源不足和人才流失的风险。</w:t>
      </w:r>
    </w:p>
    <w:p w:rsidR="00C1183B" w:rsidRDefault="002D376B" w:rsidP="00630967">
      <w:pPr>
        <w:pStyle w:val="a3"/>
        <w:spacing w:before="0" w:beforeAutospacing="0" w:after="0" w:afterAutospacing="0" w:line="276" w:lineRule="auto"/>
        <w:ind w:firstLine="482"/>
        <w:jc w:val="both"/>
        <w:divId w:val="883568159"/>
      </w:pPr>
      <w:r>
        <w:rPr>
          <w:rFonts w:hint="eastAsia"/>
          <w:sz w:val="18"/>
          <w:szCs w:val="18"/>
        </w:rPr>
        <w:t>针对上述风险，公司将及时了解外部环境变化趋势，调整产品结构，加大创新力度，提高技术水平和研发能力，赢得市场竞争的主动权，增强企业的抗风险能力。同时，进一步完善内部控制体系，强化风险防范机制，主动适应宏观经济新常态和市场竞争格局的变化，建立科学的决策体系和管理体系，严格按照相关法律法规、生产规范进行日常管理，持续提高经营管理水平和风险防范能力。在生产过程中持续加强对安全、环保的控制和监督，加强对安全、环境保护法律法规的学习，提升员工和管理人员的环保意识，严格遵守执行安全、环保法律法规，切实履行安全、环保责任，避免安全环保给公司带来的不利影响。</w:t>
      </w:r>
    </w:p>
    <w:p w:rsidR="00334CB7" w:rsidRDefault="002D376B">
      <w:pPr>
        <w:pStyle w:val="2"/>
        <w:spacing w:before="300" w:after="300" w:line="320" w:lineRule="exact"/>
        <w:rPr>
          <w:rFonts w:ascii="宋体" w:eastAsia="宋体" w:hAnsi="宋体" w:cs="宋体"/>
          <w:b/>
          <w:bCs/>
          <w:sz w:val="24"/>
          <w:szCs w:val="24"/>
        </w:rPr>
      </w:pPr>
      <w:bookmarkStart w:id="39" w:name="_Toc988928"/>
      <w:r>
        <w:rPr>
          <w:rFonts w:ascii="宋体" w:eastAsia="宋体" w:hAnsi="宋体" w:cs="宋体"/>
          <w:b/>
          <w:bCs/>
          <w:sz w:val="24"/>
          <w:szCs w:val="24"/>
        </w:rPr>
        <w:lastRenderedPageBreak/>
        <w:t>十一、“质量回报双提升”行动方案贯彻落实情况</w:t>
      </w:r>
      <w:bookmarkEnd w:id="39"/>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公司是否披露了“质量回报双提升”行动方案公告。</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40" w:name="_Toc988929"/>
      <w:r>
        <w:rPr>
          <w:rFonts w:ascii="宋体" w:eastAsia="宋体" w:hAnsi="宋体" w:cs="宋体"/>
          <w:b/>
          <w:bCs/>
          <w:sz w:val="32"/>
          <w:szCs w:val="32"/>
        </w:rPr>
        <w:lastRenderedPageBreak/>
        <w:t>第四节 公司治理</w:t>
      </w:r>
      <w:bookmarkEnd w:id="40"/>
    </w:p>
    <w:p w:rsidR="00334CB7" w:rsidRDefault="002D376B">
      <w:pPr>
        <w:pStyle w:val="2"/>
        <w:spacing w:before="300" w:after="300" w:line="320" w:lineRule="exact"/>
        <w:rPr>
          <w:rFonts w:ascii="宋体" w:eastAsia="宋体" w:hAnsi="宋体" w:cs="宋体"/>
          <w:b/>
          <w:bCs/>
          <w:sz w:val="24"/>
          <w:szCs w:val="24"/>
        </w:rPr>
      </w:pPr>
      <w:bookmarkStart w:id="41" w:name="_Toc988930"/>
      <w:r>
        <w:rPr>
          <w:rFonts w:ascii="宋体" w:eastAsia="宋体" w:hAnsi="宋体" w:cs="宋体"/>
          <w:b/>
          <w:bCs/>
          <w:sz w:val="24"/>
          <w:szCs w:val="24"/>
        </w:rPr>
        <w:t>一、报告期内召开的年度股东大会和临时股东大会的有关情况</w:t>
      </w:r>
      <w:bookmarkEnd w:id="41"/>
    </w:p>
    <w:p w:rsidR="00334CB7" w:rsidRDefault="002D376B">
      <w:pPr>
        <w:pStyle w:val="3"/>
        <w:spacing w:line="280" w:lineRule="exact"/>
        <w:jc w:val="left"/>
        <w:rPr>
          <w:rFonts w:ascii="宋体" w:hAnsi="宋体" w:cs="宋体"/>
          <w:b/>
          <w:bCs/>
        </w:rPr>
      </w:pPr>
      <w:bookmarkStart w:id="42" w:name="_Toc988931"/>
      <w:r>
        <w:rPr>
          <w:rFonts w:ascii="宋体" w:hAnsi="宋体" w:cs="宋体"/>
          <w:b/>
          <w:bCs/>
        </w:rPr>
        <w:t>1、本报告期股东大会情况</w:t>
      </w:r>
      <w:bookmarkEnd w:id="4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865"/>
        <w:gridCol w:w="1276"/>
        <w:gridCol w:w="1418"/>
        <w:gridCol w:w="2868"/>
      </w:tblGrid>
      <w:tr w:rsidR="00334CB7" w:rsidTr="0063096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86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334CB7" w:rsidTr="0063096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2023年度股东大会</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86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38.92%</w:t>
            </w:r>
          </w:p>
        </w:tc>
        <w:tc>
          <w:tcPr>
            <w:tcW w:w="12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2024年05月24日</w:t>
            </w:r>
          </w:p>
        </w:tc>
        <w:tc>
          <w:tcPr>
            <w:tcW w:w="141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2024年05月25日</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66396A" w:rsidP="00630967">
            <w:pPr>
              <w:spacing w:line="240" w:lineRule="exact"/>
              <w:jc w:val="both"/>
              <w:rPr>
                <w:rFonts w:ascii="宋体" w:eastAsia="宋体" w:hAnsi="宋体" w:cs="宋体"/>
                <w:sz w:val="18"/>
                <w:szCs w:val="18"/>
              </w:rPr>
            </w:pPr>
            <w:r>
              <w:rPr>
                <w:rFonts w:ascii="宋体" w:eastAsia="宋体" w:hAnsi="宋体" w:cs="宋体"/>
                <w:sz w:val="18"/>
                <w:szCs w:val="18"/>
              </w:rPr>
              <w:t>会议</w:t>
            </w:r>
            <w:r w:rsidR="002D376B">
              <w:rPr>
                <w:rFonts w:ascii="宋体" w:eastAsia="宋体" w:hAnsi="宋体" w:cs="宋体"/>
                <w:sz w:val="18"/>
                <w:szCs w:val="18"/>
              </w:rPr>
              <w:t>审议通过了《2023年度董事会工作报告》</w:t>
            </w:r>
            <w:r w:rsidR="00787E00">
              <w:rPr>
                <w:rFonts w:ascii="宋体" w:eastAsia="宋体" w:hAnsi="宋体" w:cs="宋体"/>
                <w:sz w:val="18"/>
                <w:szCs w:val="18"/>
              </w:rPr>
              <w:t>、</w:t>
            </w:r>
            <w:r w:rsidR="002D376B">
              <w:rPr>
                <w:rFonts w:ascii="宋体" w:eastAsia="宋体" w:hAnsi="宋体" w:cs="宋体"/>
                <w:sz w:val="18"/>
                <w:szCs w:val="18"/>
              </w:rPr>
              <w:t>《2023年度监事会工作报告》</w:t>
            </w:r>
            <w:r w:rsidR="00787E00">
              <w:rPr>
                <w:rFonts w:ascii="宋体" w:eastAsia="宋体" w:hAnsi="宋体" w:cs="宋体"/>
                <w:sz w:val="18"/>
                <w:szCs w:val="18"/>
              </w:rPr>
              <w:t>、</w:t>
            </w:r>
            <w:r w:rsidR="002D376B">
              <w:rPr>
                <w:rFonts w:ascii="宋体" w:eastAsia="宋体" w:hAnsi="宋体" w:cs="宋体"/>
                <w:sz w:val="18"/>
                <w:szCs w:val="18"/>
              </w:rPr>
              <w:t>《2023年度财务决算报告》</w:t>
            </w:r>
            <w:r w:rsidR="00787E00">
              <w:rPr>
                <w:rFonts w:ascii="宋体" w:eastAsia="宋体" w:hAnsi="宋体" w:cs="宋体"/>
                <w:sz w:val="18"/>
                <w:szCs w:val="18"/>
              </w:rPr>
              <w:t>、</w:t>
            </w:r>
            <w:r w:rsidR="002D376B">
              <w:rPr>
                <w:rFonts w:ascii="宋体" w:eastAsia="宋体" w:hAnsi="宋体" w:cs="宋体"/>
                <w:sz w:val="18"/>
                <w:szCs w:val="18"/>
              </w:rPr>
              <w:t>《2023年度利润分配预案》</w:t>
            </w:r>
            <w:r w:rsidR="00787E00">
              <w:rPr>
                <w:rFonts w:ascii="宋体" w:eastAsia="宋体" w:hAnsi="宋体" w:cs="宋体"/>
                <w:sz w:val="18"/>
                <w:szCs w:val="18"/>
              </w:rPr>
              <w:t>、</w:t>
            </w:r>
            <w:r w:rsidR="002D376B">
              <w:rPr>
                <w:rFonts w:ascii="宋体" w:eastAsia="宋体" w:hAnsi="宋体" w:cs="宋体"/>
                <w:sz w:val="18"/>
                <w:szCs w:val="18"/>
              </w:rPr>
              <w:t>《2023年度报告全文及摘要》</w:t>
            </w:r>
            <w:r w:rsidR="00787E00">
              <w:rPr>
                <w:rFonts w:ascii="宋体" w:eastAsia="宋体" w:hAnsi="宋体" w:cs="宋体"/>
                <w:sz w:val="18"/>
                <w:szCs w:val="18"/>
              </w:rPr>
              <w:t>、</w:t>
            </w:r>
            <w:r w:rsidR="002D376B">
              <w:rPr>
                <w:rFonts w:ascii="宋体" w:eastAsia="宋体" w:hAnsi="宋体" w:cs="宋体"/>
                <w:sz w:val="18"/>
                <w:szCs w:val="18"/>
              </w:rPr>
              <w:t>《关于开展期货和衍生品交易的议案》</w:t>
            </w:r>
            <w:r w:rsidR="00787E00">
              <w:rPr>
                <w:rFonts w:ascii="宋体" w:eastAsia="宋体" w:hAnsi="宋体" w:cs="宋体"/>
                <w:sz w:val="18"/>
                <w:szCs w:val="18"/>
              </w:rPr>
              <w:t>、</w:t>
            </w:r>
            <w:r w:rsidR="002D376B">
              <w:rPr>
                <w:rFonts w:ascii="宋体" w:eastAsia="宋体" w:hAnsi="宋体" w:cs="宋体"/>
                <w:sz w:val="18"/>
                <w:szCs w:val="18"/>
              </w:rPr>
              <w:t>《关于变更公司经营范围的议案》</w:t>
            </w:r>
            <w:r w:rsidR="00787E00">
              <w:rPr>
                <w:rFonts w:ascii="宋体" w:eastAsia="宋体" w:hAnsi="宋体" w:cs="宋体"/>
                <w:sz w:val="18"/>
                <w:szCs w:val="18"/>
              </w:rPr>
              <w:t>、</w:t>
            </w:r>
            <w:r w:rsidR="002D376B">
              <w:rPr>
                <w:rFonts w:ascii="宋体" w:eastAsia="宋体" w:hAnsi="宋体" w:cs="宋体"/>
                <w:sz w:val="18"/>
                <w:szCs w:val="18"/>
              </w:rPr>
              <w:t>《关于修订〈公司章程〉部分条款的议案》</w:t>
            </w:r>
            <w:r w:rsidR="00787E00">
              <w:rPr>
                <w:rFonts w:ascii="宋体" w:eastAsia="宋体" w:hAnsi="宋体" w:cs="宋体"/>
                <w:sz w:val="18"/>
                <w:szCs w:val="18"/>
              </w:rPr>
              <w:t>、</w:t>
            </w:r>
            <w:r w:rsidR="002D376B">
              <w:rPr>
                <w:rFonts w:ascii="宋体" w:eastAsia="宋体" w:hAnsi="宋体" w:cs="宋体"/>
                <w:sz w:val="18"/>
                <w:szCs w:val="18"/>
              </w:rPr>
              <w:t>《关于修订部分公司制度的议案》</w:t>
            </w:r>
            <w:r w:rsidR="00787E00">
              <w:rPr>
                <w:rFonts w:ascii="宋体" w:eastAsia="宋体" w:hAnsi="宋体" w:cs="宋体"/>
                <w:sz w:val="18"/>
                <w:szCs w:val="18"/>
              </w:rPr>
              <w:t>、</w:t>
            </w:r>
            <w:r w:rsidR="002D376B">
              <w:rPr>
                <w:rFonts w:ascii="宋体" w:eastAsia="宋体" w:hAnsi="宋体" w:cs="宋体"/>
                <w:sz w:val="18"/>
                <w:szCs w:val="18"/>
              </w:rPr>
              <w:t>《关于授权公司管理层处置交易性金融资产的议案》</w:t>
            </w:r>
            <w:r w:rsidR="00787E00">
              <w:rPr>
                <w:rFonts w:ascii="宋体" w:eastAsia="宋体" w:hAnsi="宋体" w:cs="宋体"/>
                <w:sz w:val="18"/>
                <w:szCs w:val="18"/>
              </w:rPr>
              <w:t>、</w:t>
            </w:r>
            <w:r w:rsidR="002D376B">
              <w:rPr>
                <w:rFonts w:ascii="宋体" w:eastAsia="宋体" w:hAnsi="宋体" w:cs="宋体"/>
                <w:sz w:val="18"/>
                <w:szCs w:val="18"/>
              </w:rPr>
              <w:t>《未来三年股东回报规划（2024年-2026年）》</w:t>
            </w:r>
            <w:r w:rsidR="00787E00">
              <w:rPr>
                <w:rFonts w:ascii="宋体" w:eastAsia="宋体" w:hAnsi="宋体" w:cs="宋体"/>
                <w:sz w:val="18"/>
                <w:szCs w:val="18"/>
              </w:rPr>
              <w:t>、</w:t>
            </w:r>
            <w:r w:rsidR="002D376B">
              <w:rPr>
                <w:rFonts w:ascii="宋体" w:eastAsia="宋体" w:hAnsi="宋体" w:cs="宋体"/>
                <w:sz w:val="18"/>
                <w:szCs w:val="18"/>
              </w:rPr>
              <w:t>《关于提请股东大会授权董事会制订并执行2024年中期分红方案的议案》。</w:t>
            </w:r>
          </w:p>
        </w:tc>
      </w:tr>
    </w:tbl>
    <w:p w:rsidR="00334CB7" w:rsidRDefault="002D376B">
      <w:pPr>
        <w:pStyle w:val="3"/>
        <w:spacing w:line="280" w:lineRule="exact"/>
        <w:jc w:val="left"/>
        <w:rPr>
          <w:rFonts w:ascii="宋体" w:hAnsi="宋体" w:cs="宋体"/>
          <w:b/>
          <w:bCs/>
        </w:rPr>
      </w:pPr>
      <w:bookmarkStart w:id="43" w:name="_Toc988932"/>
      <w:r>
        <w:rPr>
          <w:rFonts w:ascii="宋体" w:hAnsi="宋体" w:cs="宋体"/>
          <w:b/>
          <w:bCs/>
        </w:rPr>
        <w:t>2、表决权恢复的优先股股东请求召开临时股东大会</w:t>
      </w:r>
      <w:bookmarkEnd w:id="43"/>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44" w:name="_Toc988933"/>
      <w:r>
        <w:rPr>
          <w:rFonts w:ascii="宋体" w:eastAsia="宋体" w:hAnsi="宋体" w:cs="宋体"/>
          <w:b/>
          <w:bCs/>
          <w:sz w:val="24"/>
          <w:szCs w:val="24"/>
        </w:rPr>
        <w:t>二、公司董事、监事、高级管理人员变动情况</w:t>
      </w:r>
      <w:bookmarkEnd w:id="44"/>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公司董事、监事和高级管理人员在报告期没有发生变动，具体可参见2023年年报。</w:t>
      </w:r>
    </w:p>
    <w:p w:rsidR="00334CB7" w:rsidRDefault="002D376B">
      <w:pPr>
        <w:pStyle w:val="2"/>
        <w:spacing w:before="300" w:after="300" w:line="320" w:lineRule="exact"/>
        <w:rPr>
          <w:rFonts w:ascii="宋体" w:eastAsia="宋体" w:hAnsi="宋体" w:cs="宋体"/>
          <w:b/>
          <w:bCs/>
          <w:sz w:val="24"/>
          <w:szCs w:val="24"/>
        </w:rPr>
      </w:pPr>
      <w:bookmarkStart w:id="45" w:name="_Toc988934"/>
      <w:r>
        <w:rPr>
          <w:rFonts w:ascii="宋体" w:eastAsia="宋体" w:hAnsi="宋体" w:cs="宋体"/>
          <w:b/>
          <w:bCs/>
          <w:sz w:val="24"/>
          <w:szCs w:val="24"/>
        </w:rPr>
        <w:t>三、本报告期利润分配及资本公积金转增股本情况</w:t>
      </w:r>
      <w:bookmarkEnd w:id="45"/>
    </w:p>
    <w:p w:rsidR="00334CB7" w:rsidRDefault="002D376B">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每10股送红股数（股）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每10股派息数（元）（含税）</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分配预案的股本基数（股）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rsidP="00435E66">
            <w:pPr>
              <w:spacing w:line="240" w:lineRule="exact"/>
              <w:jc w:val="right"/>
              <w:rPr>
                <w:rFonts w:ascii="宋体" w:eastAsia="宋体" w:hAnsi="宋体" w:cs="宋体"/>
                <w:sz w:val="18"/>
                <w:szCs w:val="18"/>
              </w:rPr>
            </w:pPr>
            <w:r>
              <w:rPr>
                <w:rFonts w:ascii="宋体" w:eastAsia="宋体" w:hAnsi="宋体" w:cs="宋体"/>
                <w:sz w:val="18"/>
                <w:szCs w:val="18"/>
              </w:rPr>
              <w:t>886,012,887</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现金分红金额（元）（含税）</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以其他方式（如回购股份）现金分红金额（元）</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现金分红总额（含其他方式）（元）</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rsidP="00435E66">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可分配利润（元）</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5E0024">
            <w:pPr>
              <w:spacing w:line="240" w:lineRule="exact"/>
              <w:jc w:val="right"/>
              <w:rPr>
                <w:rFonts w:ascii="宋体" w:eastAsia="宋体" w:hAnsi="宋体" w:cs="宋体"/>
                <w:sz w:val="18"/>
                <w:szCs w:val="18"/>
              </w:rPr>
            </w:pPr>
            <w:r w:rsidRPr="005E0024">
              <w:rPr>
                <w:rFonts w:ascii="宋体" w:eastAsia="宋体" w:hAnsi="宋体" w:cs="宋体" w:hint="eastAsia"/>
                <w:sz w:val="18"/>
                <w:szCs w:val="18"/>
              </w:rPr>
              <w:t>3,046,954,990.34</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现金分红总额（含其他方式）占利润分配总额的比例</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rsidP="00435E66">
            <w:pPr>
              <w:spacing w:line="240" w:lineRule="exact"/>
              <w:jc w:val="right"/>
              <w:rPr>
                <w:rFonts w:ascii="宋体" w:eastAsia="宋体" w:hAnsi="宋体" w:cs="宋体"/>
                <w:sz w:val="18"/>
                <w:szCs w:val="18"/>
              </w:rPr>
            </w:pPr>
            <w:r>
              <w:rPr>
                <w:rFonts w:ascii="宋体" w:eastAsia="宋体" w:hAnsi="宋体" w:cs="宋体"/>
                <w:sz w:val="18"/>
                <w:szCs w:val="18"/>
              </w:rPr>
              <w:t>100%</w:t>
            </w:r>
          </w:p>
        </w:tc>
      </w:tr>
      <w:tr w:rsidR="00334CB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本次现金分红情况</w:t>
            </w:r>
          </w:p>
        </w:tc>
      </w:tr>
      <w:tr w:rsidR="00334CB7">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r>
      <w:tr w:rsidR="00334CB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利润分配或资本公积金转增预案的详细情况说明</w:t>
            </w:r>
          </w:p>
        </w:tc>
      </w:tr>
      <w:tr w:rsidR="00334CB7">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rsidP="00435E66">
            <w:pPr>
              <w:spacing w:line="240" w:lineRule="exact"/>
              <w:jc w:val="both"/>
              <w:rPr>
                <w:rFonts w:ascii="宋体" w:eastAsia="宋体" w:hAnsi="宋体" w:cs="宋体"/>
                <w:sz w:val="18"/>
                <w:szCs w:val="18"/>
              </w:rPr>
            </w:pPr>
            <w:r>
              <w:rPr>
                <w:rFonts w:ascii="宋体" w:eastAsia="宋体" w:hAnsi="宋体" w:cs="宋体"/>
                <w:sz w:val="18"/>
                <w:szCs w:val="18"/>
              </w:rPr>
              <w:t xml:space="preserve">    根据公司2024年半年度财务报告（未经审计），公司2024年半年度合并报表中归属于上市公司股东的净利润为79,374,719.64元，2024年半年度母公司实现净利润为15,871,161.18元。截至2024年6月30日，母公司累计可供分配利润为</w:t>
            </w:r>
            <w:r w:rsidR="00193ABC" w:rsidRPr="00193ABC">
              <w:rPr>
                <w:rFonts w:ascii="宋体" w:eastAsia="宋体" w:hAnsi="宋体" w:cs="宋体" w:hint="eastAsia"/>
                <w:sz w:val="18"/>
                <w:szCs w:val="18"/>
              </w:rPr>
              <w:t>3,046,954,990.34</w:t>
            </w:r>
            <w:r>
              <w:rPr>
                <w:rFonts w:ascii="宋体" w:eastAsia="宋体" w:hAnsi="宋体" w:cs="宋体"/>
                <w:sz w:val="18"/>
                <w:szCs w:val="18"/>
              </w:rPr>
              <w:t>元。</w:t>
            </w:r>
          </w:p>
          <w:p w:rsidR="00334CB7" w:rsidRDefault="002D376B" w:rsidP="00435E66">
            <w:pPr>
              <w:spacing w:line="240" w:lineRule="exact"/>
              <w:jc w:val="both"/>
              <w:rPr>
                <w:rFonts w:ascii="宋体" w:eastAsia="宋体" w:hAnsi="宋体" w:cs="宋体"/>
                <w:sz w:val="18"/>
                <w:szCs w:val="18"/>
              </w:rPr>
            </w:pPr>
            <w:r>
              <w:rPr>
                <w:rFonts w:ascii="宋体" w:eastAsia="宋体" w:hAnsi="宋体" w:cs="宋体"/>
                <w:sz w:val="18"/>
                <w:szCs w:val="18"/>
              </w:rPr>
              <w:t xml:space="preserve">    公司2024年半年度利润分配方案为：拟以未来实施利润分配方案时股权登记日的总股本为基数，向全体股东每10股派发现金红利0.2</w:t>
            </w:r>
            <w:r w:rsidR="00435E66">
              <w:rPr>
                <w:rFonts w:ascii="宋体" w:eastAsia="宋体" w:hAnsi="宋体" w:cs="宋体" w:hint="eastAsia"/>
                <w:sz w:val="18"/>
                <w:szCs w:val="18"/>
              </w:rPr>
              <w:t>0</w:t>
            </w:r>
            <w:r>
              <w:rPr>
                <w:rFonts w:ascii="宋体" w:eastAsia="宋体" w:hAnsi="宋体" w:cs="宋体"/>
                <w:sz w:val="18"/>
                <w:szCs w:val="18"/>
              </w:rPr>
              <w:t xml:space="preserve">元（含税），本次分配不送红股也不进行资本公积金转增股本。 </w:t>
            </w:r>
          </w:p>
          <w:p w:rsidR="00334CB7" w:rsidRDefault="002D376B" w:rsidP="00435E66">
            <w:pPr>
              <w:spacing w:line="240" w:lineRule="exact"/>
              <w:jc w:val="both"/>
              <w:rPr>
                <w:rFonts w:ascii="宋体" w:eastAsia="宋体" w:hAnsi="宋体" w:cs="宋体"/>
                <w:sz w:val="18"/>
                <w:szCs w:val="18"/>
              </w:rPr>
            </w:pPr>
            <w:r>
              <w:rPr>
                <w:rFonts w:ascii="宋体" w:eastAsia="宋体" w:hAnsi="宋体" w:cs="宋体"/>
                <w:sz w:val="18"/>
                <w:szCs w:val="18"/>
              </w:rPr>
              <w:t xml:space="preserve">    截至目前，公司总股本为886,012,887股，据此测算，拟派发现金红利总额为17,720,257.74元（含税）。在实施本次分配方案的股权登记日前公司总股本发生变动，公司将保持每股分配比例不变，相应调整分配总额。</w:t>
            </w:r>
          </w:p>
        </w:tc>
      </w:tr>
    </w:tbl>
    <w:p w:rsidR="00334CB7" w:rsidRDefault="002D376B">
      <w:pPr>
        <w:pStyle w:val="2"/>
        <w:spacing w:before="300" w:after="300" w:line="320" w:lineRule="exact"/>
        <w:rPr>
          <w:rFonts w:ascii="宋体" w:eastAsia="宋体" w:hAnsi="宋体" w:cs="宋体"/>
          <w:b/>
          <w:bCs/>
          <w:sz w:val="24"/>
          <w:szCs w:val="24"/>
        </w:rPr>
      </w:pPr>
      <w:bookmarkStart w:id="46" w:name="_Toc988935"/>
      <w:r>
        <w:rPr>
          <w:rFonts w:ascii="宋体" w:eastAsia="宋体" w:hAnsi="宋体" w:cs="宋体"/>
          <w:b/>
          <w:bCs/>
          <w:sz w:val="24"/>
          <w:szCs w:val="24"/>
        </w:rPr>
        <w:t>四、公司股权激励计划、员工持股计划或其他员工激励措施的实施情况</w:t>
      </w:r>
      <w:bookmarkEnd w:id="46"/>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公司报告期无股权激励计划、员工持股计划或其他员工激励措施及其实施情况。</w:t>
      </w:r>
    </w:p>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47" w:name="_Toc988936"/>
      <w:r>
        <w:rPr>
          <w:rFonts w:ascii="宋体" w:eastAsia="宋体" w:hAnsi="宋体" w:cs="宋体"/>
          <w:b/>
          <w:bCs/>
          <w:sz w:val="32"/>
          <w:szCs w:val="32"/>
        </w:rPr>
        <w:lastRenderedPageBreak/>
        <w:t>第五节 环境和社会责任</w:t>
      </w:r>
      <w:bookmarkEnd w:id="47"/>
    </w:p>
    <w:p w:rsidR="00334CB7" w:rsidRDefault="002D376B">
      <w:pPr>
        <w:pStyle w:val="2"/>
        <w:spacing w:before="300" w:after="300" w:line="320" w:lineRule="exact"/>
        <w:rPr>
          <w:rFonts w:ascii="宋体" w:eastAsia="宋体" w:hAnsi="宋体" w:cs="宋体"/>
          <w:b/>
          <w:bCs/>
          <w:sz w:val="24"/>
          <w:szCs w:val="24"/>
        </w:rPr>
      </w:pPr>
      <w:bookmarkStart w:id="48" w:name="_Toc988937"/>
      <w:r>
        <w:rPr>
          <w:rFonts w:ascii="宋体" w:eastAsia="宋体" w:hAnsi="宋体" w:cs="宋体"/>
          <w:b/>
          <w:bCs/>
          <w:sz w:val="24"/>
          <w:szCs w:val="24"/>
        </w:rPr>
        <w:t>一、重大环保问题情况</w:t>
      </w:r>
      <w:bookmarkEnd w:id="48"/>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环境保护相关政策和行业标准</w:t>
      </w:r>
    </w:p>
    <w:p w:rsidR="00C1183B" w:rsidRDefault="002D376B">
      <w:pPr>
        <w:pStyle w:val="a3"/>
        <w:spacing w:before="0" w:beforeAutospacing="0" w:after="0" w:afterAutospacing="0"/>
        <w:divId w:val="1682196396"/>
      </w:pPr>
      <w:r>
        <w:rPr>
          <w:rFonts w:hint="eastAsia"/>
          <w:sz w:val="18"/>
          <w:szCs w:val="18"/>
        </w:rPr>
        <w:t>根据所属行业要求，公司各下属分公司、子公司在自身生产过程中需执行的主要环保政策和行业标准如下：</w:t>
      </w:r>
    </w:p>
    <w:p w:rsidR="00C1183B" w:rsidRDefault="002D376B">
      <w:pPr>
        <w:pStyle w:val="a3"/>
        <w:spacing w:before="0" w:beforeAutospacing="0" w:after="0" w:afterAutospacing="0"/>
        <w:divId w:val="1682196396"/>
      </w:pPr>
      <w:r>
        <w:rPr>
          <w:rFonts w:hint="eastAsia"/>
          <w:sz w:val="18"/>
          <w:szCs w:val="18"/>
        </w:rPr>
        <w:t>《锅炉大气污染物排放标准》（DB32/4385-2022）</w:t>
      </w:r>
    </w:p>
    <w:p w:rsidR="00C1183B" w:rsidRDefault="002D376B">
      <w:pPr>
        <w:pStyle w:val="a3"/>
        <w:spacing w:before="0" w:beforeAutospacing="0" w:after="0" w:afterAutospacing="0"/>
        <w:divId w:val="1682196396"/>
      </w:pPr>
      <w:r>
        <w:rPr>
          <w:rFonts w:hint="eastAsia"/>
          <w:sz w:val="18"/>
          <w:szCs w:val="18"/>
        </w:rPr>
        <w:t>《大气污染物综合排放标准》（GB16297-1996)</w:t>
      </w:r>
    </w:p>
    <w:p w:rsidR="00C1183B" w:rsidRDefault="002D376B">
      <w:pPr>
        <w:pStyle w:val="a3"/>
        <w:spacing w:before="0" w:beforeAutospacing="0" w:after="0" w:afterAutospacing="0"/>
        <w:divId w:val="1682196396"/>
      </w:pPr>
      <w:r>
        <w:rPr>
          <w:rFonts w:hint="eastAsia"/>
          <w:sz w:val="18"/>
          <w:szCs w:val="18"/>
        </w:rPr>
        <w:t>《合成树脂工业污染物排放标准》（GB31572-2015）</w:t>
      </w:r>
    </w:p>
    <w:p w:rsidR="00C1183B" w:rsidRDefault="002D376B">
      <w:pPr>
        <w:pStyle w:val="a3"/>
        <w:spacing w:before="0" w:beforeAutospacing="0" w:after="0" w:afterAutospacing="0"/>
        <w:divId w:val="1682196396"/>
      </w:pPr>
      <w:r>
        <w:rPr>
          <w:rFonts w:hint="eastAsia"/>
          <w:sz w:val="18"/>
          <w:szCs w:val="18"/>
        </w:rPr>
        <w:t>《江苏省大气污染物综合排放标准》(DB32/4041-2021）</w:t>
      </w:r>
    </w:p>
    <w:p w:rsidR="00C1183B" w:rsidRDefault="002D376B">
      <w:pPr>
        <w:pStyle w:val="a3"/>
        <w:spacing w:before="0" w:beforeAutospacing="0" w:after="0" w:afterAutospacing="0"/>
        <w:divId w:val="1682196396"/>
      </w:pPr>
      <w:r>
        <w:rPr>
          <w:rFonts w:hint="eastAsia"/>
          <w:sz w:val="18"/>
          <w:szCs w:val="18"/>
        </w:rPr>
        <w:t>《污水排入城镇下水道水质标准》（GB/T 31962-2015）</w:t>
      </w:r>
    </w:p>
    <w:p w:rsidR="00C1183B" w:rsidRDefault="002D376B">
      <w:pPr>
        <w:pStyle w:val="a3"/>
        <w:spacing w:before="0" w:beforeAutospacing="0" w:after="0" w:afterAutospacing="0"/>
        <w:divId w:val="1682196396"/>
      </w:pPr>
      <w:r>
        <w:rPr>
          <w:rFonts w:hint="eastAsia"/>
          <w:sz w:val="18"/>
          <w:szCs w:val="18"/>
        </w:rPr>
        <w:t>《污水综合排放标准》（GB8978-1996）</w:t>
      </w:r>
    </w:p>
    <w:p w:rsidR="00C1183B" w:rsidRDefault="002D376B">
      <w:pPr>
        <w:pStyle w:val="a3"/>
        <w:spacing w:before="0" w:beforeAutospacing="0" w:after="0" w:afterAutospacing="0"/>
        <w:divId w:val="1682196396"/>
      </w:pPr>
      <w:r>
        <w:rPr>
          <w:rFonts w:hint="eastAsia"/>
          <w:sz w:val="18"/>
          <w:szCs w:val="18"/>
        </w:rPr>
        <w:t>《工业企业厂界环境噪声排放标准》（GB12348-2008）</w:t>
      </w:r>
    </w:p>
    <w:p w:rsidR="00C1183B" w:rsidRDefault="002D376B">
      <w:pPr>
        <w:pStyle w:val="a3"/>
        <w:spacing w:before="0" w:beforeAutospacing="0" w:after="0" w:afterAutospacing="0"/>
        <w:divId w:val="1682196396"/>
      </w:pPr>
      <w:r>
        <w:rPr>
          <w:rFonts w:hint="eastAsia"/>
          <w:sz w:val="18"/>
          <w:szCs w:val="18"/>
        </w:rPr>
        <w:t>《聚酯涤纶单位产品能源消耗限额》（GB36889-2018）</w:t>
      </w:r>
    </w:p>
    <w:p w:rsidR="00C1183B" w:rsidRDefault="002D376B">
      <w:pPr>
        <w:pStyle w:val="a3"/>
        <w:spacing w:before="0" w:beforeAutospacing="0" w:after="0" w:afterAutospacing="0"/>
        <w:divId w:val="1682196396"/>
        <w:rPr>
          <w:sz w:val="18"/>
          <w:szCs w:val="18"/>
        </w:rPr>
      </w:pPr>
      <w:r>
        <w:rPr>
          <w:rFonts w:hint="eastAsia"/>
          <w:sz w:val="18"/>
          <w:szCs w:val="18"/>
        </w:rPr>
        <w:t>《合成纤维制造业（聚酯涤纶）清洁生产评价指标体系》</w:t>
      </w:r>
    </w:p>
    <w:p w:rsidR="00DE617D" w:rsidRDefault="00DE617D">
      <w:pPr>
        <w:pStyle w:val="a3"/>
        <w:spacing w:before="0" w:beforeAutospacing="0" w:after="0" w:afterAutospacing="0"/>
        <w:divId w:val="1682196396"/>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环境保护行政许可情况</w:t>
      </w:r>
    </w:p>
    <w:p w:rsidR="00C1183B" w:rsidRDefault="002D376B">
      <w:pPr>
        <w:pStyle w:val="a3"/>
        <w:spacing w:before="0" w:beforeAutospacing="0" w:after="0" w:afterAutospacing="0"/>
        <w:divId w:val="1094790812"/>
        <w:rPr>
          <w:sz w:val="18"/>
          <w:szCs w:val="18"/>
        </w:rPr>
      </w:pPr>
      <w:r>
        <w:rPr>
          <w:rFonts w:hint="eastAsia"/>
          <w:sz w:val="18"/>
          <w:szCs w:val="18"/>
        </w:rPr>
        <w:t>报告期内，公司下属化纤厂排污许可证书编号：913202817241961689001Q，发证主体：无锡市生态环境局，发证日期：2023年11月13日，有效期至2028年11月12日。</w:t>
      </w:r>
    </w:p>
    <w:p w:rsidR="00DE617D" w:rsidRDefault="00DE617D">
      <w:pPr>
        <w:pStyle w:val="a3"/>
        <w:spacing w:before="0" w:beforeAutospacing="0" w:after="0" w:afterAutospacing="0"/>
        <w:divId w:val="1094790812"/>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行业排放标准及生产经营活动中涉及的污染物排放的具体情况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7"/>
        <w:gridCol w:w="877"/>
        <w:gridCol w:w="877"/>
        <w:gridCol w:w="876"/>
        <w:gridCol w:w="876"/>
        <w:gridCol w:w="876"/>
        <w:gridCol w:w="876"/>
        <w:gridCol w:w="876"/>
        <w:gridCol w:w="876"/>
        <w:gridCol w:w="876"/>
        <w:gridCol w:w="876"/>
      </w:tblGrid>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主要污染物及特征污染物的种类</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排放方式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排放口数量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排放浓度/强度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超标排放情况</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锅炉废气：颗粒物 氮氧化物 二氧化硫</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烟气黑度</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低氮燃烧处理后直接排放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烟尘≤50㎎/Nm3 氮氧化物≤50㎎/Nm3二氧化硫≤35㎎/Nm3烟气黑度 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《锅炉大气污染物排放标准》DB32/4385-2022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上半年排放氮氧化物4.7002吨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氮氧化物全年总量20.845吨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未超标</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车间废气：挥发性有机物 颗粒物</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乙醛</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RCO催化燃烧处理合格后直接排放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挥发性有机物≤60㎎/Nm3颗粒物≤20㎎/Nm3   乙醛</w:t>
            </w:r>
            <w:r>
              <w:rPr>
                <w:rFonts w:ascii="宋体" w:eastAsia="宋体" w:hAnsi="宋体" w:cs="宋体"/>
                <w:sz w:val="18"/>
                <w:szCs w:val="18"/>
              </w:rPr>
              <w:lastRenderedPageBreak/>
              <w:t>≤20㎎/Nm3</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《合成树脂工业污染物排放标准》GB31572-2015</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《大气</w:t>
            </w:r>
            <w:r>
              <w:rPr>
                <w:rFonts w:ascii="宋体" w:eastAsia="宋体" w:hAnsi="宋体" w:cs="宋体"/>
                <w:sz w:val="18"/>
                <w:szCs w:val="18"/>
              </w:rPr>
              <w:lastRenderedPageBreak/>
              <w:t>污染物综合排放标准》GB16297-1996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上半年排放VOC量0.0103吨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VOC全年总量0.90017吨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未超标</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工艺废水：总磷 化学需氧量 石油类 PH值 流量 氨氮 总氮 悬浮物</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经污水站预处理后接管排放到华西污水处理有限公司处理</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排放口在厂区污水站区</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总磷≤8㎎/L 化学需氧量≤500㎎/L 石油类≤30㎎/L PH值6-9 氨氮≤20㎎/L 总氮 ≤70㎎/L悬浮物≤400㎎/L</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 xml:space="preserve">《污水排入城镇下水道水质标准》GB/T31962-2015  </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上半年排放废水11,697吨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废水全年排放总量89,190吨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未超标</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废气：非甲烷总烃</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废气处理后直接排放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布置在库区东北角和西北角各一个</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非甲烷总烃：≤60mg/Nm3</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《江苏省大气污染物综合排放标准》DB32/4041-2021）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上半年排放非甲烷总烃</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120</w:t>
            </w:r>
            <w:r w:rsidR="00BD5556">
              <w:rPr>
                <w:rFonts w:ascii="宋体" w:eastAsia="宋体" w:hAnsi="宋体" w:cs="宋体"/>
                <w:sz w:val="18"/>
                <w:szCs w:val="18"/>
              </w:rPr>
              <w:t>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非甲烷总烃年排放312.3</w:t>
            </w:r>
            <w:r w:rsidR="00BD5556">
              <w:rPr>
                <w:rFonts w:ascii="宋体" w:eastAsia="宋体" w:hAnsi="宋体" w:cs="宋体"/>
                <w:sz w:val="18"/>
                <w:szCs w:val="18"/>
              </w:rPr>
              <w:t>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未超标</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工艺废水：COD、BOD、氨氮、总磷、总氮、色度、PH值</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经污水预处理站处理后排放到园区光大水务污水处理厂</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排放口位于罐区六西侧围墙外</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COD：≤500mg/l;</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BOD：≤300mg/l；总氮：≤40mg/l总磷：≤2mg/l</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氨氮：≤35mg/l</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上半年排放废水8,200吨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废水年排放总量：32,860吨</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未超标</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对污染物的处理</w:t>
      </w:r>
    </w:p>
    <w:p w:rsidR="00C1183B" w:rsidRDefault="002D376B" w:rsidP="007B3222">
      <w:pPr>
        <w:pStyle w:val="a3"/>
        <w:adjustRightInd w:val="0"/>
        <w:snapToGrid w:val="0"/>
        <w:spacing w:before="0" w:beforeAutospacing="0" w:after="0" w:afterAutospacing="0" w:line="360" w:lineRule="auto"/>
        <w:jc w:val="both"/>
        <w:divId w:val="671182695"/>
      </w:pPr>
      <w:r>
        <w:rPr>
          <w:rFonts w:hint="eastAsia"/>
          <w:sz w:val="18"/>
          <w:szCs w:val="18"/>
        </w:rPr>
        <w:t>  化纤厂对污染物的处理：</w:t>
      </w:r>
    </w:p>
    <w:p w:rsidR="00C1183B" w:rsidRDefault="002D376B" w:rsidP="007B3222">
      <w:pPr>
        <w:pStyle w:val="a3"/>
        <w:adjustRightInd w:val="0"/>
        <w:snapToGrid w:val="0"/>
        <w:spacing w:before="0" w:beforeAutospacing="0" w:after="0" w:afterAutospacing="0" w:line="360" w:lineRule="auto"/>
        <w:jc w:val="both"/>
        <w:divId w:val="671182695"/>
      </w:pPr>
      <w:r>
        <w:rPr>
          <w:rFonts w:hint="eastAsia"/>
          <w:sz w:val="18"/>
          <w:szCs w:val="18"/>
        </w:rPr>
        <w:t>  聚酯废气采用喷淋+过滤+催化燃烧方式处置后达标排放；</w:t>
      </w:r>
    </w:p>
    <w:p w:rsidR="00C1183B" w:rsidRDefault="002D376B" w:rsidP="007B3222">
      <w:pPr>
        <w:pStyle w:val="a3"/>
        <w:adjustRightInd w:val="0"/>
        <w:snapToGrid w:val="0"/>
        <w:spacing w:before="0" w:beforeAutospacing="0" w:after="0" w:afterAutospacing="0" w:line="360" w:lineRule="auto"/>
        <w:jc w:val="both"/>
        <w:divId w:val="671182695"/>
      </w:pPr>
      <w:r>
        <w:rPr>
          <w:rFonts w:hint="eastAsia"/>
          <w:sz w:val="18"/>
          <w:szCs w:val="18"/>
        </w:rPr>
        <w:t>  纺丝废气采用喷淋除雾+高压静电方式处置后达标排放；</w:t>
      </w:r>
    </w:p>
    <w:p w:rsidR="00C1183B" w:rsidRDefault="002D376B" w:rsidP="007B3222">
      <w:pPr>
        <w:pStyle w:val="a3"/>
        <w:adjustRightInd w:val="0"/>
        <w:snapToGrid w:val="0"/>
        <w:spacing w:before="0" w:beforeAutospacing="0" w:after="0" w:afterAutospacing="0" w:line="360" w:lineRule="auto"/>
        <w:jc w:val="both"/>
        <w:divId w:val="671182695"/>
      </w:pPr>
      <w:r>
        <w:rPr>
          <w:rFonts w:hint="eastAsia"/>
          <w:sz w:val="18"/>
          <w:szCs w:val="18"/>
        </w:rPr>
        <w:t>  污水处理站废气采用废气收集+双碱喷淋+生物除臭方式处置后达标排放；</w:t>
      </w:r>
    </w:p>
    <w:p w:rsidR="00C1183B" w:rsidRDefault="002D376B" w:rsidP="007B3222">
      <w:pPr>
        <w:pStyle w:val="a3"/>
        <w:adjustRightInd w:val="0"/>
        <w:snapToGrid w:val="0"/>
        <w:spacing w:before="0" w:beforeAutospacing="0" w:after="0" w:afterAutospacing="0" w:line="360" w:lineRule="auto"/>
        <w:jc w:val="both"/>
        <w:divId w:val="671182695"/>
      </w:pPr>
      <w:r>
        <w:rPr>
          <w:rFonts w:hint="eastAsia"/>
          <w:sz w:val="18"/>
          <w:szCs w:val="18"/>
        </w:rPr>
        <w:t>  生产废水采用集水池调节+气浮+分配池+厌氧+活性污泥+二沉池方式处置后进清水池，部分清水采用中水回用系统产合格水，用于生产水补充，剩余清水接管污水厂处置。</w:t>
      </w:r>
    </w:p>
    <w:p w:rsidR="00C1183B" w:rsidRDefault="002D376B" w:rsidP="007B3222">
      <w:pPr>
        <w:pStyle w:val="a3"/>
        <w:adjustRightInd w:val="0"/>
        <w:snapToGrid w:val="0"/>
        <w:spacing w:before="0" w:beforeAutospacing="0" w:after="0" w:afterAutospacing="0" w:line="360" w:lineRule="auto"/>
        <w:jc w:val="both"/>
        <w:divId w:val="671182695"/>
      </w:pPr>
      <w:r>
        <w:rPr>
          <w:rFonts w:hint="eastAsia"/>
          <w:sz w:val="18"/>
          <w:szCs w:val="18"/>
        </w:rPr>
        <w:t> </w:t>
      </w:r>
    </w:p>
    <w:p w:rsidR="00C1183B" w:rsidRDefault="002D376B" w:rsidP="007B3222">
      <w:pPr>
        <w:pStyle w:val="a3"/>
        <w:adjustRightInd w:val="0"/>
        <w:snapToGrid w:val="0"/>
        <w:spacing w:before="0" w:beforeAutospacing="0" w:after="0" w:afterAutospacing="0" w:line="360" w:lineRule="auto"/>
        <w:divId w:val="671182695"/>
      </w:pPr>
      <w:r>
        <w:rPr>
          <w:rFonts w:hint="eastAsia"/>
          <w:sz w:val="18"/>
          <w:szCs w:val="18"/>
        </w:rPr>
        <w:t>  华西码头对污染物的处理：</w:t>
      </w:r>
    </w:p>
    <w:p w:rsidR="00C1183B" w:rsidRDefault="002D376B" w:rsidP="007B3222">
      <w:pPr>
        <w:pStyle w:val="a3"/>
        <w:adjustRightInd w:val="0"/>
        <w:snapToGrid w:val="0"/>
        <w:spacing w:before="0" w:beforeAutospacing="0" w:after="0" w:afterAutospacing="0" w:line="360" w:lineRule="auto"/>
        <w:divId w:val="671182695"/>
      </w:pPr>
      <w:r>
        <w:rPr>
          <w:rFonts w:hint="eastAsia"/>
          <w:sz w:val="18"/>
          <w:szCs w:val="18"/>
        </w:rPr>
        <w:lastRenderedPageBreak/>
        <w:t>  华西码头建有污水处理装置一套，对生产污水进行厌氧和好氧处理后，排放到园区指定污水处理站，污水管线上安装自动切断阀，在线检测仪等相关设备设施。</w:t>
      </w:r>
    </w:p>
    <w:p w:rsidR="00C1183B" w:rsidRDefault="002D376B" w:rsidP="007B3222">
      <w:pPr>
        <w:pStyle w:val="a3"/>
        <w:adjustRightInd w:val="0"/>
        <w:snapToGrid w:val="0"/>
        <w:spacing w:before="0" w:beforeAutospacing="0" w:after="0" w:afterAutospacing="0" w:line="360" w:lineRule="auto"/>
        <w:ind w:firstLine="360"/>
        <w:divId w:val="671182695"/>
        <w:rPr>
          <w:sz w:val="18"/>
          <w:szCs w:val="18"/>
        </w:rPr>
      </w:pPr>
      <w:r>
        <w:rPr>
          <w:rFonts w:hint="eastAsia"/>
          <w:sz w:val="18"/>
          <w:szCs w:val="18"/>
        </w:rPr>
        <w:t>华西码头建有冷凝装置两座，一套树脂装置。一套冷凝装置为装卸车台及码头服务，另一套为罐区服务。罐区、</w:t>
      </w:r>
      <w:proofErr w:type="gramStart"/>
      <w:r>
        <w:rPr>
          <w:rFonts w:hint="eastAsia"/>
          <w:sz w:val="18"/>
          <w:szCs w:val="18"/>
        </w:rPr>
        <w:t>发货台</w:t>
      </w:r>
      <w:proofErr w:type="gramEnd"/>
      <w:r>
        <w:rPr>
          <w:rFonts w:hint="eastAsia"/>
          <w:sz w:val="18"/>
          <w:szCs w:val="18"/>
        </w:rPr>
        <w:t>和码头的装卸货废气通过密闭管线收集到冷凝装置，经过冷凝后进入树脂装置进行吸附后排放。</w:t>
      </w:r>
    </w:p>
    <w:p w:rsidR="007B3222" w:rsidRDefault="007B3222" w:rsidP="007B3222">
      <w:pPr>
        <w:pStyle w:val="a3"/>
        <w:adjustRightInd w:val="0"/>
        <w:snapToGrid w:val="0"/>
        <w:spacing w:before="0" w:beforeAutospacing="0" w:after="0" w:afterAutospacing="0" w:line="360" w:lineRule="auto"/>
        <w:ind w:firstLine="360"/>
        <w:divId w:val="671182695"/>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突发环境事件应急预案</w:t>
      </w:r>
    </w:p>
    <w:p w:rsidR="00C1183B" w:rsidRDefault="002D376B">
      <w:pPr>
        <w:pStyle w:val="a3"/>
        <w:spacing w:before="40" w:beforeAutospacing="0" w:after="40" w:afterAutospacing="0" w:line="360" w:lineRule="auto"/>
        <w:jc w:val="both"/>
        <w:divId w:val="1764448578"/>
        <w:rPr>
          <w:rFonts w:ascii="Calibri" w:hAnsi="Calibri" w:cs="Calibri"/>
          <w:sz w:val="21"/>
          <w:szCs w:val="21"/>
        </w:rPr>
      </w:pPr>
      <w:r>
        <w:rPr>
          <w:rFonts w:cs="Calibri" w:hint="eastAsia"/>
          <w:sz w:val="18"/>
          <w:szCs w:val="18"/>
        </w:rPr>
        <w:t>化纤厂已编制《突发环境事件应急预案》，并在江阴市环境应急与事故调查中心通过备案，备案编号：320281-2022-521-L。</w:t>
      </w:r>
    </w:p>
    <w:p w:rsidR="00C1183B" w:rsidRDefault="002D376B">
      <w:pPr>
        <w:pStyle w:val="a3"/>
        <w:spacing w:before="40" w:beforeAutospacing="0" w:after="40" w:afterAutospacing="0"/>
        <w:jc w:val="both"/>
        <w:divId w:val="1764448578"/>
        <w:rPr>
          <w:sz w:val="18"/>
          <w:szCs w:val="18"/>
        </w:rPr>
      </w:pPr>
      <w:r>
        <w:rPr>
          <w:rFonts w:hint="eastAsia"/>
          <w:sz w:val="18"/>
          <w:szCs w:val="18"/>
        </w:rPr>
        <w:t>华西码头已编制《突发环境事件应急预案》，并在江阴市环境应急与事故调查中心通过备案，备案编号：320281-2022-254-H。</w:t>
      </w:r>
    </w:p>
    <w:p w:rsidR="007B3222" w:rsidRDefault="007B3222">
      <w:pPr>
        <w:pStyle w:val="a3"/>
        <w:spacing w:before="40" w:beforeAutospacing="0" w:after="40" w:afterAutospacing="0"/>
        <w:jc w:val="both"/>
        <w:divId w:val="1764448578"/>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环境治理和保护的投入及缴纳环境保护税的相关情况</w:t>
      </w:r>
    </w:p>
    <w:p w:rsidR="00C1183B" w:rsidRDefault="002D376B">
      <w:pPr>
        <w:pStyle w:val="a3"/>
        <w:divId w:val="1635519147"/>
        <w:rPr>
          <w:sz w:val="18"/>
          <w:szCs w:val="18"/>
        </w:rPr>
      </w:pPr>
      <w:r>
        <w:rPr>
          <w:rFonts w:hint="eastAsia"/>
          <w:sz w:val="18"/>
          <w:szCs w:val="18"/>
        </w:rPr>
        <w:t>  面对现有环保形势，公司始终站在可持续发展的高度，重视环境保护工作。报告期内，根据《关于印发〈江苏省重点行业工业企业雨水排放环境管理办法（试行）〉的通知》精神，华西码头对库区雨排口进行了升级改造，安装了COD、PH等在线监测仪，达到了企业雨水排放的相关要求。</w:t>
      </w:r>
    </w:p>
    <w:p w:rsidR="00C1183B" w:rsidRDefault="002D376B">
      <w:pPr>
        <w:pStyle w:val="a3"/>
        <w:spacing w:before="0" w:beforeAutospacing="0" w:after="0" w:afterAutospacing="0"/>
        <w:divId w:val="1635519147"/>
        <w:rPr>
          <w:rFonts w:cs="Calibri"/>
          <w:sz w:val="18"/>
          <w:szCs w:val="18"/>
        </w:rPr>
      </w:pPr>
      <w:r>
        <w:rPr>
          <w:rFonts w:cs="Calibri" w:hint="eastAsia"/>
          <w:sz w:val="18"/>
          <w:szCs w:val="18"/>
        </w:rPr>
        <w:t>  报告期公司实际缴纳环境保护税2万元。</w:t>
      </w:r>
    </w:p>
    <w:p w:rsidR="007B3222" w:rsidRDefault="007B3222">
      <w:pPr>
        <w:pStyle w:val="a3"/>
        <w:spacing w:before="0" w:beforeAutospacing="0" w:after="0" w:afterAutospacing="0"/>
        <w:divId w:val="1635519147"/>
        <w:rPr>
          <w:rFonts w:ascii="Calibri" w:hAnsi="Calibri" w:cs="Calibri"/>
          <w:sz w:val="21"/>
          <w:szCs w:val="21"/>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环境自行监测方案</w:t>
      </w:r>
    </w:p>
    <w:p w:rsidR="00C1183B" w:rsidRDefault="002D376B">
      <w:pPr>
        <w:pStyle w:val="a3"/>
        <w:spacing w:line="240" w:lineRule="atLeast"/>
        <w:divId w:val="1468931460"/>
      </w:pPr>
      <w:r>
        <w:rPr>
          <w:rFonts w:hint="eastAsia"/>
          <w:sz w:val="18"/>
          <w:szCs w:val="18"/>
        </w:rPr>
        <w:t>  公司依据《排污单位自行监测技术指南 总则》（HJ819-2017）、企业建设项目自查评估报告等，每年制定自行监测方案，并报属地生态环境管理部门。</w:t>
      </w:r>
    </w:p>
    <w:p w:rsidR="007B3222"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p>
    <w:p w:rsidR="007B3222" w:rsidRDefault="007B3222">
      <w:pPr>
        <w:spacing w:before="100" w:after="100" w:line="240" w:lineRule="exact"/>
        <w:rPr>
          <w:rFonts w:ascii="宋体" w:eastAsia="宋体" w:hAnsi="宋体" w:cs="宋体"/>
          <w:sz w:val="18"/>
          <w:szCs w:val="18"/>
        </w:rPr>
      </w:pPr>
      <w:r>
        <w:rPr>
          <w:rFonts w:ascii="宋体" w:eastAsia="宋体" w:hAnsi="宋体" w:cs="宋体" w:hint="eastAsia"/>
          <w:sz w:val="18"/>
          <w:szCs w:val="18"/>
        </w:rPr>
        <w:t>报告期内，公司没有因环境问题受到行政处罚的情况。</w:t>
      </w:r>
    </w:p>
    <w:p w:rsidR="007B3222" w:rsidRDefault="007B3222">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其他应当公开的环境信息</w:t>
      </w:r>
    </w:p>
    <w:p w:rsidR="00C1183B" w:rsidRDefault="002D376B">
      <w:pPr>
        <w:pStyle w:val="a3"/>
        <w:divId w:val="1512643305"/>
        <w:rPr>
          <w:sz w:val="18"/>
          <w:szCs w:val="18"/>
        </w:rPr>
      </w:pPr>
      <w:r>
        <w:rPr>
          <w:rFonts w:hint="eastAsia"/>
          <w:sz w:val="18"/>
          <w:szCs w:val="18"/>
        </w:rPr>
        <w:t>无。</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其他环保相关信息</w:t>
      </w:r>
    </w:p>
    <w:p w:rsidR="00C1183B" w:rsidRDefault="002D376B">
      <w:pPr>
        <w:pStyle w:val="a3"/>
        <w:divId w:val="1519932394"/>
        <w:rPr>
          <w:sz w:val="18"/>
          <w:szCs w:val="18"/>
        </w:rPr>
      </w:pPr>
      <w:r>
        <w:rPr>
          <w:rFonts w:hint="eastAsia"/>
          <w:sz w:val="18"/>
          <w:szCs w:val="18"/>
        </w:rPr>
        <w:t>无。</w:t>
      </w:r>
    </w:p>
    <w:p w:rsidR="00334CB7" w:rsidRDefault="002D376B">
      <w:pPr>
        <w:pStyle w:val="2"/>
        <w:spacing w:before="300" w:after="300" w:line="320" w:lineRule="exact"/>
        <w:rPr>
          <w:rFonts w:ascii="宋体" w:eastAsia="宋体" w:hAnsi="宋体" w:cs="宋体"/>
          <w:b/>
          <w:bCs/>
          <w:sz w:val="24"/>
          <w:szCs w:val="24"/>
        </w:rPr>
      </w:pPr>
      <w:bookmarkStart w:id="49" w:name="_Toc988938"/>
      <w:r>
        <w:rPr>
          <w:rFonts w:ascii="宋体" w:eastAsia="宋体" w:hAnsi="宋体" w:cs="宋体"/>
          <w:b/>
          <w:bCs/>
          <w:sz w:val="24"/>
          <w:szCs w:val="24"/>
        </w:rPr>
        <w:t>二、社会责任情况</w:t>
      </w:r>
      <w:bookmarkEnd w:id="49"/>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公司一直在努力打造良好的公众公司形象，积极履行各项义务、承担各项社会责任。报告期内，公司主要围绕保护股东、职工及供应商、客户的合法权益，践行绿色发展理念，积极参与环境保护等方面开展履行社会责任相关工作，努力实现经济效益、社会效益和环境效益共赢，促进公司与全社会的协调、和谐发展。</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lastRenderedPageBreak/>
        <w:t>（1）股东权益保护</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公司严格按照《公司法》《证券法》等相关法律、法规的要求，结合公司的实际情况，不断健全、完善公司法人治理结构和内部控制制度，充分保障投资者的各项权益。公司已建立了较为完善的内控体系，形成了以股东大会、董事会、监事会及管理层为主体结构的决策与经营体系，规范公司运作；公司严格按照相关法律、法规、规范性文件及公司制度的规定，认真履行信息披露义务，通过指定媒体向广大投资者披露公司重大信息，确保广大投资者能够充分地了解公司财务状况、经营业绩以及公司重大事项；公司为投资者提供了多元化的沟通渠道，通过热线电话、电子邮件、深交所互动易平台、网上业绩说明会、现场调研等方式保持与广大投资者良性互动。</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（2）职工权益保护</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公司严格遵守《劳动法》等相关法律、法规的规定，充分保障职工合法权益。公司建立了较为完善的薪酬考核体系，将员工的收入与贡献有效结合，提升了员工的工作积极性；公司积极开展员工职业技能培训，提升员工职业发展空间；公司围绕落实安全生产责任，强化安全生产管理，努力给职工提供安全的工作环境。</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（3）供应商及客户权益保护</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公司遵循公平、公开、公正的原则，开展采购和销售活动，公司严格执行《合同法》等相关法律、法规，在合作共赢的基础上建立与供应商及客户良好合作关系，严格执行合同条款，保护彼此合法权益。报告期内，公司获评质量信誉AA级企业。</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（4）环境保护与可持续发展</w:t>
      </w:r>
    </w:p>
    <w:p w:rsidR="00C1183B" w:rsidRDefault="002D376B" w:rsidP="00DA4940">
      <w:pPr>
        <w:pStyle w:val="a3"/>
        <w:adjustRightInd w:val="0"/>
        <w:snapToGrid w:val="0"/>
        <w:spacing w:before="0" w:beforeAutospacing="0" w:after="0" w:afterAutospacing="0" w:line="360" w:lineRule="auto"/>
        <w:ind w:firstLine="482"/>
        <w:jc w:val="both"/>
        <w:divId w:val="1579753062"/>
      </w:pPr>
      <w:r>
        <w:rPr>
          <w:rFonts w:hint="eastAsia"/>
          <w:sz w:val="18"/>
          <w:szCs w:val="18"/>
        </w:rPr>
        <w:t>当前，国内环保政策的导向是加强生态文明建设、推进绿色低碳发展。公司持续强化绿色生产，加强能源降耗管理，在环境保护与成本节约等方面均取得了良好效果。报告期内，公司通过了Ecovadis企业社会责任银牌认证。</w:t>
      </w:r>
    </w:p>
    <w:p w:rsidR="00334CB7" w:rsidRDefault="002D376B" w:rsidP="00DA4940">
      <w:pPr>
        <w:adjustRightInd w:val="0"/>
        <w:snapToGrid w:val="0"/>
        <w:spacing w:line="360" w:lineRule="auto"/>
      </w:pPr>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50" w:name="_Toc988939"/>
      <w:r>
        <w:rPr>
          <w:rFonts w:ascii="宋体" w:eastAsia="宋体" w:hAnsi="宋体" w:cs="宋体"/>
          <w:b/>
          <w:bCs/>
          <w:sz w:val="32"/>
          <w:szCs w:val="32"/>
        </w:rPr>
        <w:lastRenderedPageBreak/>
        <w:t>第六节 重要事项</w:t>
      </w:r>
      <w:bookmarkEnd w:id="50"/>
    </w:p>
    <w:p w:rsidR="00334CB7" w:rsidRDefault="002D376B">
      <w:pPr>
        <w:pStyle w:val="2"/>
        <w:spacing w:before="300" w:after="300" w:line="320" w:lineRule="exact"/>
        <w:rPr>
          <w:rFonts w:ascii="宋体" w:eastAsia="宋体" w:hAnsi="宋体" w:cs="宋体"/>
          <w:b/>
          <w:bCs/>
          <w:sz w:val="24"/>
          <w:szCs w:val="24"/>
        </w:rPr>
      </w:pPr>
      <w:bookmarkStart w:id="51" w:name="_Toc988940"/>
      <w:r>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51"/>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公司报告期不存在由公司实际控制人、股东、关联方、收购人以及公司等承诺相关方在报告期内履行完毕及截至报告期末超期未履行完毕的承诺事项。</w:t>
      </w:r>
    </w:p>
    <w:p w:rsidR="00334CB7" w:rsidRDefault="002D376B">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二、控股股东及其他关联方对上市公司的非经营性占用资金情况</w:t>
      </w:r>
      <w:bookmarkEnd w:id="52"/>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334CB7" w:rsidRDefault="002D376B">
      <w:pPr>
        <w:pStyle w:val="2"/>
        <w:spacing w:before="300" w:after="300" w:line="320" w:lineRule="exact"/>
        <w:rPr>
          <w:rFonts w:ascii="宋体" w:eastAsia="宋体" w:hAnsi="宋体" w:cs="宋体"/>
          <w:b/>
          <w:bCs/>
          <w:sz w:val="24"/>
          <w:szCs w:val="24"/>
        </w:rPr>
      </w:pPr>
      <w:bookmarkStart w:id="53" w:name="_Toc988942"/>
      <w:r>
        <w:rPr>
          <w:rFonts w:ascii="宋体" w:eastAsia="宋体" w:hAnsi="宋体" w:cs="宋体"/>
          <w:b/>
          <w:bCs/>
          <w:sz w:val="24"/>
          <w:szCs w:val="24"/>
        </w:rPr>
        <w:t>三、违规对外担保情况</w:t>
      </w:r>
      <w:bookmarkEnd w:id="53"/>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334CB7" w:rsidRDefault="002D376B">
      <w:pPr>
        <w:pStyle w:val="2"/>
        <w:spacing w:before="300" w:after="300" w:line="320" w:lineRule="exact"/>
        <w:rPr>
          <w:rFonts w:ascii="宋体" w:eastAsia="宋体" w:hAnsi="宋体" w:cs="宋体"/>
          <w:b/>
          <w:bCs/>
          <w:sz w:val="24"/>
          <w:szCs w:val="24"/>
        </w:rPr>
      </w:pPr>
      <w:bookmarkStart w:id="54" w:name="_Toc988943"/>
      <w:r>
        <w:rPr>
          <w:rFonts w:ascii="宋体" w:eastAsia="宋体" w:hAnsi="宋体" w:cs="宋体"/>
          <w:b/>
          <w:bCs/>
          <w:sz w:val="24"/>
          <w:szCs w:val="24"/>
        </w:rPr>
        <w:t>四、聘任、解聘会计师事务所情况</w:t>
      </w:r>
      <w:bookmarkEnd w:id="54"/>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半年度财务报告是否已经审计</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公司半年度报告未经审计。</w:t>
      </w:r>
    </w:p>
    <w:p w:rsidR="00334CB7" w:rsidRDefault="002D376B">
      <w:pPr>
        <w:pStyle w:val="2"/>
        <w:spacing w:before="300" w:after="300" w:line="320" w:lineRule="exact"/>
        <w:rPr>
          <w:rFonts w:ascii="宋体" w:eastAsia="宋体" w:hAnsi="宋体" w:cs="宋体"/>
          <w:b/>
          <w:bCs/>
          <w:sz w:val="24"/>
          <w:szCs w:val="24"/>
        </w:rPr>
      </w:pPr>
      <w:bookmarkStart w:id="55" w:name="_Toc988944"/>
      <w:r>
        <w:rPr>
          <w:rFonts w:ascii="宋体" w:eastAsia="宋体" w:hAnsi="宋体" w:cs="宋体"/>
          <w:b/>
          <w:bCs/>
          <w:sz w:val="24"/>
          <w:szCs w:val="24"/>
        </w:rPr>
        <w:t>五、董事会、监事会对会计师事务所本报告期“非标准审计报告”的说明</w:t>
      </w:r>
      <w:bookmarkEnd w:id="55"/>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t>六、董事会对上年度“非标准审计报告”相关情况的说明</w:t>
      </w:r>
      <w:bookmarkEnd w:id="5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七、破产重整相关事项</w:t>
      </w:r>
      <w:bookmarkEnd w:id="57"/>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334CB7" w:rsidRDefault="002D376B">
      <w:pPr>
        <w:pStyle w:val="2"/>
        <w:spacing w:before="300" w:after="300" w:line="320" w:lineRule="exact"/>
        <w:rPr>
          <w:rFonts w:ascii="宋体" w:eastAsia="宋体" w:hAnsi="宋体" w:cs="宋体"/>
          <w:b/>
          <w:bCs/>
          <w:sz w:val="24"/>
          <w:szCs w:val="24"/>
        </w:rPr>
      </w:pPr>
      <w:bookmarkStart w:id="58" w:name="_Toc988947"/>
      <w:r>
        <w:rPr>
          <w:rFonts w:ascii="宋体" w:eastAsia="宋体" w:hAnsi="宋体" w:cs="宋体"/>
          <w:b/>
          <w:bCs/>
          <w:sz w:val="24"/>
          <w:szCs w:val="24"/>
        </w:rPr>
        <w:t>八、诉讼事项</w:t>
      </w:r>
      <w:bookmarkEnd w:id="58"/>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重大诉讼仲裁事项</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其他诉讼事项</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59" w:name="_Toc988948"/>
      <w:r>
        <w:rPr>
          <w:rFonts w:ascii="宋体" w:eastAsia="宋体" w:hAnsi="宋体" w:cs="宋体"/>
          <w:b/>
          <w:bCs/>
          <w:sz w:val="24"/>
          <w:szCs w:val="24"/>
        </w:rPr>
        <w:lastRenderedPageBreak/>
        <w:t>九、处罚及整改情况</w:t>
      </w:r>
      <w:bookmarkEnd w:id="59"/>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334CB7" w:rsidRDefault="002D376B">
      <w:pPr>
        <w:pStyle w:val="2"/>
        <w:spacing w:before="300" w:after="300" w:line="320" w:lineRule="exact"/>
        <w:rPr>
          <w:rFonts w:ascii="宋体" w:eastAsia="宋体" w:hAnsi="宋体" w:cs="宋体"/>
          <w:b/>
          <w:bCs/>
          <w:sz w:val="24"/>
          <w:szCs w:val="24"/>
        </w:rPr>
      </w:pPr>
      <w:bookmarkStart w:id="60" w:name="_Toc988949"/>
      <w:r>
        <w:rPr>
          <w:rFonts w:ascii="宋体" w:eastAsia="宋体" w:hAnsi="宋体" w:cs="宋体"/>
          <w:b/>
          <w:bCs/>
          <w:sz w:val="24"/>
          <w:szCs w:val="24"/>
        </w:rPr>
        <w:t>十、公司及其控股股东、实际控制人的诚信状况</w:t>
      </w:r>
      <w:bookmarkEnd w:id="60"/>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61" w:name="_Toc988950"/>
      <w:r>
        <w:rPr>
          <w:rFonts w:ascii="宋体" w:eastAsia="宋体" w:hAnsi="宋体" w:cs="宋体"/>
          <w:b/>
          <w:bCs/>
          <w:sz w:val="24"/>
          <w:szCs w:val="24"/>
        </w:rPr>
        <w:t>十一、重大关联交易</w:t>
      </w:r>
      <w:bookmarkEnd w:id="61"/>
    </w:p>
    <w:p w:rsidR="00334CB7" w:rsidRDefault="002D376B">
      <w:pPr>
        <w:pStyle w:val="3"/>
        <w:spacing w:line="280" w:lineRule="exact"/>
        <w:jc w:val="left"/>
        <w:rPr>
          <w:rFonts w:ascii="宋体" w:hAnsi="宋体" w:cs="宋体"/>
          <w:b/>
          <w:bCs/>
        </w:rPr>
      </w:pPr>
      <w:bookmarkStart w:id="62" w:name="_Toc988951"/>
      <w:r>
        <w:rPr>
          <w:rFonts w:ascii="宋体" w:hAnsi="宋体" w:cs="宋体"/>
          <w:b/>
          <w:bCs/>
        </w:rPr>
        <w:t>1、与日常经营相关的关联交易</w:t>
      </w:r>
      <w:bookmarkEnd w:id="62"/>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w:t>
      </w:r>
      <w:r w:rsidR="00435E66">
        <w:rPr>
          <w:rFonts w:ascii="宋体" w:eastAsia="宋体" w:hAnsi="宋体" w:cs="宋体"/>
          <w:sz w:val="18"/>
          <w:szCs w:val="18"/>
        </w:rPr>
        <w:t>重大</w:t>
      </w:r>
      <w:r>
        <w:rPr>
          <w:rFonts w:ascii="宋体" w:eastAsia="宋体" w:hAnsi="宋体" w:cs="宋体"/>
          <w:sz w:val="18"/>
          <w:szCs w:val="18"/>
        </w:rPr>
        <w:t>关联交易。</w:t>
      </w:r>
    </w:p>
    <w:p w:rsidR="00334CB7" w:rsidRDefault="002D376B">
      <w:pPr>
        <w:pStyle w:val="3"/>
        <w:spacing w:line="280" w:lineRule="exact"/>
        <w:jc w:val="left"/>
        <w:rPr>
          <w:rFonts w:ascii="宋体" w:hAnsi="宋体" w:cs="宋体"/>
          <w:b/>
          <w:bCs/>
        </w:rPr>
      </w:pPr>
      <w:bookmarkStart w:id="63" w:name="_Toc988952"/>
      <w:r>
        <w:rPr>
          <w:rFonts w:ascii="宋体" w:hAnsi="宋体" w:cs="宋体"/>
          <w:b/>
          <w:bCs/>
        </w:rPr>
        <w:t>2、资产或股权收购、出售发生的关联交易</w:t>
      </w:r>
      <w:bookmarkEnd w:id="63"/>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334CB7" w:rsidRDefault="002D376B">
      <w:pPr>
        <w:pStyle w:val="3"/>
        <w:spacing w:line="280" w:lineRule="exact"/>
        <w:jc w:val="left"/>
        <w:rPr>
          <w:rFonts w:ascii="宋体" w:hAnsi="宋体" w:cs="宋体"/>
          <w:b/>
          <w:bCs/>
        </w:rPr>
      </w:pPr>
      <w:bookmarkStart w:id="64" w:name="_Toc988953"/>
      <w:r>
        <w:rPr>
          <w:rFonts w:ascii="宋体" w:hAnsi="宋体" w:cs="宋体"/>
          <w:b/>
          <w:bCs/>
        </w:rPr>
        <w:t>3、共同对外投资的关联交易</w:t>
      </w:r>
      <w:bookmarkEnd w:id="64"/>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334CB7" w:rsidRDefault="002D376B">
      <w:pPr>
        <w:pStyle w:val="3"/>
        <w:spacing w:line="280" w:lineRule="exact"/>
        <w:jc w:val="left"/>
        <w:rPr>
          <w:rFonts w:ascii="宋体" w:hAnsi="宋体" w:cs="宋体"/>
          <w:b/>
          <w:bCs/>
        </w:rPr>
      </w:pPr>
      <w:bookmarkStart w:id="65" w:name="_Toc988954"/>
      <w:r>
        <w:rPr>
          <w:rFonts w:ascii="宋体" w:hAnsi="宋体" w:cs="宋体"/>
          <w:b/>
          <w:bCs/>
        </w:rPr>
        <w:t>4、关联债权债务往来</w:t>
      </w:r>
      <w:bookmarkEnd w:id="65"/>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334CB7" w:rsidRDefault="002D376B">
      <w:pPr>
        <w:pStyle w:val="3"/>
        <w:spacing w:line="280" w:lineRule="exact"/>
        <w:jc w:val="left"/>
        <w:rPr>
          <w:rFonts w:ascii="宋体" w:hAnsi="宋体" w:cs="宋体"/>
          <w:b/>
          <w:bCs/>
        </w:rPr>
      </w:pPr>
      <w:bookmarkStart w:id="66" w:name="_Toc988955"/>
      <w:r>
        <w:rPr>
          <w:rFonts w:ascii="宋体" w:hAnsi="宋体" w:cs="宋体"/>
          <w:b/>
          <w:bCs/>
        </w:rPr>
        <w:t>5、与存在关联关系的财务公司的往来情况</w:t>
      </w:r>
      <w:bookmarkEnd w:id="6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存款业务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314"/>
        <w:gridCol w:w="1096"/>
        <w:gridCol w:w="1205"/>
        <w:gridCol w:w="1205"/>
        <w:gridCol w:w="1205"/>
      </w:tblGrid>
      <w:tr w:rsidR="00334CB7" w:rsidTr="00DA4940">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每日最高存款限额（万元）</w:t>
            </w:r>
          </w:p>
        </w:tc>
        <w:tc>
          <w:tcPr>
            <w:tcW w:w="131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存款利率范围</w:t>
            </w:r>
          </w:p>
        </w:tc>
        <w:tc>
          <w:tcPr>
            <w:tcW w:w="109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期初余额（万元）</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期末余额（万元）</w:t>
            </w:r>
          </w:p>
        </w:tc>
      </w:tr>
      <w:tr w:rsidR="00334CB7" w:rsidTr="00DA4940">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1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9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本期合计存入金额（万元）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本期合计取出金额（万元）</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rsidTr="00DA4940">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同一母公司</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131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0.35%-1.15%</w:t>
            </w:r>
          </w:p>
        </w:tc>
        <w:tc>
          <w:tcPr>
            <w:tcW w:w="109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69,781.8</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69,781.8</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334CB7" w:rsidRDefault="002D376B">
      <w:pPr>
        <w:pStyle w:val="3"/>
        <w:spacing w:line="280" w:lineRule="exact"/>
        <w:jc w:val="left"/>
        <w:rPr>
          <w:rFonts w:ascii="宋体" w:hAnsi="宋体" w:cs="宋体"/>
          <w:b/>
          <w:bCs/>
        </w:rPr>
      </w:pPr>
      <w:bookmarkStart w:id="67" w:name="_Toc988956"/>
      <w:r>
        <w:rPr>
          <w:rFonts w:ascii="宋体" w:hAnsi="宋体" w:cs="宋体"/>
          <w:b/>
          <w:bCs/>
        </w:rPr>
        <w:t>6、公司控股的财务公司与关联方的往来情况</w:t>
      </w:r>
      <w:bookmarkEnd w:id="67"/>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68" w:name="_Toc988957"/>
      <w:r>
        <w:rPr>
          <w:rFonts w:ascii="宋体" w:hAnsi="宋体" w:cs="宋体"/>
          <w:b/>
          <w:bCs/>
        </w:rPr>
        <w:lastRenderedPageBreak/>
        <w:t>7、其他重大关联交易</w:t>
      </w:r>
      <w:bookmarkEnd w:id="68"/>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1183B" w:rsidRDefault="002D376B">
      <w:pPr>
        <w:pStyle w:val="a3"/>
        <w:divId w:val="869537842"/>
      </w:pPr>
      <w:r>
        <w:rPr>
          <w:rFonts w:hint="eastAsia"/>
          <w:sz w:val="18"/>
          <w:szCs w:val="18"/>
        </w:rPr>
        <w:t>报告期内，公司与关联方发生的与日常经营相关的关联交易详见“第十节 财务报告”之“十三、关联方及关联交易”。</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spacing w:before="40" w:after="40" w:line="360" w:lineRule="auto"/>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spacing w:before="40" w:after="40" w:line="360" w:lineRule="auto"/>
              <w:jc w:val="center"/>
              <w:rPr>
                <w:rFonts w:ascii="宋体" w:eastAsia="宋体" w:hAnsi="宋体" w:cs="宋体"/>
                <w:sz w:val="18"/>
                <w:szCs w:val="18"/>
              </w:rPr>
            </w:pPr>
            <w:r>
              <w:rPr>
                <w:rFonts w:ascii="宋体" w:eastAsia="宋体" w:hAnsi="宋体" w:cs="宋体"/>
                <w:sz w:val="18"/>
                <w:szCs w:val="18"/>
              </w:rPr>
              <w:t>临时公告披露日期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spacing w:before="40" w:after="40" w:line="360" w:lineRule="auto"/>
              <w:jc w:val="center"/>
              <w:rPr>
                <w:rFonts w:ascii="宋体" w:eastAsia="宋体" w:hAnsi="宋体" w:cs="宋体"/>
                <w:sz w:val="18"/>
                <w:szCs w:val="18"/>
              </w:rPr>
            </w:pPr>
            <w:r>
              <w:rPr>
                <w:rFonts w:ascii="宋体" w:eastAsia="宋体" w:hAnsi="宋体" w:cs="宋体"/>
                <w:sz w:val="18"/>
                <w:szCs w:val="18"/>
              </w:rPr>
              <w:t>临时公告披露网站名称</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spacing w:line="360" w:lineRule="auto"/>
              <w:rPr>
                <w:rFonts w:ascii="宋体" w:eastAsia="宋体" w:hAnsi="宋体" w:cs="宋体"/>
                <w:sz w:val="18"/>
                <w:szCs w:val="18"/>
              </w:rPr>
            </w:pPr>
            <w:r>
              <w:rPr>
                <w:rFonts w:ascii="宋体" w:eastAsia="宋体" w:hAnsi="宋体" w:cs="宋体"/>
                <w:sz w:val="18"/>
                <w:szCs w:val="18"/>
              </w:rPr>
              <w:t>关于2024年度日常关联交易预计公告（公告编号：2024-009）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spacing w:line="360" w:lineRule="auto"/>
              <w:rPr>
                <w:rFonts w:ascii="宋体" w:eastAsia="宋体" w:hAnsi="宋体" w:cs="宋体"/>
                <w:sz w:val="18"/>
                <w:szCs w:val="18"/>
              </w:rPr>
            </w:pPr>
            <w:r>
              <w:rPr>
                <w:rFonts w:ascii="宋体" w:eastAsia="宋体" w:hAnsi="宋体" w:cs="宋体"/>
                <w:sz w:val="18"/>
                <w:szCs w:val="18"/>
              </w:rPr>
              <w:t>2024年04月30日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spacing w:line="360" w:lineRule="auto"/>
              <w:rPr>
                <w:rFonts w:ascii="宋体" w:eastAsia="宋体" w:hAnsi="宋体" w:cs="宋体"/>
                <w:sz w:val="18"/>
                <w:szCs w:val="18"/>
              </w:rPr>
            </w:pPr>
            <w:r>
              <w:rPr>
                <w:rFonts w:ascii="宋体" w:eastAsia="宋体" w:hAnsi="宋体" w:cs="宋体"/>
                <w:sz w:val="18"/>
                <w:szCs w:val="18"/>
              </w:rPr>
              <w:t>巨潮资讯网</w:t>
            </w:r>
          </w:p>
        </w:tc>
      </w:tr>
    </w:tbl>
    <w:p w:rsidR="00334CB7" w:rsidRDefault="002D376B">
      <w:pPr>
        <w:pStyle w:val="2"/>
        <w:spacing w:before="300" w:after="300" w:line="320" w:lineRule="exact"/>
        <w:rPr>
          <w:rFonts w:ascii="宋体" w:eastAsia="宋体" w:hAnsi="宋体" w:cs="宋体"/>
          <w:b/>
          <w:bCs/>
          <w:sz w:val="24"/>
          <w:szCs w:val="24"/>
        </w:rPr>
      </w:pPr>
      <w:bookmarkStart w:id="69" w:name="_Toc988958"/>
      <w:r>
        <w:rPr>
          <w:rFonts w:ascii="宋体" w:eastAsia="宋体" w:hAnsi="宋体" w:cs="宋体"/>
          <w:b/>
          <w:bCs/>
          <w:sz w:val="24"/>
          <w:szCs w:val="24"/>
        </w:rPr>
        <w:t>十二、重大合同及其履行情况</w:t>
      </w:r>
      <w:bookmarkEnd w:id="69"/>
    </w:p>
    <w:p w:rsidR="00334CB7" w:rsidRDefault="002D376B">
      <w:pPr>
        <w:pStyle w:val="3"/>
        <w:spacing w:line="280" w:lineRule="exact"/>
        <w:jc w:val="left"/>
        <w:rPr>
          <w:rFonts w:ascii="宋体" w:hAnsi="宋体" w:cs="宋体"/>
          <w:b/>
          <w:bCs/>
        </w:rPr>
      </w:pPr>
      <w:bookmarkStart w:id="70" w:name="_Toc988959"/>
      <w:r>
        <w:rPr>
          <w:rFonts w:ascii="宋体" w:hAnsi="宋体" w:cs="宋体"/>
          <w:b/>
          <w:bCs/>
        </w:rPr>
        <w:t>1、托管、承包、租赁事项情况</w:t>
      </w:r>
      <w:bookmarkEnd w:id="70"/>
    </w:p>
    <w:p w:rsidR="00334CB7" w:rsidRDefault="002D376B">
      <w:pPr>
        <w:keepNext/>
        <w:keepLines/>
        <w:spacing w:before="300" w:after="300" w:line="280" w:lineRule="exact"/>
        <w:outlineLvl w:val="3"/>
        <w:rPr>
          <w:rFonts w:ascii="宋体" w:eastAsia="宋体" w:hAnsi="宋体" w:cs="宋体"/>
          <w:b/>
          <w:bCs/>
          <w:sz w:val="18"/>
          <w:szCs w:val="18"/>
        </w:rPr>
      </w:pPr>
      <w:bookmarkStart w:id="71" w:name="_Toc988960"/>
      <w:r>
        <w:rPr>
          <w:rFonts w:ascii="宋体" w:eastAsia="宋体" w:hAnsi="宋体" w:cs="宋体"/>
          <w:b/>
          <w:bCs/>
          <w:sz w:val="18"/>
          <w:szCs w:val="18"/>
        </w:rPr>
        <w:t>（1） 托管情况</w:t>
      </w:r>
      <w:bookmarkEnd w:id="71"/>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334CB7" w:rsidRDefault="002D376B">
      <w:pPr>
        <w:keepNext/>
        <w:keepLines/>
        <w:spacing w:before="300" w:after="300" w:line="280" w:lineRule="exact"/>
        <w:outlineLvl w:val="3"/>
        <w:rPr>
          <w:rFonts w:ascii="宋体" w:eastAsia="宋体" w:hAnsi="宋体" w:cs="宋体"/>
          <w:b/>
          <w:bCs/>
          <w:sz w:val="18"/>
          <w:szCs w:val="18"/>
        </w:rPr>
      </w:pPr>
      <w:bookmarkStart w:id="72" w:name="_Toc988961"/>
      <w:r>
        <w:rPr>
          <w:rFonts w:ascii="宋体" w:eastAsia="宋体" w:hAnsi="宋体" w:cs="宋体"/>
          <w:b/>
          <w:bCs/>
          <w:sz w:val="18"/>
          <w:szCs w:val="18"/>
        </w:rPr>
        <w:t>（2） 承包情况</w:t>
      </w:r>
      <w:bookmarkEnd w:id="72"/>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334CB7" w:rsidRDefault="002D376B">
      <w:pPr>
        <w:keepNext/>
        <w:keepLines/>
        <w:spacing w:before="300" w:after="300" w:line="280" w:lineRule="exact"/>
        <w:outlineLvl w:val="3"/>
        <w:rPr>
          <w:rFonts w:ascii="宋体" w:eastAsia="宋体" w:hAnsi="宋体" w:cs="宋体"/>
          <w:b/>
          <w:bCs/>
          <w:sz w:val="18"/>
          <w:szCs w:val="18"/>
        </w:rPr>
      </w:pPr>
      <w:bookmarkStart w:id="73" w:name="_Toc988962"/>
      <w:r>
        <w:rPr>
          <w:rFonts w:ascii="宋体" w:eastAsia="宋体" w:hAnsi="宋体" w:cs="宋体"/>
          <w:b/>
          <w:bCs/>
          <w:sz w:val="18"/>
          <w:szCs w:val="18"/>
        </w:rPr>
        <w:t>（3） 租赁情况</w:t>
      </w:r>
      <w:bookmarkEnd w:id="73"/>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334CB7" w:rsidRDefault="002D376B">
      <w:pPr>
        <w:pStyle w:val="3"/>
        <w:spacing w:line="280" w:lineRule="exact"/>
        <w:jc w:val="left"/>
        <w:rPr>
          <w:rFonts w:ascii="宋体" w:hAnsi="宋体" w:cs="宋体"/>
          <w:b/>
          <w:bCs/>
        </w:rPr>
      </w:pPr>
      <w:bookmarkStart w:id="74" w:name="_Toc988963"/>
      <w:r>
        <w:rPr>
          <w:rFonts w:ascii="宋体" w:hAnsi="宋体" w:cs="宋体"/>
          <w:b/>
          <w:bCs/>
        </w:rPr>
        <w:t>2、重大担保</w:t>
      </w:r>
      <w:bookmarkEnd w:id="74"/>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77"/>
        <w:gridCol w:w="876"/>
        <w:gridCol w:w="876"/>
        <w:gridCol w:w="876"/>
        <w:gridCol w:w="876"/>
        <w:gridCol w:w="877"/>
      </w:tblGrid>
      <w:tr w:rsidR="00334CB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334CB7" w:rsidTr="00DA4940">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DA4940" w:rsidTr="00922E9A">
        <w:trPr>
          <w:trHeight w:val="240"/>
        </w:trPr>
        <w:tc>
          <w:tcPr>
            <w:tcW w:w="875"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45,000</w:t>
            </w:r>
          </w:p>
          <w:p w:rsidR="00DA4940" w:rsidRDefault="00DA4940">
            <w:pPr>
              <w:spacing w:line="240" w:lineRule="exact"/>
              <w:jc w:val="right"/>
              <w:rPr>
                <w:rFonts w:ascii="宋体" w:eastAsia="宋体" w:hAnsi="宋体" w:cs="宋体"/>
                <w:sz w:val="18"/>
                <w:szCs w:val="18"/>
              </w:rPr>
            </w:pPr>
            <w:r>
              <w:rPr>
                <w:rFonts w:ascii="宋体" w:eastAsia="宋体" w:hAnsi="宋体" w:cs="宋体" w:hint="eastAsia"/>
                <w:sz w:val="18"/>
                <w:szCs w:val="18"/>
              </w:rPr>
              <w:t>（注）</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2023年07月21日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至2024-01-10</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2023年08月11日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至2024-01-10</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2023年08月10日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至2024-02-01</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r>
              <w:rPr>
                <w:rFonts w:ascii="宋体" w:eastAsia="宋体" w:hAnsi="宋体" w:cs="宋体"/>
                <w:sz w:val="18"/>
                <w:szCs w:val="18"/>
              </w:rPr>
              <w:t>2023年08月15日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至2024-02-01</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r>
              <w:rPr>
                <w:rFonts w:ascii="宋体" w:eastAsia="宋体" w:hAnsi="宋体" w:cs="宋体"/>
                <w:sz w:val="18"/>
                <w:szCs w:val="18"/>
              </w:rPr>
              <w:t>2023年11月30日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至2024-11-27</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rsidP="00DA4940">
            <w:pPr>
              <w:spacing w:line="240" w:lineRule="exact"/>
              <w:jc w:val="center"/>
              <w:rPr>
                <w:rFonts w:ascii="宋体" w:eastAsia="宋体" w:hAnsi="宋体" w:cs="宋体"/>
                <w:sz w:val="18"/>
                <w:szCs w:val="18"/>
              </w:rPr>
            </w:pPr>
            <w:r>
              <w:rPr>
                <w:rFonts w:ascii="宋体" w:eastAsia="宋体" w:hAnsi="宋体" w:cs="宋体"/>
                <w:sz w:val="18"/>
                <w:szCs w:val="18"/>
              </w:rPr>
              <w:t>2023年11月30日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至2024-11-28</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至2024-12-11</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至2024-12-12</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2024年01月10日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至2025-01-09</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9,950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至2025-01-31</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至2025-01-31</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DA4940">
        <w:trPr>
          <w:trHeight w:val="240"/>
        </w:trPr>
        <w:tc>
          <w:tcPr>
            <w:tcW w:w="875"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至2024-10-20</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2023年09月06日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至2024-09-06</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DA4940">
        <w:trPr>
          <w:trHeight w:val="240"/>
        </w:trPr>
        <w:tc>
          <w:tcPr>
            <w:tcW w:w="875"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至2024-03-20</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2024年03月25日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2,926.95</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至2025-03-24</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DA4940">
        <w:trPr>
          <w:trHeight w:val="240"/>
        </w:trPr>
        <w:tc>
          <w:tcPr>
            <w:tcW w:w="875"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至2024-11-08</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2023年12月04日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至2024-11-30</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DA4940">
        <w:trPr>
          <w:trHeight w:val="240"/>
        </w:trPr>
        <w:tc>
          <w:tcPr>
            <w:tcW w:w="875"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2023年07月27日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6,495</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至2024-01-26</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DA4940" w:rsidTr="00922E9A">
        <w:trPr>
          <w:trHeight w:val="240"/>
        </w:trPr>
        <w:tc>
          <w:tcPr>
            <w:tcW w:w="875"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2024年01月26日</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jc w:val="right"/>
              <w:rPr>
                <w:rFonts w:ascii="宋体" w:eastAsia="宋体" w:hAnsi="宋体" w:cs="宋体"/>
                <w:sz w:val="18"/>
                <w:szCs w:val="18"/>
              </w:rPr>
            </w:pPr>
            <w:r>
              <w:rPr>
                <w:rFonts w:ascii="宋体" w:eastAsia="宋体" w:hAnsi="宋体" w:cs="宋体"/>
                <w:sz w:val="18"/>
                <w:szCs w:val="18"/>
              </w:rPr>
              <w:t>6,490</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至2024-07-25</w:t>
            </w:r>
          </w:p>
        </w:tc>
        <w:tc>
          <w:tcPr>
            <w:tcW w:w="876"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DA4940" w:rsidRDefault="00DA4940">
            <w:pPr>
              <w:spacing w:line="240" w:lineRule="exact"/>
              <w:rPr>
                <w:rFonts w:ascii="宋体" w:eastAsia="宋体" w:hAnsi="宋体" w:cs="宋体"/>
                <w:sz w:val="18"/>
                <w:szCs w:val="18"/>
              </w:rPr>
            </w:pPr>
            <w:r>
              <w:rPr>
                <w:rFonts w:ascii="宋体" w:eastAsia="宋体" w:hAnsi="宋体" w:cs="宋体"/>
                <w:sz w:val="18"/>
                <w:szCs w:val="18"/>
              </w:rPr>
              <w:t>是</w:t>
            </w:r>
          </w:p>
        </w:tc>
      </w:tr>
      <w:tr w:rsidR="00334CB7" w:rsidTr="00DA4940">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19,000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至2026-03-29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是</w:t>
            </w:r>
          </w:p>
        </w:tc>
      </w:tr>
      <w:tr w:rsidR="00334CB7" w:rsidTr="00DA4940">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报告期内审批的对外担保额度合计（A1）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报告期内对外担保实际发生额合计（A2）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39,366.95</w:t>
            </w:r>
          </w:p>
        </w:tc>
      </w:tr>
      <w:tr w:rsidR="00334CB7" w:rsidTr="00DA4940">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报告期末已审批的对外担保额度合计</w:t>
            </w:r>
            <w:r>
              <w:rPr>
                <w:rFonts w:ascii="宋体" w:eastAsia="宋体" w:hAnsi="宋体" w:cs="宋体"/>
                <w:sz w:val="18"/>
                <w:szCs w:val="18"/>
              </w:rPr>
              <w:lastRenderedPageBreak/>
              <w:t>（A3）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报告期末实际对外担保余额合计</w:t>
            </w:r>
            <w:r>
              <w:rPr>
                <w:rFonts w:ascii="宋体" w:eastAsia="宋体" w:hAnsi="宋体" w:cs="宋体"/>
                <w:sz w:val="18"/>
                <w:szCs w:val="18"/>
              </w:rPr>
              <w:lastRenderedPageBreak/>
              <w:t>（A4）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85,416.95</w:t>
            </w:r>
          </w:p>
        </w:tc>
      </w:tr>
      <w:tr w:rsidR="00334CB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公司对子公司的担保情况</w:t>
            </w:r>
          </w:p>
        </w:tc>
      </w:tr>
      <w:tr w:rsidR="00334CB7" w:rsidTr="00DA4940">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334CB7" w:rsidTr="00DA4940">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2023年05月16日</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r>
      <w:tr w:rsidR="00334CB7" w:rsidTr="00DA4940">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2011年06月14日</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r>
      <w:tr w:rsidR="00334CB7" w:rsidTr="00DA4940">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2022年12月09日</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否</w:t>
            </w:r>
          </w:p>
        </w:tc>
      </w:tr>
      <w:tr w:rsidR="00334CB7" w:rsidTr="00DA4940">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报告期内对子公司担保实际发生额合计（B2）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51,049.98</w:t>
            </w:r>
          </w:p>
        </w:tc>
      </w:tr>
      <w:tr w:rsidR="00334CB7" w:rsidTr="00DA4940">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报告期末对子公司实际担保余额合计（B4）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334CB7" w:rsidTr="00DA4940">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AB7C68">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B7C68" w:rsidRDefault="00AB7C68" w:rsidP="00AB7C68">
            <w:pPr>
              <w:spacing w:before="40" w:after="40" w:line="240" w:lineRule="exact"/>
              <w:rPr>
                <w:rFonts w:ascii="宋体" w:eastAsia="宋体" w:hAnsi="宋体" w:cs="宋体"/>
                <w:sz w:val="18"/>
                <w:szCs w:val="18"/>
              </w:rPr>
            </w:pPr>
            <w:r>
              <w:rPr>
                <w:rFonts w:ascii="宋体" w:eastAsia="宋体" w:hAnsi="宋体" w:cs="宋体"/>
                <w:sz w:val="18"/>
                <w:szCs w:val="18"/>
              </w:rPr>
              <w:t>不适用。</w:t>
            </w:r>
          </w:p>
        </w:tc>
      </w:tr>
      <w:tr w:rsidR="00334CB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334CB7" w:rsidTr="00DA4940">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90,416.93</w:t>
            </w:r>
          </w:p>
        </w:tc>
      </w:tr>
      <w:tr w:rsidR="00334CB7" w:rsidTr="00DA4940">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85,416.95</w:t>
            </w:r>
          </w:p>
        </w:tc>
      </w:tr>
      <w:tr w:rsidR="00334CB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16.51%</w:t>
            </w:r>
          </w:p>
        </w:tc>
      </w:tr>
      <w:tr w:rsidR="00334CB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334CB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85,416.95</w:t>
            </w:r>
          </w:p>
        </w:tc>
      </w:tr>
      <w:tr w:rsidR="00334CB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85,416.95</w:t>
            </w:r>
          </w:p>
        </w:tc>
      </w:tr>
      <w:tr w:rsidR="00334CB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r w:rsidR="00334CB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bl>
    <w:p w:rsidR="00DA4940" w:rsidRDefault="00DA4940">
      <w:pPr>
        <w:spacing w:before="100" w:after="100" w:line="240" w:lineRule="exact"/>
        <w:rPr>
          <w:rFonts w:ascii="宋体" w:eastAsia="宋体" w:hAnsi="宋体" w:cs="宋体"/>
          <w:sz w:val="18"/>
          <w:szCs w:val="18"/>
        </w:rPr>
      </w:pPr>
      <w:r>
        <w:rPr>
          <w:rFonts w:ascii="宋体" w:eastAsia="宋体" w:hAnsi="宋体" w:cs="宋体" w:hint="eastAsia"/>
          <w:sz w:val="18"/>
          <w:szCs w:val="18"/>
        </w:rPr>
        <w:t>注：该项实际担保总额为45,000万元。</w:t>
      </w:r>
    </w:p>
    <w:p w:rsidR="00C11DEB" w:rsidRDefault="00C11DEB">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p>
    <w:p w:rsidR="00C1183B" w:rsidRDefault="002D376B">
      <w:pPr>
        <w:pStyle w:val="a3"/>
        <w:divId w:val="1445419367"/>
        <w:rPr>
          <w:sz w:val="18"/>
          <w:szCs w:val="18"/>
        </w:rPr>
      </w:pPr>
      <w:r>
        <w:rPr>
          <w:rFonts w:hint="eastAsia"/>
          <w:sz w:val="18"/>
          <w:szCs w:val="18"/>
        </w:rPr>
        <w:t>无。</w:t>
      </w:r>
    </w:p>
    <w:p w:rsidR="00334CB7" w:rsidRDefault="002D376B">
      <w:pPr>
        <w:pStyle w:val="3"/>
        <w:spacing w:line="280" w:lineRule="exact"/>
        <w:jc w:val="left"/>
        <w:rPr>
          <w:rFonts w:ascii="宋体" w:hAnsi="宋体" w:cs="宋体"/>
          <w:b/>
          <w:bCs/>
        </w:rPr>
      </w:pPr>
      <w:bookmarkStart w:id="75" w:name="_Toc988964"/>
      <w:r>
        <w:rPr>
          <w:rFonts w:ascii="宋体" w:hAnsi="宋体" w:cs="宋体"/>
          <w:b/>
          <w:bCs/>
        </w:rPr>
        <w:t>3、委托理财</w:t>
      </w:r>
      <w:bookmarkEnd w:id="75"/>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其他类</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9,753.9</w:t>
            </w:r>
            <w:r w:rsidR="005401E7">
              <w:rPr>
                <w:rFonts w:ascii="宋体" w:eastAsia="宋体" w:hAnsi="宋体" w:cs="宋体" w:hint="eastAsia"/>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9,529.36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9,753.9</w:t>
            </w:r>
            <w:r w:rsidR="005401E7">
              <w:rPr>
                <w:rFonts w:ascii="宋体" w:eastAsia="宋体" w:hAnsi="宋体" w:cs="宋体" w:hint="eastAsia"/>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9,529.36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76" w:name="_Toc988965"/>
      <w:r>
        <w:rPr>
          <w:rFonts w:ascii="宋体" w:hAnsi="宋体" w:cs="宋体"/>
          <w:b/>
          <w:bCs/>
        </w:rPr>
        <w:t>4、其他重大合同</w:t>
      </w:r>
      <w:bookmarkEnd w:id="7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334CB7" w:rsidRDefault="002D376B">
      <w:pPr>
        <w:pStyle w:val="2"/>
        <w:spacing w:before="300" w:after="300" w:line="320" w:lineRule="exact"/>
        <w:rPr>
          <w:rFonts w:ascii="宋体" w:eastAsia="宋体" w:hAnsi="宋体" w:cs="宋体"/>
          <w:b/>
          <w:bCs/>
          <w:sz w:val="24"/>
          <w:szCs w:val="24"/>
        </w:rPr>
      </w:pPr>
      <w:bookmarkStart w:id="77" w:name="_Toc988966"/>
      <w:r>
        <w:rPr>
          <w:rFonts w:ascii="宋体" w:eastAsia="宋体" w:hAnsi="宋体" w:cs="宋体"/>
          <w:b/>
          <w:bCs/>
          <w:sz w:val="24"/>
          <w:szCs w:val="24"/>
        </w:rPr>
        <w:t>十三、其他重大事项的说明</w:t>
      </w:r>
      <w:bookmarkEnd w:id="77"/>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1183B" w:rsidRDefault="002D376B" w:rsidP="00435E66">
      <w:pPr>
        <w:pStyle w:val="a3"/>
        <w:adjustRightInd w:val="0"/>
        <w:snapToGrid w:val="0"/>
        <w:spacing w:before="0" w:beforeAutospacing="0" w:after="0" w:afterAutospacing="0" w:line="360" w:lineRule="auto"/>
        <w:ind w:firstLineChars="200" w:firstLine="360"/>
        <w:divId w:val="1776630443"/>
      </w:pPr>
      <w:r>
        <w:rPr>
          <w:rFonts w:hint="eastAsia"/>
          <w:sz w:val="18"/>
          <w:szCs w:val="18"/>
        </w:rPr>
        <w:t>1、修订《公司章程》事项</w:t>
      </w:r>
    </w:p>
    <w:p w:rsidR="00C1183B" w:rsidRDefault="002D376B" w:rsidP="00435E66">
      <w:pPr>
        <w:pStyle w:val="a3"/>
        <w:adjustRightInd w:val="0"/>
        <w:snapToGrid w:val="0"/>
        <w:spacing w:before="0" w:beforeAutospacing="0" w:after="0" w:afterAutospacing="0" w:line="360" w:lineRule="auto"/>
        <w:ind w:firstLineChars="200" w:firstLine="360"/>
        <w:divId w:val="1776630443"/>
      </w:pPr>
      <w:r>
        <w:rPr>
          <w:rFonts w:hint="eastAsia"/>
          <w:sz w:val="18"/>
          <w:szCs w:val="18"/>
        </w:rPr>
        <w:t>报告期内，根据中国证监会《上市公司监管指引第3号——上市公司现金分红》、深圳证券交易所《上市公司自律监管指引第7号——交易与关联交易》等相关规定，公司结合实际，对《公司章程》部分条款进行了修订，并经公司第九届董事会第二次会议、2023年度股东大会审议通过。详见公司于2024年4月30日、2024年5月25日刊登在《上海证券报》《证券时报》和巨潮资讯网上的《章程修正案》（公告编号：2024-012）、《第九届董事会第二次会议决议公告》（公告编号：2024-023）、《2023年度股东大会决议公告》（公告编号：2024-033）。</w:t>
      </w:r>
    </w:p>
    <w:p w:rsidR="00C1183B" w:rsidRDefault="002D376B" w:rsidP="00435E66">
      <w:pPr>
        <w:pStyle w:val="a3"/>
        <w:adjustRightInd w:val="0"/>
        <w:snapToGrid w:val="0"/>
        <w:spacing w:before="0" w:beforeAutospacing="0" w:after="0" w:afterAutospacing="0" w:line="360" w:lineRule="auto"/>
        <w:ind w:firstLineChars="200" w:firstLine="360"/>
        <w:divId w:val="1776630443"/>
      </w:pPr>
      <w:r>
        <w:rPr>
          <w:rFonts w:hint="eastAsia"/>
          <w:sz w:val="18"/>
          <w:szCs w:val="18"/>
        </w:rPr>
        <w:t>2、变更经营范围事项</w:t>
      </w:r>
    </w:p>
    <w:p w:rsidR="00C1183B" w:rsidRDefault="002D376B" w:rsidP="00435E66">
      <w:pPr>
        <w:pStyle w:val="a3"/>
        <w:adjustRightInd w:val="0"/>
        <w:snapToGrid w:val="0"/>
        <w:spacing w:before="0" w:beforeAutospacing="0" w:after="0" w:afterAutospacing="0" w:line="360" w:lineRule="auto"/>
        <w:ind w:firstLineChars="200" w:firstLine="360"/>
        <w:divId w:val="1776630443"/>
      </w:pPr>
      <w:r>
        <w:rPr>
          <w:rFonts w:hint="eastAsia"/>
          <w:sz w:val="18"/>
          <w:szCs w:val="18"/>
        </w:rPr>
        <w:t>公司第九届董事会第二次会议、2023年度股东大会审议通过了《关于变更公司经营范围的议案》，详见公司于2024年4月30日、2024年5月25日刊登在《上海证券报》《证券时报》和巨潮资讯网上的《第九届董事会第二次会议决议公告》（公告编号：2024-023）、《2023年度股东大会决议公告》（公告编号：2024-033）。</w:t>
      </w:r>
    </w:p>
    <w:p w:rsidR="00C1183B" w:rsidRDefault="002D376B" w:rsidP="00435E66">
      <w:pPr>
        <w:pStyle w:val="a3"/>
        <w:adjustRightInd w:val="0"/>
        <w:snapToGrid w:val="0"/>
        <w:spacing w:before="0" w:beforeAutospacing="0" w:after="0" w:afterAutospacing="0" w:line="360" w:lineRule="auto"/>
        <w:ind w:firstLineChars="200" w:firstLine="360"/>
        <w:divId w:val="1776630443"/>
        <w:rPr>
          <w:sz w:val="18"/>
          <w:szCs w:val="18"/>
        </w:rPr>
      </w:pPr>
      <w:r>
        <w:rPr>
          <w:rFonts w:hint="eastAsia"/>
          <w:sz w:val="18"/>
          <w:szCs w:val="18"/>
        </w:rPr>
        <w:t>报告期内，公司完成了经营范围变更的工商登记手续。公司经营范围变更为：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许可项目：港口经营（依法须经批准的项目，经相关部门批准后方可开展经营活动，具体经营项目以审批结果为准)。一般项目：普通货物仓储服务（不含危险化学品等需许可审批的项目）（除依法须经批准的项目外，凭营业执照依法自主开展经营活动）。</w:t>
      </w:r>
    </w:p>
    <w:p w:rsidR="002B3F2A" w:rsidRDefault="002B3F2A" w:rsidP="002B3F2A">
      <w:pPr>
        <w:pStyle w:val="a3"/>
        <w:adjustRightInd w:val="0"/>
        <w:snapToGrid w:val="0"/>
        <w:spacing w:before="0" w:beforeAutospacing="0" w:after="0" w:afterAutospacing="0" w:line="360" w:lineRule="auto"/>
        <w:ind w:firstLineChars="200" w:firstLine="360"/>
        <w:divId w:val="1776630443"/>
        <w:rPr>
          <w:sz w:val="18"/>
          <w:szCs w:val="18"/>
        </w:rPr>
      </w:pPr>
      <w:r>
        <w:rPr>
          <w:rFonts w:hint="eastAsia"/>
          <w:sz w:val="18"/>
          <w:szCs w:val="18"/>
        </w:rPr>
        <w:t>3</w:t>
      </w:r>
      <w:r w:rsidR="00A61A20">
        <w:rPr>
          <w:rFonts w:hint="eastAsia"/>
          <w:sz w:val="18"/>
          <w:szCs w:val="18"/>
        </w:rPr>
        <w:t>、与专业投资机构共同</w:t>
      </w:r>
      <w:r>
        <w:rPr>
          <w:rFonts w:hint="eastAsia"/>
          <w:sz w:val="18"/>
          <w:szCs w:val="18"/>
        </w:rPr>
        <w:t>投资事项</w:t>
      </w:r>
    </w:p>
    <w:p w:rsidR="002B3F2A" w:rsidRPr="00A61A20" w:rsidRDefault="002B3F2A" w:rsidP="00A61A20">
      <w:pPr>
        <w:pStyle w:val="a3"/>
        <w:adjustRightInd w:val="0"/>
        <w:snapToGrid w:val="0"/>
        <w:spacing w:before="0" w:beforeAutospacing="0" w:after="0" w:afterAutospacing="0" w:line="360" w:lineRule="auto"/>
        <w:ind w:firstLineChars="200" w:firstLine="360"/>
        <w:jc w:val="both"/>
        <w:divId w:val="1776630443"/>
        <w:rPr>
          <w:sz w:val="18"/>
          <w:szCs w:val="18"/>
        </w:rPr>
      </w:pPr>
      <w:r>
        <w:rPr>
          <w:rFonts w:hint="eastAsia"/>
          <w:sz w:val="18"/>
          <w:szCs w:val="18"/>
        </w:rPr>
        <w:lastRenderedPageBreak/>
        <w:t> 报告期内，公司</w:t>
      </w:r>
      <w:r w:rsidRPr="00A61A20">
        <w:rPr>
          <w:sz w:val="18"/>
          <w:szCs w:val="18"/>
        </w:rPr>
        <w:t>与无锡国联产业投资私募基金管理有限公司</w:t>
      </w:r>
      <w:r w:rsidRPr="00A61A20">
        <w:rPr>
          <w:rFonts w:hint="eastAsia"/>
          <w:sz w:val="18"/>
          <w:szCs w:val="18"/>
        </w:rPr>
        <w:t>、无锡</w:t>
      </w:r>
      <w:proofErr w:type="gramStart"/>
      <w:r w:rsidRPr="00A61A20">
        <w:rPr>
          <w:rFonts w:hint="eastAsia"/>
          <w:sz w:val="18"/>
          <w:szCs w:val="18"/>
        </w:rPr>
        <w:t>云商创业</w:t>
      </w:r>
      <w:proofErr w:type="gramEnd"/>
      <w:r w:rsidRPr="00A61A20">
        <w:rPr>
          <w:rFonts w:hint="eastAsia"/>
          <w:sz w:val="18"/>
          <w:szCs w:val="18"/>
        </w:rPr>
        <w:t>投资有限公司共同</w:t>
      </w:r>
      <w:r w:rsidRPr="00A61A20">
        <w:rPr>
          <w:sz w:val="18"/>
          <w:szCs w:val="18"/>
        </w:rPr>
        <w:t>投资设立无锡</w:t>
      </w:r>
      <w:proofErr w:type="gramStart"/>
      <w:r w:rsidRPr="00A61A20">
        <w:rPr>
          <w:sz w:val="18"/>
          <w:szCs w:val="18"/>
        </w:rPr>
        <w:t>锡</w:t>
      </w:r>
      <w:proofErr w:type="gramEnd"/>
      <w:r w:rsidRPr="00A61A20">
        <w:rPr>
          <w:sz w:val="18"/>
          <w:szCs w:val="18"/>
        </w:rPr>
        <w:t>创联华股权投资</w:t>
      </w:r>
      <w:r w:rsidRPr="00A61A20">
        <w:rPr>
          <w:rFonts w:hint="eastAsia"/>
          <w:sz w:val="18"/>
          <w:szCs w:val="18"/>
        </w:rPr>
        <w:t>合伙企业（有限合伙）（以下简称“</w:t>
      </w:r>
      <w:r w:rsidR="00A61A20" w:rsidRPr="00A61A20">
        <w:rPr>
          <w:rFonts w:hint="eastAsia"/>
          <w:sz w:val="18"/>
          <w:szCs w:val="18"/>
        </w:rPr>
        <w:t>锡创联华</w:t>
      </w:r>
      <w:r w:rsidRPr="00A61A20">
        <w:rPr>
          <w:rFonts w:hint="eastAsia"/>
          <w:sz w:val="18"/>
          <w:szCs w:val="18"/>
        </w:rPr>
        <w:t>”），</w:t>
      </w:r>
      <w:proofErr w:type="gramStart"/>
      <w:r w:rsidR="00A61A20" w:rsidRPr="00A61A20">
        <w:rPr>
          <w:rFonts w:hint="eastAsia"/>
          <w:sz w:val="18"/>
          <w:szCs w:val="18"/>
        </w:rPr>
        <w:t>锡创联华</w:t>
      </w:r>
      <w:r w:rsidRPr="00A61A20">
        <w:rPr>
          <w:rFonts w:hint="eastAsia"/>
          <w:sz w:val="18"/>
          <w:szCs w:val="18"/>
        </w:rPr>
        <w:t>主要</w:t>
      </w:r>
      <w:proofErr w:type="gramEnd"/>
      <w:r w:rsidRPr="00A61A20">
        <w:rPr>
          <w:rFonts w:hint="eastAsia"/>
          <w:sz w:val="18"/>
          <w:szCs w:val="18"/>
        </w:rPr>
        <w:t>用于收购一</w:t>
      </w:r>
      <w:proofErr w:type="gramStart"/>
      <w:r w:rsidRPr="00A61A20">
        <w:rPr>
          <w:rFonts w:hint="eastAsia"/>
          <w:sz w:val="18"/>
          <w:szCs w:val="18"/>
        </w:rPr>
        <w:t>村资本</w:t>
      </w:r>
      <w:proofErr w:type="gramEnd"/>
      <w:r w:rsidR="00A61A20" w:rsidRPr="00A61A20">
        <w:rPr>
          <w:rFonts w:hint="eastAsia"/>
          <w:sz w:val="18"/>
          <w:szCs w:val="18"/>
        </w:rPr>
        <w:t>部分</w:t>
      </w:r>
      <w:r w:rsidRPr="00A61A20">
        <w:rPr>
          <w:rFonts w:hint="eastAsia"/>
          <w:sz w:val="18"/>
          <w:szCs w:val="18"/>
        </w:rPr>
        <w:t>股权。截至报告期末，公司已</w:t>
      </w:r>
      <w:proofErr w:type="gramStart"/>
      <w:r w:rsidRPr="00A61A20">
        <w:rPr>
          <w:rFonts w:hint="eastAsia"/>
          <w:sz w:val="18"/>
          <w:szCs w:val="18"/>
        </w:rPr>
        <w:t>向</w:t>
      </w:r>
      <w:r w:rsidR="00A61A20" w:rsidRPr="00A61A20">
        <w:rPr>
          <w:rFonts w:hint="eastAsia"/>
          <w:sz w:val="18"/>
          <w:szCs w:val="18"/>
        </w:rPr>
        <w:t>锡创联</w:t>
      </w:r>
      <w:proofErr w:type="gramEnd"/>
      <w:r w:rsidR="00A61A20" w:rsidRPr="00A61A20">
        <w:rPr>
          <w:rFonts w:hint="eastAsia"/>
          <w:sz w:val="18"/>
          <w:szCs w:val="18"/>
        </w:rPr>
        <w:t>华</w:t>
      </w:r>
      <w:r w:rsidRPr="00A61A20">
        <w:rPr>
          <w:rFonts w:hint="eastAsia"/>
          <w:sz w:val="18"/>
          <w:szCs w:val="18"/>
        </w:rPr>
        <w:t>实缴出资16,750万元人民币（占认缴出资的83.75%</w:t>
      </w:r>
      <w:r w:rsidR="00A61A20" w:rsidRPr="00A61A20">
        <w:rPr>
          <w:rFonts w:hint="eastAsia"/>
          <w:sz w:val="18"/>
          <w:szCs w:val="18"/>
        </w:rPr>
        <w:t>），</w:t>
      </w:r>
      <w:proofErr w:type="gramStart"/>
      <w:r w:rsidR="00A61A20">
        <w:rPr>
          <w:rFonts w:hint="eastAsia"/>
          <w:sz w:val="18"/>
          <w:szCs w:val="18"/>
        </w:rPr>
        <w:t>锡创联</w:t>
      </w:r>
      <w:proofErr w:type="gramEnd"/>
      <w:r w:rsidR="00A61A20">
        <w:rPr>
          <w:rFonts w:hint="eastAsia"/>
          <w:sz w:val="18"/>
          <w:szCs w:val="18"/>
        </w:rPr>
        <w:t>华</w:t>
      </w:r>
      <w:r w:rsidR="00A61A20" w:rsidRPr="00A61A20">
        <w:rPr>
          <w:rFonts w:hint="eastAsia"/>
          <w:sz w:val="18"/>
          <w:szCs w:val="18"/>
        </w:rPr>
        <w:t>收购一</w:t>
      </w:r>
      <w:proofErr w:type="gramStart"/>
      <w:r w:rsidR="00A61A20" w:rsidRPr="00A61A20">
        <w:rPr>
          <w:rFonts w:hint="eastAsia"/>
          <w:sz w:val="18"/>
          <w:szCs w:val="18"/>
        </w:rPr>
        <w:t>村资本</w:t>
      </w:r>
      <w:proofErr w:type="gramEnd"/>
      <w:r w:rsidR="00A61A20" w:rsidRPr="00A61A20">
        <w:rPr>
          <w:rFonts w:hint="eastAsia"/>
          <w:sz w:val="18"/>
          <w:szCs w:val="18"/>
        </w:rPr>
        <w:t>10.3449%股权事项已完成。</w:t>
      </w:r>
      <w:r w:rsidRPr="00A61A20">
        <w:rPr>
          <w:rFonts w:hint="eastAsia"/>
          <w:sz w:val="18"/>
          <w:szCs w:val="18"/>
        </w:rPr>
        <w:t>详见公司于2024年4月9日、5月10日</w:t>
      </w:r>
      <w:r w:rsidR="00A61A20" w:rsidRPr="00A61A20">
        <w:rPr>
          <w:rFonts w:hint="eastAsia"/>
          <w:sz w:val="18"/>
          <w:szCs w:val="18"/>
        </w:rPr>
        <w:t>、5月23日</w:t>
      </w:r>
      <w:r w:rsidR="00A61A20">
        <w:rPr>
          <w:rFonts w:hint="eastAsia"/>
          <w:sz w:val="18"/>
          <w:szCs w:val="18"/>
        </w:rPr>
        <w:t>刊登</w:t>
      </w:r>
      <w:r w:rsidRPr="00A61A20">
        <w:rPr>
          <w:sz w:val="18"/>
          <w:szCs w:val="18"/>
        </w:rPr>
        <w:t>在《上海证券报》《证券时报》和巨潮资讯网</w:t>
      </w:r>
      <w:r w:rsidR="00A61A20">
        <w:rPr>
          <w:sz w:val="18"/>
          <w:szCs w:val="18"/>
        </w:rPr>
        <w:t>上</w:t>
      </w:r>
      <w:r w:rsidRPr="00A61A20">
        <w:rPr>
          <w:sz w:val="18"/>
          <w:szCs w:val="18"/>
        </w:rPr>
        <w:t>的《关于与专业投资机构共同投资的公告》（公告编号：</w:t>
      </w:r>
      <w:r w:rsidRPr="00A61A20">
        <w:rPr>
          <w:rFonts w:hint="eastAsia"/>
          <w:sz w:val="18"/>
          <w:szCs w:val="18"/>
        </w:rPr>
        <w:t>2024</w:t>
      </w:r>
      <w:r w:rsidRPr="00A61A20">
        <w:rPr>
          <w:sz w:val="18"/>
          <w:szCs w:val="18"/>
        </w:rPr>
        <w:t>-00</w:t>
      </w:r>
      <w:r w:rsidRPr="00A61A20">
        <w:rPr>
          <w:rFonts w:hint="eastAsia"/>
          <w:sz w:val="18"/>
          <w:szCs w:val="18"/>
        </w:rPr>
        <w:t>4</w:t>
      </w:r>
      <w:r w:rsidRPr="00A61A20">
        <w:rPr>
          <w:sz w:val="18"/>
          <w:szCs w:val="18"/>
        </w:rPr>
        <w:t>）、《关于与专业机构共同投资的进展公告》（公告编号：</w:t>
      </w:r>
      <w:r w:rsidRPr="00A61A20">
        <w:rPr>
          <w:rFonts w:hint="eastAsia"/>
          <w:sz w:val="18"/>
          <w:szCs w:val="18"/>
        </w:rPr>
        <w:t>2024-027）</w:t>
      </w:r>
      <w:r w:rsidR="00A61A20" w:rsidRPr="00A61A20">
        <w:rPr>
          <w:rFonts w:hint="eastAsia"/>
          <w:sz w:val="18"/>
          <w:szCs w:val="18"/>
        </w:rPr>
        <w:t>、《关于与专业机构共同投资的进展公告》（公告编号：2024-032）。</w:t>
      </w:r>
    </w:p>
    <w:p w:rsidR="00334CB7" w:rsidRPr="00C320D0" w:rsidRDefault="002D376B" w:rsidP="00C320D0">
      <w:pPr>
        <w:pStyle w:val="2"/>
        <w:spacing w:before="300" w:after="300" w:line="320" w:lineRule="exact"/>
        <w:rPr>
          <w:rFonts w:ascii="宋体" w:eastAsia="宋体" w:hAnsi="宋体" w:cs="宋体"/>
          <w:b/>
          <w:bCs/>
          <w:sz w:val="24"/>
          <w:szCs w:val="24"/>
        </w:rPr>
      </w:pPr>
      <w:bookmarkStart w:id="78" w:name="_Toc988967"/>
      <w:r w:rsidRPr="00C320D0">
        <w:rPr>
          <w:rFonts w:ascii="宋体" w:eastAsia="宋体" w:hAnsi="宋体" w:cs="宋体"/>
          <w:b/>
          <w:bCs/>
          <w:sz w:val="24"/>
          <w:szCs w:val="24"/>
        </w:rPr>
        <w:t>十四、公司子公司重大事项</w:t>
      </w:r>
      <w:bookmarkEnd w:id="78"/>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1183B" w:rsidRPr="00435E66" w:rsidRDefault="002D376B" w:rsidP="00687521">
      <w:pPr>
        <w:spacing w:before="100" w:after="100" w:line="240" w:lineRule="exact"/>
        <w:ind w:firstLineChars="200" w:firstLine="360"/>
        <w:jc w:val="both"/>
        <w:divId w:val="1257716618"/>
        <w:rPr>
          <w:rFonts w:ascii="宋体" w:eastAsia="宋体" w:hAnsi="宋体" w:cs="宋体"/>
          <w:sz w:val="18"/>
          <w:szCs w:val="18"/>
        </w:rPr>
      </w:pPr>
      <w:r w:rsidRPr="00435E66">
        <w:rPr>
          <w:rFonts w:ascii="宋体" w:eastAsia="宋体" w:hAnsi="宋体" w:cs="宋体" w:hint="eastAsia"/>
          <w:sz w:val="18"/>
          <w:szCs w:val="18"/>
        </w:rPr>
        <w:t>1、拟转让索尔思光电部分股份事项</w:t>
      </w:r>
    </w:p>
    <w:p w:rsidR="00C1183B" w:rsidRDefault="002D376B" w:rsidP="00687521">
      <w:pPr>
        <w:pStyle w:val="a3"/>
        <w:adjustRightInd w:val="0"/>
        <w:snapToGrid w:val="0"/>
        <w:spacing w:before="0" w:beforeAutospacing="0" w:after="0" w:afterAutospacing="0" w:line="360" w:lineRule="auto"/>
        <w:ind w:firstLineChars="200" w:firstLine="360"/>
        <w:jc w:val="both"/>
        <w:divId w:val="1257716618"/>
        <w:rPr>
          <w:sz w:val="18"/>
          <w:szCs w:val="18"/>
        </w:rPr>
      </w:pPr>
      <w:r>
        <w:rPr>
          <w:rFonts w:hint="eastAsia"/>
          <w:sz w:val="18"/>
          <w:szCs w:val="18"/>
        </w:rPr>
        <w:t>报告期内，公司第九届董事会第三次会议审议通过了《关于转让参股公司部分股份的议案》，</w:t>
      </w:r>
      <w:r w:rsidR="00687521">
        <w:rPr>
          <w:rFonts w:hint="eastAsia"/>
          <w:sz w:val="18"/>
          <w:szCs w:val="18"/>
        </w:rPr>
        <w:t>公司控制主体</w:t>
      </w:r>
      <w:r w:rsidR="00687521" w:rsidRPr="000A1A60">
        <w:rPr>
          <w:rFonts w:asciiTheme="minorEastAsia" w:eastAsiaTheme="minorEastAsia" w:hAnsiTheme="minorEastAsia" w:cs="Arial"/>
          <w:sz w:val="18"/>
          <w:szCs w:val="18"/>
        </w:rPr>
        <w:t>上海启</w:t>
      </w:r>
      <w:proofErr w:type="gramStart"/>
      <w:r w:rsidR="00687521" w:rsidRPr="000A1A60">
        <w:rPr>
          <w:rFonts w:asciiTheme="minorEastAsia" w:eastAsiaTheme="minorEastAsia" w:hAnsiTheme="minorEastAsia" w:cs="Arial"/>
          <w:sz w:val="18"/>
          <w:szCs w:val="18"/>
        </w:rPr>
        <w:t>澜</w:t>
      </w:r>
      <w:proofErr w:type="gramEnd"/>
      <w:r w:rsidR="00687521" w:rsidRPr="000A1A60">
        <w:rPr>
          <w:rFonts w:asciiTheme="minorEastAsia" w:eastAsiaTheme="minorEastAsia" w:hAnsiTheme="minorEastAsia" w:cs="Arial"/>
          <w:sz w:val="18"/>
          <w:szCs w:val="18"/>
        </w:rPr>
        <w:t>与北京万通新发展集团股份有限公司（以下简称“万通发展”</w:t>
      </w:r>
      <w:r w:rsidR="00687521" w:rsidRPr="000A1A60">
        <w:rPr>
          <w:rFonts w:asciiTheme="minorEastAsia" w:eastAsiaTheme="minorEastAsia" w:hAnsiTheme="minorEastAsia" w:cs="Arial" w:hint="eastAsia"/>
          <w:sz w:val="18"/>
          <w:szCs w:val="18"/>
        </w:rPr>
        <w:t>）</w:t>
      </w:r>
      <w:r w:rsidR="00687521" w:rsidRPr="000A1A60">
        <w:rPr>
          <w:rFonts w:asciiTheme="minorEastAsia" w:eastAsiaTheme="minorEastAsia" w:hAnsiTheme="minorEastAsia" w:cs="Arial"/>
          <w:sz w:val="18"/>
          <w:szCs w:val="18"/>
        </w:rPr>
        <w:t>签署</w:t>
      </w:r>
      <w:r w:rsidR="00687521" w:rsidRPr="000A1A60">
        <w:rPr>
          <w:rFonts w:asciiTheme="minorEastAsia" w:eastAsiaTheme="minorEastAsia" w:hAnsiTheme="minorEastAsia" w:cs="Arial" w:hint="eastAsia"/>
          <w:sz w:val="18"/>
          <w:szCs w:val="18"/>
        </w:rPr>
        <w:t>了</w:t>
      </w:r>
      <w:r w:rsidR="00687521" w:rsidRPr="000A1A60">
        <w:rPr>
          <w:rFonts w:asciiTheme="minorEastAsia" w:eastAsiaTheme="minorEastAsia" w:hAnsiTheme="minorEastAsia" w:cs="Arial"/>
          <w:sz w:val="18"/>
          <w:szCs w:val="18"/>
        </w:rPr>
        <w:t>《关于 Source Photonics Holdings</w:t>
      </w:r>
      <w:r w:rsidR="00687521" w:rsidRPr="000A1A60">
        <w:rPr>
          <w:rFonts w:asciiTheme="minorEastAsia" w:eastAsiaTheme="minorEastAsia" w:hAnsiTheme="minorEastAsia" w:cs="Arial" w:hint="eastAsia"/>
          <w:sz w:val="18"/>
          <w:szCs w:val="18"/>
        </w:rPr>
        <w:t xml:space="preserve"> </w:t>
      </w:r>
      <w:r w:rsidR="00687521" w:rsidRPr="000A1A60">
        <w:rPr>
          <w:rFonts w:asciiTheme="minorEastAsia" w:eastAsiaTheme="minorEastAsia" w:hAnsiTheme="minorEastAsia" w:cs="Arial"/>
          <w:sz w:val="18"/>
          <w:szCs w:val="18"/>
        </w:rPr>
        <w:t>(Cayman) Limited 之股份转让协议》</w:t>
      </w:r>
      <w:r w:rsidR="00687521">
        <w:rPr>
          <w:rFonts w:asciiTheme="minorEastAsia" w:eastAsiaTheme="minorEastAsia" w:hAnsiTheme="minorEastAsia" w:cs="Arial"/>
          <w:sz w:val="18"/>
          <w:szCs w:val="18"/>
        </w:rPr>
        <w:t>，</w:t>
      </w:r>
      <w:r>
        <w:rPr>
          <w:rFonts w:hint="eastAsia"/>
          <w:sz w:val="18"/>
          <w:szCs w:val="18"/>
        </w:rPr>
        <w:t>上海启</w:t>
      </w:r>
      <w:proofErr w:type="gramStart"/>
      <w:r>
        <w:rPr>
          <w:rFonts w:hint="eastAsia"/>
          <w:sz w:val="18"/>
          <w:szCs w:val="18"/>
        </w:rPr>
        <w:t>澜</w:t>
      </w:r>
      <w:proofErr w:type="gramEnd"/>
      <w:r>
        <w:rPr>
          <w:rFonts w:hint="eastAsia"/>
          <w:sz w:val="18"/>
          <w:szCs w:val="18"/>
        </w:rPr>
        <w:t>拟将其持有556.03万股索尔思光电股份以及通过Diamond Hill, L.P.持有的2,959.25万股索尔思光电股份转让给</w:t>
      </w:r>
      <w:r w:rsidR="00687521">
        <w:rPr>
          <w:rFonts w:hint="eastAsia"/>
          <w:sz w:val="18"/>
          <w:szCs w:val="18"/>
        </w:rPr>
        <w:t>万通发展</w:t>
      </w:r>
      <w:r>
        <w:rPr>
          <w:rFonts w:hint="eastAsia"/>
          <w:sz w:val="18"/>
          <w:szCs w:val="18"/>
        </w:rPr>
        <w:t>，合计转让3,515.28万股索尔思光电股份，转让总价款为9,202.66万美元。本次转让完成后，上海启</w:t>
      </w:r>
      <w:proofErr w:type="gramStart"/>
      <w:r>
        <w:rPr>
          <w:rFonts w:hint="eastAsia"/>
          <w:sz w:val="18"/>
          <w:szCs w:val="18"/>
        </w:rPr>
        <w:t>澜</w:t>
      </w:r>
      <w:proofErr w:type="gramEnd"/>
      <w:r>
        <w:rPr>
          <w:rFonts w:hint="eastAsia"/>
          <w:sz w:val="18"/>
          <w:szCs w:val="18"/>
        </w:rPr>
        <w:t>通过Diamond Hill, L.P.</w:t>
      </w:r>
      <w:r w:rsidR="00687521">
        <w:rPr>
          <w:rFonts w:hint="eastAsia"/>
          <w:sz w:val="18"/>
          <w:szCs w:val="18"/>
        </w:rPr>
        <w:t>剩余</w:t>
      </w:r>
      <w:r>
        <w:rPr>
          <w:rFonts w:hint="eastAsia"/>
          <w:sz w:val="18"/>
          <w:szCs w:val="18"/>
        </w:rPr>
        <w:t>持有索尔思光电3,034.37万股股份。详见公司于2024年6月24日刊登在《上海证券报》《证券时报》和巨潮资讯网上的《关于转让参股公司部分股份的公告》（公告编号：2024-035）、《第九届董事会第三次会议决议公告》（公告编号：2024-037）。</w:t>
      </w:r>
    </w:p>
    <w:p w:rsidR="00C1183B" w:rsidRDefault="002D376B" w:rsidP="00687521">
      <w:pPr>
        <w:pStyle w:val="a3"/>
        <w:adjustRightInd w:val="0"/>
        <w:snapToGrid w:val="0"/>
        <w:spacing w:before="0" w:beforeAutospacing="0" w:after="0" w:afterAutospacing="0" w:line="360" w:lineRule="auto"/>
        <w:ind w:firstLineChars="200" w:firstLine="360"/>
        <w:jc w:val="both"/>
        <w:divId w:val="1257716618"/>
        <w:rPr>
          <w:sz w:val="18"/>
          <w:szCs w:val="18"/>
        </w:rPr>
      </w:pPr>
      <w:r>
        <w:rPr>
          <w:rFonts w:hint="eastAsia"/>
          <w:sz w:val="18"/>
          <w:szCs w:val="18"/>
        </w:rPr>
        <w:t xml:space="preserve"> 截至目前，上述索尔思光电股份转让事项尚在进展过程中。</w:t>
      </w:r>
    </w:p>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79" w:name="_Toc988968"/>
      <w:r>
        <w:rPr>
          <w:rFonts w:ascii="宋体" w:eastAsia="宋体" w:hAnsi="宋体" w:cs="宋体"/>
          <w:b/>
          <w:bCs/>
          <w:sz w:val="32"/>
          <w:szCs w:val="32"/>
        </w:rPr>
        <w:lastRenderedPageBreak/>
        <w:t>第七节 股份变动及股东情况</w:t>
      </w:r>
      <w:bookmarkEnd w:id="79"/>
    </w:p>
    <w:p w:rsidR="00334CB7" w:rsidRDefault="002D376B">
      <w:pPr>
        <w:pStyle w:val="2"/>
        <w:spacing w:before="300" w:after="300" w:line="320" w:lineRule="exact"/>
        <w:rPr>
          <w:rFonts w:ascii="宋体" w:eastAsia="宋体" w:hAnsi="宋体" w:cs="宋体"/>
          <w:b/>
          <w:bCs/>
          <w:sz w:val="24"/>
          <w:szCs w:val="24"/>
        </w:rPr>
      </w:pPr>
      <w:bookmarkStart w:id="80" w:name="_Toc988969"/>
      <w:r>
        <w:rPr>
          <w:rFonts w:ascii="宋体" w:eastAsia="宋体" w:hAnsi="宋体" w:cs="宋体"/>
          <w:b/>
          <w:bCs/>
          <w:sz w:val="24"/>
          <w:szCs w:val="24"/>
        </w:rPr>
        <w:t>一、股份变动情</w:t>
      </w:r>
      <w:bookmarkStart w:id="81" w:name="_GoBack"/>
      <w:bookmarkEnd w:id="81"/>
      <w:r>
        <w:rPr>
          <w:rFonts w:ascii="宋体" w:eastAsia="宋体" w:hAnsi="宋体" w:cs="宋体"/>
          <w:b/>
          <w:bCs/>
          <w:sz w:val="24"/>
          <w:szCs w:val="24"/>
        </w:rPr>
        <w:t>况</w:t>
      </w:r>
      <w:bookmarkEnd w:id="80"/>
    </w:p>
    <w:p w:rsidR="00334CB7" w:rsidRDefault="002D376B">
      <w:pPr>
        <w:pStyle w:val="3"/>
        <w:spacing w:line="280" w:lineRule="exact"/>
        <w:jc w:val="left"/>
        <w:rPr>
          <w:rFonts w:ascii="宋体" w:hAnsi="宋体" w:cs="宋体"/>
          <w:b/>
          <w:bCs/>
        </w:rPr>
      </w:pPr>
      <w:bookmarkStart w:id="82" w:name="_Toc988970"/>
      <w:r>
        <w:rPr>
          <w:rFonts w:ascii="宋体" w:hAnsi="宋体" w:cs="宋体"/>
          <w:b/>
          <w:bCs/>
        </w:rPr>
        <w:t>1、股份变动情况</w:t>
      </w:r>
      <w:bookmarkEnd w:id="82"/>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334CB7">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334CB7">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99.99%</w:t>
            </w: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885,887,337</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99.99%</w:t>
            </w: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1183B" w:rsidRDefault="002D376B">
      <w:pPr>
        <w:pStyle w:val="a3"/>
        <w:divId w:val="802045812"/>
        <w:rPr>
          <w:sz w:val="18"/>
          <w:szCs w:val="18"/>
        </w:rPr>
      </w:pPr>
      <w:r>
        <w:rPr>
          <w:rFonts w:hint="eastAsia"/>
          <w:sz w:val="18"/>
          <w:szCs w:val="18"/>
        </w:rPr>
        <w:t>离职董事持有股份限售期满导致的股份变动。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采用集中竞价方式减持回购股份的实施进展情况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83" w:name="_Toc988971"/>
      <w:r>
        <w:rPr>
          <w:rFonts w:ascii="宋体" w:hAnsi="宋体" w:cs="宋体"/>
          <w:b/>
          <w:bCs/>
        </w:rPr>
        <w:t>2、限售股份变动情况</w:t>
      </w:r>
      <w:bookmarkEnd w:id="83"/>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限售原因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解除限售日期</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李满良</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董事任期内</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王宏宇</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56,250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56,250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2024-01-15</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吴文通</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2024-01-15</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96,448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334CB7" w:rsidRDefault="002D376B">
      <w:pPr>
        <w:pStyle w:val="2"/>
        <w:spacing w:before="300" w:after="300" w:line="320" w:lineRule="exact"/>
        <w:rPr>
          <w:rFonts w:ascii="宋体" w:eastAsia="宋体" w:hAnsi="宋体" w:cs="宋体"/>
          <w:b/>
          <w:bCs/>
          <w:sz w:val="24"/>
          <w:szCs w:val="24"/>
        </w:rPr>
      </w:pPr>
      <w:bookmarkStart w:id="84" w:name="_Toc988972"/>
      <w:r>
        <w:rPr>
          <w:rFonts w:ascii="宋体" w:eastAsia="宋体" w:hAnsi="宋体" w:cs="宋体"/>
          <w:b/>
          <w:bCs/>
          <w:sz w:val="24"/>
          <w:szCs w:val="24"/>
        </w:rPr>
        <w:t>二、证券发行与上市情况</w:t>
      </w:r>
      <w:bookmarkEnd w:id="84"/>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85" w:name="_Toc988973"/>
      <w:r>
        <w:rPr>
          <w:rFonts w:ascii="宋体" w:eastAsia="宋体" w:hAnsi="宋体" w:cs="宋体"/>
          <w:b/>
          <w:bCs/>
          <w:sz w:val="24"/>
          <w:szCs w:val="24"/>
        </w:rPr>
        <w:t>三、公司股东数量及持股情况</w:t>
      </w:r>
      <w:bookmarkEnd w:id="85"/>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770"/>
        <w:gridCol w:w="301"/>
        <w:gridCol w:w="1071"/>
        <w:gridCol w:w="1071"/>
      </w:tblGrid>
      <w:tr w:rsidR="00334CB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86,092</w:t>
            </w:r>
          </w:p>
        </w:tc>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持股5%以上的普通股股东或前10名普通股股东持股情况（不含通过转融通出借股份）</w:t>
            </w:r>
          </w:p>
        </w:tc>
      </w:tr>
      <w:tr w:rsidR="00334CB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报告期末持有的普通股数量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持有有限售条件的普通股数</w:t>
            </w:r>
            <w:r>
              <w:rPr>
                <w:rFonts w:ascii="宋体" w:eastAsia="宋体" w:hAnsi="宋体" w:cs="宋体"/>
                <w:sz w:val="18"/>
                <w:szCs w:val="18"/>
              </w:rPr>
              <w:lastRenderedPageBreak/>
              <w:t>量</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持有无限售条件的普通股数</w:t>
            </w:r>
            <w:r>
              <w:rPr>
                <w:rFonts w:ascii="宋体" w:eastAsia="宋体" w:hAnsi="宋体" w:cs="宋体"/>
                <w:sz w:val="18"/>
                <w:szCs w:val="18"/>
              </w:rPr>
              <w:lastRenderedPageBreak/>
              <w:t>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质押、标记或冻结情况</w:t>
            </w:r>
          </w:p>
        </w:tc>
      </w:tr>
      <w:tr w:rsidR="00334CB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元元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境外自然人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0.86%</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7,631,767.00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929800.</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7,631,767.00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杨光勇</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5,944,511.00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27191.0</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5,944,511.00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0.48%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4,273,001.00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879628.</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4,273,001.00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聂鹏举</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2,953,200.00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-69600.</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2,953,200.00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陈燕培</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2,902,100.00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872100.</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2,902,100.00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陈杏英</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300000.</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林凯铭</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2,469,000.00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61500.0</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2,469,000.00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马广兴</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1,794,000.00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394000.</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1,794,000.00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战略投资者或一般法人因配售新股成为前10名普通股股东的情况</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r w:rsidR="00334CB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公司控股股东江苏华西集团有限公司与前十名股东之间不存在关联关系，也不属于一致行动人。未知其他股东之间是否存在关联关系，也未知其一致行动情况。</w:t>
            </w:r>
          </w:p>
        </w:tc>
      </w:tr>
      <w:tr w:rsidR="00334CB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r w:rsidR="00334CB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r w:rsidR="00334CB7">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前10名无限售条件普通股股东持股情况（不含通过转融通出借股份、高管锁定股）</w:t>
            </w:r>
          </w:p>
        </w:tc>
      </w:tr>
      <w:tr w:rsidR="00334CB7" w:rsidTr="00A11B3E">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5054"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报告期末持有无限售条件普通股股份数量</w:t>
            </w:r>
          </w:p>
        </w:tc>
        <w:tc>
          <w:tcPr>
            <w:tcW w:w="24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334CB7" w:rsidTr="00A11B3E">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054"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82,129,483</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元元</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7,631,767.00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7,631,767</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杨光勇</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5,944,511.00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5,944,511</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4,273,001.00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4,273,001</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聂鹏举</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2,953,200.00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2,953,200</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陈燕培</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2,902,100.00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2,902,100</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陈杏英</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2,800,000</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林凯铭</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2,469,000.00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2,469,000</w:t>
            </w:r>
          </w:p>
        </w:tc>
      </w:tr>
      <w:tr w:rsidR="00334CB7" w:rsidTr="00A11B3E">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马广兴</w:t>
            </w:r>
          </w:p>
        </w:tc>
        <w:tc>
          <w:tcPr>
            <w:tcW w:w="5054" w:type="dxa"/>
            <w:gridSpan w:val="5"/>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1,794,000.00</w:t>
            </w:r>
          </w:p>
        </w:tc>
        <w:tc>
          <w:tcPr>
            <w:tcW w:w="137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1,794,000</w:t>
            </w:r>
          </w:p>
        </w:tc>
      </w:tr>
      <w:tr w:rsidR="00334CB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前10名无限售条件普通股股东之间，以及前10名无限售条件普通股股东和前10名普通股股东</w:t>
            </w:r>
            <w:r>
              <w:rPr>
                <w:rFonts w:ascii="宋体" w:eastAsia="宋体" w:hAnsi="宋体" w:cs="宋体"/>
                <w:sz w:val="18"/>
                <w:szCs w:val="18"/>
              </w:rPr>
              <w:lastRenderedPageBreak/>
              <w:t>之间关联关系或一致行动的说明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公司控股股东江苏华西集团有限公司与前十名股东之间不存在关联关系，也不属于一致行动人。未知其他股东之间是否存在关联关系，也未知其一致行动情况。</w:t>
            </w:r>
          </w:p>
        </w:tc>
      </w:tr>
      <w:tr w:rsidR="00334CB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495CB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前10名普通股股东参与融资融券业务情况说明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股东“元元”通过信用交易担保证券账户持有公司股票7,631,767股。</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股东“杨光勇”通过信用交易担保证券账户持有公司股票5,944,511股。</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股东“聂鹏举”通过信用交易担保证券账户持有公司股票2,953,200股。</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股东“陈杏英”通过信用交易担保证券账户持有公司股票2,800,000股。</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股东“林凯铭”通过信用交易担保证券账户持有公司股票2,469,000股。</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股东“马广兴”通过信用交易担保证券账户持有公司股票1,794,000股。</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持股5%以上股东、前10名股东及前10名无限售流通股股东参与转融通业务出借股份情况</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前10名股东及前10名无限售流通股股东因转融通出借/归还原因导致较上期发生变化</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公司前10名普通股股东、前10名无限售条件普通股股东在报告期内是否进行约定购回交易</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334CB7" w:rsidRDefault="002D376B">
      <w:pPr>
        <w:pStyle w:val="2"/>
        <w:spacing w:before="300" w:after="300" w:line="320" w:lineRule="exact"/>
        <w:rPr>
          <w:rFonts w:ascii="宋体" w:eastAsia="宋体" w:hAnsi="宋体" w:cs="宋体"/>
          <w:b/>
          <w:bCs/>
          <w:sz w:val="24"/>
          <w:szCs w:val="24"/>
        </w:rPr>
      </w:pPr>
      <w:bookmarkStart w:id="86" w:name="_Toc988974"/>
      <w:r>
        <w:rPr>
          <w:rFonts w:ascii="宋体" w:eastAsia="宋体" w:hAnsi="宋体" w:cs="宋体"/>
          <w:b/>
          <w:bCs/>
          <w:sz w:val="24"/>
          <w:szCs w:val="24"/>
        </w:rPr>
        <w:t>四、董事、监事和高级管理人员持股变动</w:t>
      </w:r>
      <w:bookmarkEnd w:id="8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公司董事、监事和高级管理人员在报告期持股情况没有发生变动，具体可参见2023年年报。</w:t>
      </w:r>
    </w:p>
    <w:p w:rsidR="00334CB7" w:rsidRDefault="002D376B">
      <w:pPr>
        <w:pStyle w:val="2"/>
        <w:spacing w:before="300" w:after="300" w:line="320" w:lineRule="exact"/>
        <w:rPr>
          <w:rFonts w:ascii="宋体" w:eastAsia="宋体" w:hAnsi="宋体" w:cs="宋体"/>
          <w:b/>
          <w:bCs/>
          <w:sz w:val="24"/>
          <w:szCs w:val="24"/>
        </w:rPr>
      </w:pPr>
      <w:bookmarkStart w:id="87" w:name="_Toc988975"/>
      <w:r>
        <w:rPr>
          <w:rFonts w:ascii="宋体" w:eastAsia="宋体" w:hAnsi="宋体" w:cs="宋体"/>
          <w:b/>
          <w:bCs/>
          <w:sz w:val="24"/>
          <w:szCs w:val="24"/>
        </w:rPr>
        <w:t>五、控股股东或实际控制人变更情况</w:t>
      </w:r>
      <w:bookmarkEnd w:id="87"/>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88" w:name="_Toc988976"/>
      <w:r>
        <w:rPr>
          <w:rFonts w:ascii="宋体" w:eastAsia="宋体" w:hAnsi="宋体" w:cs="宋体"/>
          <w:b/>
          <w:bCs/>
          <w:sz w:val="32"/>
          <w:szCs w:val="32"/>
        </w:rPr>
        <w:lastRenderedPageBreak/>
        <w:t>第八节 优先股相关情况</w:t>
      </w:r>
      <w:bookmarkEnd w:id="88"/>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报告期公司不存在优先股。</w:t>
      </w:r>
    </w:p>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89" w:name="_Toc988977"/>
      <w:r>
        <w:rPr>
          <w:rFonts w:ascii="宋体" w:eastAsia="宋体" w:hAnsi="宋体" w:cs="宋体"/>
          <w:b/>
          <w:bCs/>
          <w:sz w:val="32"/>
          <w:szCs w:val="32"/>
        </w:rPr>
        <w:lastRenderedPageBreak/>
        <w:t>第九节 债券相关情况</w:t>
      </w:r>
      <w:bookmarkEnd w:id="89"/>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r>
        <w:br w:type="page"/>
      </w:r>
    </w:p>
    <w:p w:rsidR="00334CB7" w:rsidRDefault="002D376B">
      <w:pPr>
        <w:pStyle w:val="headingh1"/>
        <w:spacing w:before="340" w:after="330" w:line="773" w:lineRule="exact"/>
        <w:jc w:val="center"/>
        <w:rPr>
          <w:rFonts w:ascii="宋体" w:eastAsia="宋体" w:hAnsi="宋体" w:cs="宋体"/>
          <w:b/>
          <w:bCs/>
          <w:sz w:val="32"/>
          <w:szCs w:val="32"/>
        </w:rPr>
      </w:pPr>
      <w:bookmarkStart w:id="90" w:name="_Toc988978"/>
      <w:r>
        <w:rPr>
          <w:rFonts w:ascii="宋体" w:eastAsia="宋体" w:hAnsi="宋体" w:cs="宋体"/>
          <w:b/>
          <w:bCs/>
          <w:sz w:val="32"/>
          <w:szCs w:val="32"/>
        </w:rPr>
        <w:lastRenderedPageBreak/>
        <w:t>第十节 财务报告</w:t>
      </w:r>
      <w:bookmarkEnd w:id="90"/>
    </w:p>
    <w:p w:rsidR="00334CB7" w:rsidRDefault="002D376B">
      <w:pPr>
        <w:pStyle w:val="2"/>
        <w:spacing w:before="300" w:after="300" w:line="320" w:lineRule="exact"/>
        <w:rPr>
          <w:rFonts w:ascii="宋体" w:eastAsia="宋体" w:hAnsi="宋体" w:cs="宋体"/>
          <w:b/>
          <w:bCs/>
          <w:sz w:val="24"/>
          <w:szCs w:val="24"/>
        </w:rPr>
      </w:pPr>
      <w:bookmarkStart w:id="91" w:name="_Toc988979"/>
      <w:r>
        <w:rPr>
          <w:rFonts w:ascii="宋体" w:eastAsia="宋体" w:hAnsi="宋体" w:cs="宋体"/>
          <w:b/>
          <w:bCs/>
          <w:sz w:val="24"/>
          <w:szCs w:val="24"/>
        </w:rPr>
        <w:t>一、审计报告</w:t>
      </w:r>
      <w:bookmarkEnd w:id="91"/>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rsidR="00334CB7" w:rsidRDefault="002D376B">
      <w:pPr>
        <w:pStyle w:val="2"/>
        <w:spacing w:before="300" w:after="300" w:line="320" w:lineRule="exact"/>
        <w:rPr>
          <w:rFonts w:ascii="宋体" w:eastAsia="宋体" w:hAnsi="宋体" w:cs="宋体"/>
          <w:b/>
          <w:bCs/>
          <w:sz w:val="24"/>
          <w:szCs w:val="24"/>
        </w:rPr>
      </w:pPr>
      <w:bookmarkStart w:id="92" w:name="_Toc988980"/>
      <w:r>
        <w:rPr>
          <w:rFonts w:ascii="宋体" w:eastAsia="宋体" w:hAnsi="宋体" w:cs="宋体"/>
          <w:b/>
          <w:bCs/>
          <w:sz w:val="24"/>
          <w:szCs w:val="24"/>
        </w:rPr>
        <w:t>二、财务报表</w:t>
      </w:r>
      <w:bookmarkEnd w:id="92"/>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334CB7" w:rsidRDefault="002D376B">
      <w:pPr>
        <w:pStyle w:val="3"/>
        <w:spacing w:line="280" w:lineRule="exact"/>
        <w:jc w:val="left"/>
        <w:rPr>
          <w:rFonts w:ascii="宋体" w:hAnsi="宋体" w:cs="宋体"/>
          <w:b/>
          <w:bCs/>
        </w:rPr>
      </w:pPr>
      <w:bookmarkStart w:id="93" w:name="_Toc988981"/>
      <w:r>
        <w:rPr>
          <w:rFonts w:ascii="宋体" w:hAnsi="宋体" w:cs="宋体"/>
          <w:b/>
          <w:bCs/>
        </w:rPr>
        <w:t>1、合并资产负债表</w:t>
      </w:r>
      <w:bookmarkEnd w:id="93"/>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2024年06月30日</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492,320,747.21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666,337,136.82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361,777,515.76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309,897,476.06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52,802,873.81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51,216,616.87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163,210,279.59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109,741,338.42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170,587,490.34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141,899,872.44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55,485,386.56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35,465,028.18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6,233,465.05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1,423,307.95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303,633,783.09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334,634,188.55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24,754,163.89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31,586,437.65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lastRenderedPageBreak/>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1,630,805,705.30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1,682,201,402.94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3,543,899,749.86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3,571,290,697.32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827,409,863.78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659,909,863.78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476,126,628.48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466,295,788.81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60,487,054.62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23,731,322.46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19,707,238.78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20,097,035.61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2,064,864.17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23,720,386.84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23,131,362.52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2,541,399.10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7,880,500.00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4,955,957,185.63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4,774,401,434.67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6,586,762,890.93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6,456,602,837.61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1,090,709,348.89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1,094,175,911.15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83,170,821.99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77,396,186.48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2,180,394.57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7,126,997.60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109,312,966.15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57,960,875.88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18,196,459.69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35,186,096.44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lastRenderedPageBreak/>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9,261,238.13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2,589,275.66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18,309,599.26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607,183.47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34,788,411.58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30,426,414.30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1,365,929,240.26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1,305,468,940.98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3,986,500.00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4,221,000.00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21,967,982.67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31,214,835.57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45,954,482.67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35,435,835.57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1,411,883,722.93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1,340,904,776.55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64"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886,012,887.00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393,011,181.65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391,049,342.12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8,495,922.23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64" w:lineRule="auto"/>
              <w:jc w:val="right"/>
              <w:rPr>
                <w:rFonts w:ascii="宋体" w:eastAsia="宋体" w:hAnsi="宋体" w:cs="宋体"/>
                <w:sz w:val="18"/>
                <w:szCs w:val="18"/>
              </w:rPr>
            </w:pPr>
            <w:r>
              <w:rPr>
                <w:rFonts w:ascii="宋体" w:eastAsia="宋体" w:hAnsi="宋体" w:cs="宋体"/>
                <w:sz w:val="18"/>
                <w:szCs w:val="18"/>
              </w:rPr>
              <w:t>12,931,116.72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264" w:lineRule="auto"/>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64" w:lineRule="auto"/>
              <w:jc w:val="right"/>
              <w:rPr>
                <w:rFonts w:ascii="宋体" w:eastAsia="宋体" w:hAnsi="宋体" w:cs="宋体"/>
                <w:sz w:val="18"/>
                <w:szCs w:val="18"/>
              </w:rPr>
            </w:pP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993A41">
            <w:pPr>
              <w:adjustRightInd w:val="0"/>
              <w:snapToGrid w:val="0"/>
              <w:spacing w:line="228" w:lineRule="auto"/>
              <w:jc w:val="right"/>
              <w:rPr>
                <w:rFonts w:ascii="宋体" w:eastAsia="宋体" w:hAnsi="宋体" w:cs="宋体"/>
                <w:sz w:val="18"/>
                <w:szCs w:val="18"/>
              </w:rPr>
            </w:pPr>
            <w:r>
              <w:rPr>
                <w:rFonts w:ascii="宋体" w:eastAsia="宋体" w:hAnsi="宋体" w:cs="宋体"/>
                <w:sz w:val="18"/>
                <w:szCs w:val="18"/>
              </w:rPr>
              <w:t>43</w:t>
            </w:r>
            <w:r>
              <w:rPr>
                <w:rFonts w:ascii="宋体" w:eastAsia="宋体" w:hAnsi="宋体" w:cs="宋体" w:hint="eastAsia"/>
                <w:sz w:val="18"/>
                <w:szCs w:val="18"/>
              </w:rPr>
              <w:t>7</w:t>
            </w:r>
            <w:r>
              <w:rPr>
                <w:rFonts w:ascii="宋体" w:eastAsia="宋体" w:hAnsi="宋体" w:cs="宋体"/>
                <w:sz w:val="18"/>
                <w:szCs w:val="18"/>
              </w:rPr>
              <w:t>,</w:t>
            </w:r>
            <w:r>
              <w:rPr>
                <w:rFonts w:ascii="宋体" w:eastAsia="宋体" w:hAnsi="宋体" w:cs="宋体" w:hint="eastAsia"/>
                <w:sz w:val="18"/>
                <w:szCs w:val="18"/>
              </w:rPr>
              <w:t>259</w:t>
            </w:r>
            <w:r>
              <w:rPr>
                <w:rFonts w:ascii="宋体" w:eastAsia="宋体" w:hAnsi="宋体" w:cs="宋体"/>
                <w:sz w:val="18"/>
                <w:szCs w:val="18"/>
              </w:rPr>
              <w:t>,</w:t>
            </w:r>
            <w:r>
              <w:rPr>
                <w:rFonts w:ascii="宋体" w:eastAsia="宋体" w:hAnsi="宋体" w:cs="宋体" w:hint="eastAsia"/>
                <w:sz w:val="18"/>
                <w:szCs w:val="18"/>
              </w:rPr>
              <w:t>060</w:t>
            </w:r>
            <w:r>
              <w:rPr>
                <w:rFonts w:ascii="宋体" w:eastAsia="宋体" w:hAnsi="宋体" w:cs="宋体"/>
                <w:sz w:val="18"/>
                <w:szCs w:val="18"/>
              </w:rPr>
              <w:t>.</w:t>
            </w:r>
            <w:r>
              <w:rPr>
                <w:rFonts w:ascii="宋体" w:eastAsia="宋体" w:hAnsi="宋体" w:cs="宋体" w:hint="eastAsia"/>
                <w:sz w:val="18"/>
                <w:szCs w:val="18"/>
              </w:rPr>
              <w:t>65</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435,671,944.53</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993A41">
            <w:pPr>
              <w:adjustRightInd w:val="0"/>
              <w:snapToGrid w:val="0"/>
              <w:spacing w:line="228"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993A41">
            <w:pPr>
              <w:adjustRightInd w:val="0"/>
              <w:snapToGrid w:val="0"/>
              <w:spacing w:line="228" w:lineRule="auto"/>
              <w:jc w:val="right"/>
              <w:rPr>
                <w:rFonts w:ascii="宋体" w:eastAsia="宋体" w:hAnsi="宋体" w:cs="宋体"/>
                <w:sz w:val="18"/>
                <w:szCs w:val="18"/>
              </w:rPr>
            </w:pPr>
            <w:r>
              <w:rPr>
                <w:rFonts w:ascii="宋体" w:eastAsia="宋体" w:hAnsi="宋体" w:cs="宋体"/>
                <w:sz w:val="18"/>
                <w:szCs w:val="18"/>
              </w:rPr>
              <w:t>3,45</w:t>
            </w:r>
            <w:r>
              <w:rPr>
                <w:rFonts w:ascii="宋体" w:eastAsia="宋体" w:hAnsi="宋体" w:cs="宋体" w:hint="eastAsia"/>
                <w:sz w:val="18"/>
                <w:szCs w:val="18"/>
              </w:rPr>
              <w:t>0</w:t>
            </w:r>
            <w:r>
              <w:rPr>
                <w:rFonts w:ascii="宋体" w:eastAsia="宋体" w:hAnsi="宋体" w:cs="宋体"/>
                <w:sz w:val="18"/>
                <w:szCs w:val="18"/>
              </w:rPr>
              <w:t>,</w:t>
            </w:r>
            <w:r>
              <w:rPr>
                <w:rFonts w:ascii="宋体" w:eastAsia="宋体" w:hAnsi="宋体" w:cs="宋体" w:hint="eastAsia"/>
                <w:sz w:val="18"/>
                <w:szCs w:val="18"/>
              </w:rPr>
              <w:t>100</w:t>
            </w:r>
            <w:r>
              <w:rPr>
                <w:rFonts w:ascii="宋体" w:eastAsia="宋体" w:hAnsi="宋体" w:cs="宋体"/>
                <w:sz w:val="18"/>
                <w:szCs w:val="18"/>
              </w:rPr>
              <w:t>,</w:t>
            </w:r>
            <w:r>
              <w:rPr>
                <w:rFonts w:ascii="宋体" w:eastAsia="宋体" w:hAnsi="宋体" w:cs="宋体" w:hint="eastAsia"/>
                <w:sz w:val="18"/>
                <w:szCs w:val="18"/>
              </w:rPr>
              <w:t>116</w:t>
            </w:r>
            <w:r>
              <w:rPr>
                <w:rFonts w:ascii="宋体" w:eastAsia="宋体" w:hAnsi="宋体" w:cs="宋体"/>
                <w:sz w:val="18"/>
                <w:szCs w:val="18"/>
              </w:rPr>
              <w:t>.</w:t>
            </w:r>
            <w:r>
              <w:rPr>
                <w:rFonts w:ascii="宋体" w:eastAsia="宋体" w:hAnsi="宋体" w:cs="宋体" w:hint="eastAsia"/>
                <w:sz w:val="18"/>
                <w:szCs w:val="18"/>
              </w:rPr>
              <w:t>47</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3,390,032,770.69</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D31B8E">
            <w:pPr>
              <w:spacing w:line="264" w:lineRule="auto"/>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5,174,879,168.00</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5,115,698,061.06</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D31B8E">
            <w:pPr>
              <w:spacing w:line="264" w:lineRule="auto"/>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D31B8E">
            <w:pPr>
              <w:spacing w:line="264" w:lineRule="auto"/>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5,174,879,168.00</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5,115,698,061.06</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D31B8E">
            <w:pPr>
              <w:spacing w:line="264" w:lineRule="auto"/>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6,586,762,890.93</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D31B8E">
            <w:pPr>
              <w:spacing w:line="264" w:lineRule="auto"/>
              <w:jc w:val="right"/>
              <w:rPr>
                <w:rFonts w:ascii="宋体" w:eastAsia="宋体" w:hAnsi="宋体" w:cs="宋体"/>
                <w:sz w:val="18"/>
                <w:szCs w:val="18"/>
              </w:rPr>
            </w:pPr>
            <w:r>
              <w:rPr>
                <w:rFonts w:ascii="宋体" w:eastAsia="宋体" w:hAnsi="宋体" w:cs="宋体"/>
                <w:sz w:val="18"/>
                <w:szCs w:val="18"/>
              </w:rPr>
              <w:t>6,456,602,837.61</w:t>
            </w:r>
          </w:p>
        </w:tc>
      </w:tr>
    </w:tbl>
    <w:p w:rsidR="00A11B3E" w:rsidRDefault="002D376B" w:rsidP="003D2E66">
      <w:pPr>
        <w:spacing w:before="100" w:after="100" w:line="264" w:lineRule="auto"/>
        <w:ind w:firstLineChars="100" w:firstLine="180"/>
        <w:rPr>
          <w:rFonts w:ascii="宋体" w:eastAsia="宋体" w:hAnsi="宋体" w:cs="宋体"/>
          <w:sz w:val="18"/>
          <w:szCs w:val="18"/>
        </w:rPr>
      </w:pPr>
      <w:r>
        <w:rPr>
          <w:rFonts w:ascii="宋体" w:eastAsia="宋体" w:hAnsi="宋体" w:cs="宋体"/>
          <w:sz w:val="18"/>
          <w:szCs w:val="18"/>
        </w:rPr>
        <w:t xml:space="preserve">法定代表人：吴协恩    </w:t>
      </w:r>
      <w:r w:rsidR="00A11B3E">
        <w:rPr>
          <w:rFonts w:ascii="宋体" w:eastAsia="宋体" w:hAnsi="宋体" w:cs="宋体" w:hint="eastAsia"/>
          <w:sz w:val="18"/>
          <w:szCs w:val="18"/>
        </w:rPr>
        <w:t xml:space="preserve">          </w:t>
      </w:r>
      <w:r w:rsidR="00415D21">
        <w:rPr>
          <w:rFonts w:ascii="宋体" w:eastAsia="宋体" w:hAnsi="宋体" w:cs="宋体" w:hint="eastAsia"/>
          <w:sz w:val="18"/>
          <w:szCs w:val="18"/>
        </w:rPr>
        <w:t xml:space="preserve">  </w:t>
      </w:r>
      <w:r w:rsidR="00A11B3E">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A11B3E">
        <w:rPr>
          <w:rFonts w:ascii="宋体" w:eastAsia="宋体" w:hAnsi="宋体" w:cs="宋体" w:hint="eastAsia"/>
          <w:sz w:val="18"/>
          <w:szCs w:val="18"/>
        </w:rPr>
        <w:t xml:space="preserve">       </w:t>
      </w:r>
      <w:r w:rsidR="00415D21">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A11B3E" w:rsidRDefault="00A11B3E">
      <w:pPr>
        <w:widowControl/>
        <w:rPr>
          <w:rFonts w:ascii="宋体" w:eastAsia="宋体" w:hAnsi="宋体" w:cs="宋体"/>
          <w:sz w:val="18"/>
          <w:szCs w:val="18"/>
        </w:rPr>
      </w:pPr>
      <w:r>
        <w:rPr>
          <w:rFonts w:ascii="宋体" w:eastAsia="宋体" w:hAnsi="宋体" w:cs="宋体"/>
          <w:sz w:val="18"/>
          <w:szCs w:val="18"/>
        </w:rPr>
        <w:br w:type="page"/>
      </w:r>
    </w:p>
    <w:p w:rsidR="00334CB7" w:rsidRDefault="002D376B" w:rsidP="00E66307">
      <w:pPr>
        <w:pStyle w:val="3"/>
        <w:spacing w:after="0" w:line="240" w:lineRule="auto"/>
        <w:jc w:val="left"/>
        <w:rPr>
          <w:rFonts w:ascii="宋体" w:hAnsi="宋体" w:cs="宋体"/>
          <w:sz w:val="18"/>
          <w:szCs w:val="18"/>
        </w:rPr>
      </w:pPr>
      <w:bookmarkStart w:id="94" w:name="_Toc988982"/>
      <w:r>
        <w:rPr>
          <w:rFonts w:ascii="宋体" w:hAnsi="宋体" w:cs="宋体"/>
          <w:b/>
          <w:bCs/>
          <w:sz w:val="24"/>
          <w:szCs w:val="24"/>
        </w:rPr>
        <w:lastRenderedPageBreak/>
        <w:t>2、母公司资产负债表</w:t>
      </w:r>
      <w:bookmarkEnd w:id="94"/>
      <w:r w:rsidR="00A11B3E">
        <w:rPr>
          <w:rFonts w:ascii="宋体" w:hAnsi="宋体" w:cs="宋体" w:hint="eastAsia"/>
          <w:b/>
          <w:bCs/>
          <w:sz w:val="24"/>
          <w:szCs w:val="24"/>
        </w:rPr>
        <w:t xml:space="preserve">                                                    </w:t>
      </w: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327,891,809.92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427,185,789.55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349,150,102.16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306,943,207.20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51,177,860.89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44,855,357.67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142,219,323.17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100,357,653.36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169,513,985.02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135,160,808.33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55,871,076.65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33,082,680.93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5,380,241.21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584,058.26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302,997,133.30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334,091,810.56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23,213,379.65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25,894,299.98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1,427,414,911.97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1,408,155,665.84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4,675,050,637.35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4,715,208,374.05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257,667,673.06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90,167,673.06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383,039,364.81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372,863,512.46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57,611,166.11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17,708,000.04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7,805,579.08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906,618.90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6,521,000.00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5,382,081,039.31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5,202,468,559.61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6,809,495,951.28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6,610,624,225.45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lastRenderedPageBreak/>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693,460,652.78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743,575,663.63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478,847,761.17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426,623,849.03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108,932,536.40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57,580,446.13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11,520,697.32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24,305,910.43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7,793,205.99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1,226,227.77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527,667,962.32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397,545,952.02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34,318,955.71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28,693,439.43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1,862,541,771.69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1,679,551,488.44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1,948,237.34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1,948,237.34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1,882,541,771.69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1,681,499,725.78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spacing w:line="18" w:lineRule="atLeast"/>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886,012,887.00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529,662,927.74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529,662,927.74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line="18" w:lineRule="atLeas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-3,609,806.99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-3,288,583.47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spacing w:before="40" w:after="40" w:line="18" w:lineRule="atLeas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spacing w:line="18" w:lineRule="atLeast"/>
              <w:jc w:val="right"/>
              <w:rPr>
                <w:rFonts w:ascii="宋体" w:eastAsia="宋体" w:hAnsi="宋体" w:cs="宋体"/>
                <w:sz w:val="18"/>
                <w:szCs w:val="18"/>
              </w:rPr>
            </w:pP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A11B3E">
            <w:pPr>
              <w:adjustRightInd w:val="0"/>
              <w:snapToGrid w:val="0"/>
              <w:spacing w:line="18" w:lineRule="atLeas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Pr="00B5427C" w:rsidRDefault="00993A41" w:rsidP="00993A41">
            <w:pPr>
              <w:adjustRightInd w:val="0"/>
              <w:snapToGrid w:val="0"/>
              <w:spacing w:line="18" w:lineRule="atLeast"/>
              <w:jc w:val="right"/>
              <w:rPr>
                <w:rFonts w:ascii="宋体" w:eastAsia="宋体" w:hAnsi="宋体" w:cs="宋体"/>
                <w:sz w:val="18"/>
                <w:szCs w:val="18"/>
              </w:rPr>
            </w:pPr>
            <w:r w:rsidRPr="00B5427C">
              <w:rPr>
                <w:rFonts w:ascii="宋体" w:eastAsia="宋体" w:hAnsi="宋体" w:cs="宋体" w:hint="eastAsia"/>
                <w:sz w:val="18"/>
                <w:szCs w:val="18"/>
              </w:rPr>
              <w:t xml:space="preserve">        467,933,181.50 </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466,346,065.38</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A11B3E">
            <w:pPr>
              <w:adjustRightInd w:val="0"/>
              <w:snapToGrid w:val="0"/>
              <w:spacing w:line="18" w:lineRule="atLeas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Pr="00B5427C" w:rsidRDefault="00993A41" w:rsidP="00993A41">
            <w:pPr>
              <w:adjustRightInd w:val="0"/>
              <w:snapToGrid w:val="0"/>
              <w:spacing w:line="18" w:lineRule="atLeast"/>
              <w:jc w:val="right"/>
              <w:rPr>
                <w:rFonts w:ascii="宋体" w:eastAsia="宋体" w:hAnsi="宋体" w:cs="宋体"/>
                <w:sz w:val="18"/>
                <w:szCs w:val="18"/>
              </w:rPr>
            </w:pPr>
            <w:r w:rsidRPr="00B5427C">
              <w:rPr>
                <w:rFonts w:ascii="宋体" w:eastAsia="宋体" w:hAnsi="宋体" w:cs="宋体" w:hint="eastAsia"/>
                <w:sz w:val="18"/>
                <w:szCs w:val="18"/>
              </w:rPr>
              <w:t xml:space="preserve">      3,046,954,990.34 </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3,050,391,203.02</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A11B3E">
            <w:pPr>
              <w:adjustRightInd w:val="0"/>
              <w:snapToGrid w:val="0"/>
              <w:spacing w:line="18" w:lineRule="atLeas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4,926,954,179.59</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4,929,124,499.67</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A11B3E">
            <w:pPr>
              <w:adjustRightInd w:val="0"/>
              <w:snapToGrid w:val="0"/>
              <w:spacing w:line="18" w:lineRule="atLeas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6,809,495,951.28</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rsidP="00A11B3E">
            <w:pPr>
              <w:adjustRightInd w:val="0"/>
              <w:snapToGrid w:val="0"/>
              <w:spacing w:line="18" w:lineRule="atLeast"/>
              <w:jc w:val="right"/>
              <w:rPr>
                <w:rFonts w:ascii="宋体" w:eastAsia="宋体" w:hAnsi="宋体" w:cs="宋体"/>
                <w:sz w:val="18"/>
                <w:szCs w:val="18"/>
              </w:rPr>
            </w:pPr>
            <w:r>
              <w:rPr>
                <w:rFonts w:ascii="宋体" w:eastAsia="宋体" w:hAnsi="宋体" w:cs="宋体"/>
                <w:sz w:val="18"/>
                <w:szCs w:val="18"/>
              </w:rPr>
              <w:t>6,610,624,225.45</w:t>
            </w:r>
          </w:p>
        </w:tc>
      </w:tr>
    </w:tbl>
    <w:p w:rsidR="00261426" w:rsidRDefault="00261426" w:rsidP="003D2E66">
      <w:pPr>
        <w:spacing w:before="100" w:after="100" w:line="264" w:lineRule="auto"/>
        <w:ind w:firstLineChars="100" w:firstLine="180"/>
        <w:rPr>
          <w:rFonts w:ascii="宋体" w:eastAsia="宋体" w:hAnsi="宋体" w:cs="宋体"/>
          <w:sz w:val="18"/>
          <w:szCs w:val="18"/>
        </w:rPr>
      </w:pPr>
      <w:bookmarkStart w:id="95" w:name="_Toc988983"/>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334CB7" w:rsidRDefault="002D376B">
      <w:pPr>
        <w:pStyle w:val="3"/>
        <w:spacing w:line="280" w:lineRule="exact"/>
        <w:jc w:val="left"/>
        <w:rPr>
          <w:rFonts w:ascii="宋体" w:hAnsi="宋体" w:cs="宋体"/>
          <w:b/>
          <w:bCs/>
        </w:rPr>
      </w:pPr>
      <w:r>
        <w:rPr>
          <w:rFonts w:ascii="宋体" w:hAnsi="宋体" w:cs="宋体"/>
          <w:b/>
          <w:bCs/>
        </w:rPr>
        <w:lastRenderedPageBreak/>
        <w:t>3、合并利润表</w:t>
      </w:r>
      <w:bookmarkEnd w:id="9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1,333,807,504.83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1,333,807,504.83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1,523,163,072.10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1,290,865,781.51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1,247,952,427.96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3,979,908.54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4,098,152.19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4,188,700.76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1,897,076.49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26,346,388.17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24,004,176.28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4,542,941.96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4,892,838.35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11,677,292.49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8,021,110.24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16,724,463.34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18,706,193.02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3,060,113.68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3,937,658.03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489,971.06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1,639,178.75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66,447,289.68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10,648,315.76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37,145,443.93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-4,810,851.14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-6,155,311.91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6,748,211.48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-3,380,399.27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-883,681.54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-2,974,212.01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-459,850.69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w:t>
            </w:r>
            <w:r>
              <w:rPr>
                <w:rFonts w:ascii="宋体" w:eastAsia="宋体" w:hAnsi="宋体" w:cs="宋体"/>
                <w:sz w:val="18"/>
                <w:szCs w:val="18"/>
              </w:rPr>
              <w:lastRenderedPageBreak/>
              <w:t>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86,005,572.44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60,633,897.08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92,004.30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1,447,161.87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169,131.38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357,802.09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85,928,445.36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61,723,256.86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6,553,725.72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17,346,186.54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44,377,070.32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44,377,070.32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44,377,070.32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11,830,211.27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11,830,211.27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11,830,211.27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11,830,211.27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74,939,525.15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56,207,281.59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74,939,525.15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56,207,281.59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0.05</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334CB7" w:rsidRDefault="002D376B" w:rsidP="003D2E66">
      <w:pPr>
        <w:spacing w:before="100" w:after="100" w:line="240" w:lineRule="exact"/>
        <w:ind w:firstLineChars="100" w:firstLine="180"/>
        <w:rPr>
          <w:rFonts w:ascii="宋体" w:eastAsia="宋体" w:hAnsi="宋体" w:cs="宋体"/>
          <w:sz w:val="18"/>
          <w:szCs w:val="18"/>
        </w:rPr>
      </w:pPr>
      <w:r>
        <w:rPr>
          <w:rFonts w:ascii="宋体" w:eastAsia="宋体" w:hAnsi="宋体" w:cs="宋体"/>
          <w:sz w:val="18"/>
          <w:szCs w:val="18"/>
        </w:rPr>
        <w:t xml:space="preserve">法定代表人：吴协恩  </w:t>
      </w:r>
      <w:r w:rsidR="00A11B3E">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sidR="00A11B3E">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334CB7" w:rsidRDefault="002D376B" w:rsidP="00A11B3E">
      <w:pPr>
        <w:pStyle w:val="3"/>
        <w:spacing w:line="280" w:lineRule="exact"/>
        <w:jc w:val="left"/>
        <w:rPr>
          <w:rFonts w:ascii="宋体" w:hAnsi="宋体" w:cs="宋体"/>
          <w:sz w:val="18"/>
          <w:szCs w:val="18"/>
        </w:rPr>
      </w:pPr>
      <w:bookmarkStart w:id="96" w:name="_Toc988984"/>
      <w:r>
        <w:rPr>
          <w:rFonts w:ascii="宋体" w:hAnsi="宋体" w:cs="宋体"/>
          <w:b/>
          <w:bCs/>
        </w:rPr>
        <w:lastRenderedPageBreak/>
        <w:t>4、母公司利润表</w:t>
      </w:r>
      <w:bookmarkEnd w:id="96"/>
      <w:r w:rsidR="00A11B3E">
        <w:rPr>
          <w:rFonts w:ascii="宋体" w:hAnsi="宋体" w:cs="宋体" w:hint="eastAsia"/>
          <w:b/>
          <w:bCs/>
        </w:rPr>
        <w:t xml:space="preserve">                                                                 </w:t>
      </w: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936"/>
        <w:gridCol w:w="2835"/>
        <w:gridCol w:w="2868"/>
      </w:tblGrid>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jc w:val="center"/>
              <w:rPr>
                <w:rFonts w:ascii="宋体" w:eastAsia="宋体" w:hAnsi="宋体" w:cs="宋体"/>
                <w:sz w:val="18"/>
                <w:szCs w:val="18"/>
              </w:rPr>
            </w:pPr>
            <w:r>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jc w:val="center"/>
              <w:rPr>
                <w:rFonts w:ascii="宋体" w:eastAsia="宋体" w:hAnsi="宋体" w:cs="宋体"/>
                <w:sz w:val="18"/>
                <w:szCs w:val="18"/>
              </w:rPr>
            </w:pPr>
            <w:r>
              <w:rPr>
                <w:rFonts w:ascii="宋体" w:eastAsia="宋体" w:hAnsi="宋体" w:cs="宋体"/>
                <w:sz w:val="18"/>
                <w:szCs w:val="18"/>
              </w:rPr>
              <w:t>2024年半年度</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jc w:val="center"/>
              <w:rPr>
                <w:rFonts w:ascii="宋体" w:eastAsia="宋体" w:hAnsi="宋体" w:cs="宋体"/>
                <w:sz w:val="18"/>
                <w:szCs w:val="18"/>
              </w:rPr>
            </w:pPr>
            <w:r>
              <w:rPr>
                <w:rFonts w:ascii="宋体" w:eastAsia="宋体" w:hAnsi="宋体" w:cs="宋体"/>
                <w:sz w:val="18"/>
                <w:szCs w:val="18"/>
              </w:rPr>
              <w:t>2023年半年度</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rPr>
                <w:rFonts w:ascii="宋体" w:eastAsia="宋体" w:hAnsi="宋体" w:cs="宋体"/>
                <w:sz w:val="18"/>
                <w:szCs w:val="18"/>
              </w:rPr>
            </w:pPr>
            <w:r>
              <w:rPr>
                <w:rFonts w:ascii="宋体" w:eastAsia="宋体" w:hAnsi="宋体" w:cs="宋体"/>
                <w:sz w:val="18"/>
                <w:szCs w:val="18"/>
              </w:rPr>
              <w:t>一、营业收入</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1,460,780,694.70</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1,231,100,994.60</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1,454,822,208.80</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1,226,638,713.95</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2,681,178.11</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3,273,062.13</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销售费用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4,188,700.76</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1,897,076.49</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管理费用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17,550,594.81</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16,503,457.54</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研发费用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1,110,000.00</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1,110,000.00</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财务费用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4,690,693.84</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207,559.08</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9,193,370.01</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10,272,793.33</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2,347,440.01</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3,412,029.53</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145,063.33</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414,753.71</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50,319,566.46</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22,664,409.21</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21,549,723.25</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9,365,075.87</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-6,309,089.15</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6,554,876.74</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-2,731,217.91</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-762,837.47</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-3,070,582.31</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-363,504.46</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rPr>
                <w:rFonts w:ascii="宋体" w:eastAsia="宋体" w:hAnsi="宋体" w:cs="宋体"/>
                <w:sz w:val="18"/>
                <w:szCs w:val="18"/>
              </w:rPr>
            </w:pPr>
            <w:r>
              <w:rPr>
                <w:rFonts w:ascii="宋体" w:eastAsia="宋体" w:hAnsi="宋体" w:cs="宋体"/>
                <w:sz w:val="18"/>
                <w:szCs w:val="18"/>
              </w:rPr>
              <w:t>二、营业利润（亏损以“—”号填列）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14,091,058.80</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9,978,823.14</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61,804.30</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1,412,721.87</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30,645.60</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2,607.38</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rPr>
                <w:rFonts w:ascii="宋体" w:eastAsia="宋体" w:hAnsi="宋体" w:cs="宋体"/>
                <w:sz w:val="18"/>
                <w:szCs w:val="18"/>
              </w:rPr>
            </w:pPr>
            <w:r>
              <w:rPr>
                <w:rFonts w:ascii="宋体" w:eastAsia="宋体" w:hAnsi="宋体" w:cs="宋体"/>
                <w:sz w:val="18"/>
                <w:szCs w:val="18"/>
              </w:rPr>
              <w:t>三、利润总额（亏损总额以“—”号填列）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14,122,217.50</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11,388,937.63</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-1,748,943.68</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1,732,355.61</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rPr>
                <w:rFonts w:ascii="宋体" w:eastAsia="宋体" w:hAnsi="宋体" w:cs="宋体"/>
                <w:sz w:val="18"/>
                <w:szCs w:val="18"/>
              </w:rPr>
            </w:pPr>
            <w:r>
              <w:rPr>
                <w:rFonts w:ascii="宋体" w:eastAsia="宋体" w:hAnsi="宋体" w:cs="宋体"/>
                <w:sz w:val="18"/>
                <w:szCs w:val="18"/>
              </w:rPr>
              <w:t>四、净利润（净亏损以“—”号填列）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15,871,161.18</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9,656,582.02</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15,871,161.18</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9,656,582.02</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rPr>
                <w:rFonts w:ascii="宋体" w:eastAsia="宋体" w:hAnsi="宋体" w:cs="宋体"/>
                <w:sz w:val="18"/>
                <w:szCs w:val="18"/>
              </w:rPr>
            </w:pPr>
            <w:r>
              <w:rPr>
                <w:rFonts w:ascii="宋体" w:eastAsia="宋体" w:hAnsi="宋体" w:cs="宋体"/>
                <w:sz w:val="18"/>
                <w:szCs w:val="18"/>
              </w:rPr>
              <w:t>五、其他综合收益的税后净额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-321,223.52</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12,291,007.26</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5.其他</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-321,223.52</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12,291,007.26</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-321,223.52</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12,291,007.26</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300" w:firstLine="540"/>
              <w:rPr>
                <w:rFonts w:ascii="宋体" w:eastAsia="宋体" w:hAnsi="宋体" w:cs="宋体"/>
                <w:sz w:val="18"/>
                <w:szCs w:val="18"/>
              </w:rPr>
            </w:pPr>
            <w:r>
              <w:rPr>
                <w:rFonts w:ascii="宋体" w:eastAsia="宋体" w:hAnsi="宋体" w:cs="宋体"/>
                <w:sz w:val="18"/>
                <w:szCs w:val="18"/>
              </w:rPr>
              <w:t>7.其他</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334CB7" w:rsidP="00A11B3E">
            <w:pPr>
              <w:adjustRightInd w:val="0"/>
              <w:snapToGrid w:val="0"/>
              <w:jc w:val="right"/>
              <w:rPr>
                <w:rFonts w:ascii="宋体" w:eastAsia="宋体" w:hAnsi="宋体" w:cs="宋体"/>
                <w:sz w:val="18"/>
                <w:szCs w:val="18"/>
              </w:rPr>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rPr>
                <w:rFonts w:ascii="宋体" w:eastAsia="宋体" w:hAnsi="宋体" w:cs="宋体"/>
                <w:sz w:val="18"/>
                <w:szCs w:val="18"/>
              </w:rPr>
            </w:pPr>
            <w:r>
              <w:rPr>
                <w:rFonts w:ascii="宋体" w:eastAsia="宋体" w:hAnsi="宋体" w:cs="宋体"/>
                <w:sz w:val="18"/>
                <w:szCs w:val="18"/>
              </w:rPr>
              <w:t>六、综合收益总额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15,549,937.66</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21,947,589.28</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rPr>
                <w:rFonts w:ascii="宋体" w:eastAsia="宋体" w:hAnsi="宋体" w:cs="宋体"/>
                <w:sz w:val="18"/>
                <w:szCs w:val="18"/>
              </w:rPr>
            </w:pPr>
            <w:r>
              <w:rPr>
                <w:rFonts w:ascii="宋体" w:eastAsia="宋体" w:hAnsi="宋体" w:cs="宋体"/>
                <w:sz w:val="18"/>
                <w:szCs w:val="18"/>
              </w:rPr>
              <w:t>七、每股收益：</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pP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A11B3E">
            <w:pPr>
              <w:adjustRightInd w:val="0"/>
              <w:snapToGrid w:val="0"/>
            </w:pP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0.02</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0.01</w:t>
            </w:r>
          </w:p>
        </w:tc>
      </w:tr>
      <w:tr w:rsidR="00334CB7" w:rsidTr="00A11B3E">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11B3E">
            <w:pPr>
              <w:adjustRightInd w:val="0"/>
              <w:snapToGrid w:val="0"/>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0.02</w:t>
            </w:r>
          </w:p>
        </w:tc>
        <w:tc>
          <w:tcPr>
            <w:tcW w:w="2868" w:type="dxa"/>
            <w:tcBorders>
              <w:top w:val="single" w:sz="2" w:space="0" w:color="auto"/>
              <w:left w:val="single" w:sz="2" w:space="0" w:color="auto"/>
              <w:bottom w:val="single" w:sz="2" w:space="0" w:color="auto"/>
              <w:right w:val="single" w:sz="2" w:space="0" w:color="auto"/>
            </w:tcBorders>
            <w:vAlign w:val="center"/>
          </w:tcPr>
          <w:p w:rsidR="00334CB7" w:rsidRDefault="002D376B" w:rsidP="00A11B3E">
            <w:pPr>
              <w:adjustRightInd w:val="0"/>
              <w:snapToGrid w:val="0"/>
              <w:jc w:val="right"/>
              <w:rPr>
                <w:rFonts w:ascii="宋体" w:eastAsia="宋体" w:hAnsi="宋体" w:cs="宋体"/>
                <w:sz w:val="18"/>
                <w:szCs w:val="18"/>
              </w:rPr>
            </w:pPr>
            <w:r>
              <w:rPr>
                <w:rFonts w:ascii="宋体" w:eastAsia="宋体" w:hAnsi="宋体" w:cs="宋体"/>
                <w:sz w:val="18"/>
                <w:szCs w:val="18"/>
              </w:rPr>
              <w:t>0.01</w:t>
            </w:r>
          </w:p>
        </w:tc>
      </w:tr>
    </w:tbl>
    <w:p w:rsidR="00261426" w:rsidRDefault="00261426" w:rsidP="003D2E66">
      <w:pPr>
        <w:spacing w:before="100" w:after="100" w:line="264" w:lineRule="auto"/>
        <w:ind w:firstLineChars="200" w:firstLine="360"/>
        <w:rPr>
          <w:rFonts w:ascii="宋体" w:eastAsia="宋体" w:hAnsi="宋体" w:cs="宋体"/>
          <w:sz w:val="18"/>
          <w:szCs w:val="18"/>
        </w:rPr>
      </w:pPr>
      <w:bookmarkStart w:id="97" w:name="_Toc988985"/>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334CB7" w:rsidRDefault="002D376B">
      <w:pPr>
        <w:pStyle w:val="3"/>
        <w:spacing w:line="280" w:lineRule="exact"/>
        <w:jc w:val="left"/>
        <w:rPr>
          <w:rFonts w:ascii="宋体" w:hAnsi="宋体" w:cs="宋体"/>
          <w:b/>
          <w:bCs/>
        </w:rPr>
      </w:pPr>
      <w:r>
        <w:rPr>
          <w:rFonts w:ascii="宋体" w:hAnsi="宋体" w:cs="宋体"/>
          <w:b/>
          <w:bCs/>
        </w:rPr>
        <w:lastRenderedPageBreak/>
        <w:t>5、合并现金流量表</w:t>
      </w:r>
      <w:bookmarkEnd w:id="9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jc w:val="center"/>
              <w:rPr>
                <w:rFonts w:ascii="宋体" w:eastAsia="宋体" w:hAnsi="宋体" w:cs="宋体"/>
                <w:sz w:val="18"/>
                <w:szCs w:val="18"/>
              </w:rPr>
            </w:pPr>
            <w:r>
              <w:rPr>
                <w:rFonts w:ascii="宋体" w:eastAsia="宋体" w:hAnsi="宋体" w:cs="宋体"/>
                <w:sz w:val="18"/>
                <w:szCs w:val="18"/>
              </w:rPr>
              <w:t>2024年半年度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jc w:val="center"/>
              <w:rPr>
                <w:rFonts w:ascii="宋体" w:eastAsia="宋体" w:hAnsi="宋体" w:cs="宋体"/>
                <w:sz w:val="18"/>
                <w:szCs w:val="18"/>
              </w:rPr>
            </w:pPr>
            <w:r>
              <w:rPr>
                <w:rFonts w:ascii="宋体" w:eastAsia="宋体" w:hAnsi="宋体" w:cs="宋体"/>
                <w:sz w:val="18"/>
                <w:szCs w:val="18"/>
              </w:rPr>
              <w:t>2023年半年度</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360"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360"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1,679,856,029.23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1,438,950,871.13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25,206,230.38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23,875,082.51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5,359,992.14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84,537,468.21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1,710,422,251.75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1,547,363,421.85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1,586,043,598.85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1,358,849,213.62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68,254,644.25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67,345,226.75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13,543,881.83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44,292,823.31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27,132,020.94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93,297,638.24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1,694,974,145.87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1,563,784,901.92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15,448,105.88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-16,421,480.07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360"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360"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114,003,309.05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100,204,960.91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78,022,098.87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10,856,035.54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125,000.00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18,052.00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lastRenderedPageBreak/>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192,150,407.92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111,079,048.45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59,309,621.61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12,583,645.56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324,669,368.90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85,683,431.04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383,978,990.51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98,267,076.60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-191,828,582.59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12,811,971.85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360"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360"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831,117,355.27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964,720,000.00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831,117,355.27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964,720,000.00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814,468,906.68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792,000,000.00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before="40" w:after="40" w:line="360" w:lineRule="auto"/>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16,839,474.19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19,056,266.73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360"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199,309.84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121,118,352.00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831,507,690.71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932,174,618.73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-390,335.44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32,545,381.27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4,389,900.42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5,080,055.02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-172,380,911.73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34,015,928.07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422,554,550.48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360" w:lineRule="auto"/>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338,250,077.19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360" w:lineRule="auto"/>
              <w:jc w:val="right"/>
              <w:rPr>
                <w:rFonts w:ascii="宋体" w:eastAsia="宋体" w:hAnsi="宋体" w:cs="宋体"/>
                <w:sz w:val="18"/>
                <w:szCs w:val="18"/>
              </w:rPr>
            </w:pPr>
            <w:r>
              <w:rPr>
                <w:rFonts w:ascii="宋体" w:eastAsia="宋体" w:hAnsi="宋体" w:cs="宋体"/>
                <w:sz w:val="18"/>
                <w:szCs w:val="18"/>
              </w:rPr>
              <w:t>456,570,478.55</w:t>
            </w:r>
          </w:p>
        </w:tc>
      </w:tr>
    </w:tbl>
    <w:p w:rsidR="00D31B8E" w:rsidRDefault="00D31B8E" w:rsidP="003D2E66">
      <w:pPr>
        <w:spacing w:before="100" w:after="100" w:line="240" w:lineRule="exact"/>
        <w:ind w:firstLineChars="100" w:firstLine="180"/>
        <w:rPr>
          <w:rFonts w:ascii="宋体" w:eastAsia="宋体" w:hAnsi="宋体" w:cs="宋体"/>
          <w:sz w:val="18"/>
          <w:szCs w:val="18"/>
        </w:rPr>
      </w:pPr>
      <w:bookmarkStart w:id="98" w:name="_Toc988986"/>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sidR="00415D21">
        <w:rPr>
          <w:rFonts w:ascii="宋体" w:eastAsia="宋体" w:hAnsi="宋体" w:cs="宋体" w:hint="eastAsia"/>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w:t>
      </w:r>
      <w:r w:rsidR="00415D21">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Pr>
          <w:rFonts w:ascii="宋体" w:eastAsia="宋体" w:hAnsi="宋体" w:cs="宋体" w:hint="eastAsia"/>
          <w:sz w:val="18"/>
          <w:szCs w:val="18"/>
        </w:rPr>
        <w:t xml:space="preserve">   </w:t>
      </w:r>
      <w:r w:rsidR="00415D21">
        <w:rPr>
          <w:rFonts w:ascii="宋体" w:eastAsia="宋体" w:hAnsi="宋体" w:cs="宋体" w:hint="eastAsia"/>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D31B8E" w:rsidRPr="00E01A3B" w:rsidRDefault="00D31B8E" w:rsidP="00E01A3B">
      <w:pPr>
        <w:spacing w:before="100" w:after="100" w:line="240" w:lineRule="exact"/>
        <w:ind w:firstLineChars="100" w:firstLine="180"/>
        <w:rPr>
          <w:rFonts w:ascii="宋体" w:eastAsia="宋体" w:hAnsi="宋体" w:cs="宋体"/>
          <w:sz w:val="18"/>
          <w:szCs w:val="18"/>
        </w:rPr>
      </w:pPr>
    </w:p>
    <w:p w:rsidR="00D31B8E" w:rsidRDefault="00D31B8E">
      <w:pPr>
        <w:widowControl/>
        <w:rPr>
          <w:rFonts w:ascii="宋体" w:eastAsia="宋体" w:hAnsi="宋体" w:cs="宋体"/>
          <w:b/>
          <w:bCs/>
          <w:szCs w:val="21"/>
        </w:rPr>
      </w:pPr>
      <w:r>
        <w:rPr>
          <w:rFonts w:ascii="宋体" w:hAnsi="宋体" w:cs="宋体"/>
          <w:b/>
          <w:bCs/>
        </w:rPr>
        <w:br w:type="page"/>
      </w:r>
    </w:p>
    <w:p w:rsidR="00334CB7" w:rsidRDefault="002D376B" w:rsidP="003D2E66">
      <w:pPr>
        <w:pStyle w:val="3"/>
        <w:spacing w:line="280" w:lineRule="exact"/>
        <w:jc w:val="left"/>
        <w:rPr>
          <w:rFonts w:ascii="宋体" w:hAnsi="宋体" w:cs="宋体"/>
          <w:sz w:val="18"/>
          <w:szCs w:val="18"/>
        </w:rPr>
      </w:pPr>
      <w:r>
        <w:rPr>
          <w:rFonts w:ascii="宋体" w:hAnsi="宋体" w:cs="宋体"/>
          <w:b/>
          <w:bCs/>
        </w:rPr>
        <w:lastRenderedPageBreak/>
        <w:t>6、母公司现金流量表</w:t>
      </w:r>
      <w:bookmarkEnd w:id="98"/>
      <w:r w:rsidR="003D2E66">
        <w:rPr>
          <w:rFonts w:ascii="宋体" w:hAnsi="宋体" w:cs="宋体" w:hint="eastAsia"/>
          <w:b/>
          <w:bCs/>
        </w:rPr>
        <w:t xml:space="preserve">                                                               </w:t>
      </w: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jc w:val="center"/>
              <w:rPr>
                <w:rFonts w:ascii="宋体" w:eastAsia="宋体" w:hAnsi="宋体" w:cs="宋体"/>
                <w:sz w:val="18"/>
                <w:szCs w:val="18"/>
              </w:rPr>
            </w:pPr>
            <w:r>
              <w:rPr>
                <w:rFonts w:ascii="宋体" w:eastAsia="宋体" w:hAnsi="宋体" w:cs="宋体"/>
                <w:sz w:val="18"/>
                <w:szCs w:val="18"/>
              </w:rPr>
              <w:t>2024年半年度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jc w:val="center"/>
              <w:rPr>
                <w:rFonts w:ascii="宋体" w:eastAsia="宋体" w:hAnsi="宋体" w:cs="宋体"/>
                <w:sz w:val="18"/>
                <w:szCs w:val="18"/>
              </w:rPr>
            </w:pPr>
            <w:r>
              <w:rPr>
                <w:rFonts w:ascii="宋体" w:eastAsia="宋体" w:hAnsi="宋体" w:cs="宋体"/>
                <w:sz w:val="18"/>
                <w:szCs w:val="18"/>
              </w:rPr>
              <w:t>2023年半年度</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88"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88"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1,588,360,172.47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1,338,483,663.79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25,206,230.38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23,875,082.51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1,011,629,158.29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2,029,714,166.69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2,625,195,561.14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3,392,072,912.99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1,541,584,971.49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1,281,428,101.47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45,883,228.46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45,766,149.97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1,613,875.72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21,172,513.42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918,579,772.20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1,904,339,179.39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2,507,661,847.87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3,252,705,944.25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117,533,713.27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139,366,968.74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88"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88"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105,249,494.79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99,188,415.40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76,911,835.67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7,899,888.23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88,000.00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182,249,330.46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107,088,303.63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55,927,124.64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8,737,641.97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306,396,187.15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84,717,364.00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362,323,311.79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93,455,005.97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-180,073,981.33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13,633,297.66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88" w:lineRule="auto"/>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31B8E">
            <w:pPr>
              <w:spacing w:line="288" w:lineRule="auto"/>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628,000,000.00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800,720,000.00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rsidP="00D31B8E">
            <w:pPr>
              <w:spacing w:line="288" w:lineRule="auto"/>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628,000,000.00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800,720,000.00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658,000,000.00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678,000,000.00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9,308,380.86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10,622,867.04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199,309.84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121,118,352.00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667,507,690.70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809,741,219.04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-39,507,690.70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-9,021,219.04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4,389,457.01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5,072,648.64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-97,658,501.75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149,051,696.00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271,479,641.65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218,021,531.64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D31B8E">
            <w:pPr>
              <w:spacing w:line="288" w:lineRule="auto"/>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173,821,139.90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D31B8E">
            <w:pPr>
              <w:spacing w:line="288" w:lineRule="auto"/>
              <w:jc w:val="right"/>
              <w:rPr>
                <w:rFonts w:ascii="宋体" w:eastAsia="宋体" w:hAnsi="宋体" w:cs="宋体"/>
                <w:sz w:val="18"/>
                <w:szCs w:val="18"/>
              </w:rPr>
            </w:pPr>
            <w:r>
              <w:rPr>
                <w:rFonts w:ascii="宋体" w:eastAsia="宋体" w:hAnsi="宋体" w:cs="宋体"/>
                <w:sz w:val="18"/>
                <w:szCs w:val="18"/>
              </w:rPr>
              <w:t>367,073,227.64</w:t>
            </w:r>
          </w:p>
        </w:tc>
      </w:tr>
    </w:tbl>
    <w:p w:rsidR="00261426" w:rsidRDefault="00261426" w:rsidP="003D2E66">
      <w:pPr>
        <w:spacing w:before="100" w:after="100" w:line="264" w:lineRule="auto"/>
        <w:ind w:firstLineChars="100" w:firstLine="180"/>
        <w:rPr>
          <w:rFonts w:ascii="宋体" w:eastAsia="宋体" w:hAnsi="宋体" w:cs="宋体"/>
          <w:sz w:val="18"/>
          <w:szCs w:val="18"/>
        </w:rPr>
      </w:pPr>
      <w:bookmarkStart w:id="99" w:name="_Toc988987"/>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334CB7" w:rsidRDefault="002D376B">
      <w:pPr>
        <w:pStyle w:val="3"/>
        <w:spacing w:line="280" w:lineRule="exact"/>
        <w:jc w:val="left"/>
        <w:rPr>
          <w:rFonts w:ascii="宋体" w:hAnsi="宋体" w:cs="宋体"/>
          <w:b/>
          <w:bCs/>
        </w:rPr>
      </w:pPr>
      <w:r>
        <w:rPr>
          <w:rFonts w:ascii="宋体" w:hAnsi="宋体" w:cs="宋体"/>
          <w:b/>
          <w:bCs/>
        </w:rPr>
        <w:lastRenderedPageBreak/>
        <w:t>7、合并所有者权益变动表</w:t>
      </w:r>
      <w:bookmarkEnd w:id="99"/>
    </w:p>
    <w:p w:rsidR="00334CB7" w:rsidRDefault="002D376B" w:rsidP="00922E9A">
      <w:pPr>
        <w:spacing w:before="100" w:after="100" w:line="240" w:lineRule="exact"/>
        <w:rPr>
          <w:rFonts w:ascii="宋体" w:eastAsia="宋体" w:hAnsi="宋体" w:cs="宋体"/>
          <w:sz w:val="18"/>
          <w:szCs w:val="18"/>
        </w:rPr>
      </w:pPr>
      <w:r>
        <w:rPr>
          <w:rFonts w:ascii="宋体" w:eastAsia="宋体" w:hAnsi="宋体" w:cs="宋体"/>
          <w:sz w:val="18"/>
          <w:szCs w:val="18"/>
        </w:rPr>
        <w:t>本期金额</w:t>
      </w:r>
      <w:r w:rsidR="00922E9A">
        <w:rPr>
          <w:rFonts w:ascii="宋体" w:eastAsia="宋体" w:hAnsi="宋体" w:cs="宋体" w:hint="eastAsia"/>
          <w:sz w:val="18"/>
          <w:szCs w:val="18"/>
        </w:rPr>
        <w:t xml:space="preserve">                                                                               </w:t>
      </w:r>
      <w:r w:rsidR="00947A61">
        <w:rPr>
          <w:rFonts w:ascii="宋体" w:eastAsia="宋体" w:hAnsi="宋体" w:cs="宋体" w:hint="eastAsia"/>
          <w:sz w:val="18"/>
          <w:szCs w:val="18"/>
        </w:rPr>
        <w:t xml:space="preserve">  </w:t>
      </w:r>
      <w:r w:rsidR="00922E9A">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334CB7">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2024年半年度</w:t>
            </w:r>
          </w:p>
        </w:tc>
      </w:tr>
      <w:tr w:rsidR="00334CB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所有者权益合计</w:t>
            </w:r>
          </w:p>
        </w:tc>
      </w:tr>
      <w:tr w:rsidR="00334CB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r>
      <w:tr w:rsidR="00334CB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0F1D4D">
            <w:pPr>
              <w:adjustRightInd w:val="0"/>
              <w:snapToGrid w:val="0"/>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391,049,342.12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12,931,116.72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435,671,944.53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3,390,032,770.69</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5,115,698,061.06</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5,115,698,061.06</w:t>
            </w: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391,049,342.12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12,931,116.72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435,671,944.53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3,390,032,770.69</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5,115,698,061.06</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5,115,698,061.06</w:t>
            </w: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1,961,839.53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-4,435,194.49</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993A41" w:rsidP="000F1D4D">
            <w:pPr>
              <w:adjustRightInd w:val="0"/>
              <w:snapToGrid w:val="0"/>
              <w:jc w:val="right"/>
              <w:rPr>
                <w:rFonts w:ascii="宋体" w:eastAsia="宋体" w:hAnsi="宋体" w:cs="宋体"/>
                <w:sz w:val="18"/>
                <w:szCs w:val="18"/>
              </w:rPr>
            </w:pPr>
            <w:r>
              <w:rPr>
                <w:rFonts w:ascii="宋体" w:eastAsia="宋体" w:hAnsi="宋体" w:cs="宋体" w:hint="eastAsia"/>
                <w:sz w:val="18"/>
                <w:szCs w:val="18"/>
              </w:rPr>
              <w:t>1</w:t>
            </w:r>
            <w:r w:rsidR="000F1D4D">
              <w:rPr>
                <w:rFonts w:ascii="宋体" w:eastAsia="宋体" w:hAnsi="宋体" w:cs="宋体" w:hint="eastAsia"/>
                <w:sz w:val="18"/>
                <w:szCs w:val="18"/>
              </w:rPr>
              <w:t>,</w:t>
            </w:r>
            <w:r>
              <w:rPr>
                <w:rFonts w:ascii="宋体" w:eastAsia="宋体" w:hAnsi="宋体" w:cs="宋体" w:hint="eastAsia"/>
                <w:sz w:val="18"/>
                <w:szCs w:val="18"/>
              </w:rPr>
              <w:t>587</w:t>
            </w:r>
            <w:r w:rsidR="000F1D4D">
              <w:rPr>
                <w:rFonts w:ascii="宋体" w:eastAsia="宋体" w:hAnsi="宋体" w:cs="宋体" w:hint="eastAsia"/>
                <w:sz w:val="18"/>
                <w:szCs w:val="18"/>
              </w:rPr>
              <w:t>,</w:t>
            </w:r>
            <w:r>
              <w:rPr>
                <w:rFonts w:ascii="宋体" w:eastAsia="宋体" w:hAnsi="宋体" w:cs="宋体" w:hint="eastAsia"/>
                <w:sz w:val="18"/>
                <w:szCs w:val="18"/>
              </w:rPr>
              <w:t>116.12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0F1D4D" w:rsidP="000F1D4D">
            <w:pPr>
              <w:adjustRightInd w:val="0"/>
              <w:snapToGrid w:val="0"/>
              <w:jc w:val="right"/>
              <w:rPr>
                <w:rFonts w:ascii="宋体" w:eastAsia="宋体" w:hAnsi="宋体" w:cs="宋体"/>
                <w:sz w:val="18"/>
                <w:szCs w:val="18"/>
              </w:rPr>
            </w:pPr>
            <w:r>
              <w:rPr>
                <w:rFonts w:ascii="宋体" w:eastAsia="宋体" w:hAnsi="宋体" w:cs="宋体"/>
                <w:sz w:val="18"/>
                <w:szCs w:val="18"/>
              </w:rPr>
              <w:t>6</w:t>
            </w:r>
            <w:r>
              <w:rPr>
                <w:rFonts w:ascii="宋体" w:eastAsia="宋体" w:hAnsi="宋体" w:cs="宋体" w:hint="eastAsia"/>
                <w:sz w:val="18"/>
                <w:szCs w:val="18"/>
              </w:rPr>
              <w:t>0</w:t>
            </w:r>
            <w:r w:rsidR="002D376B">
              <w:rPr>
                <w:rFonts w:ascii="宋体" w:eastAsia="宋体" w:hAnsi="宋体" w:cs="宋体"/>
                <w:sz w:val="18"/>
                <w:szCs w:val="18"/>
              </w:rPr>
              <w:t>,</w:t>
            </w:r>
            <w:r>
              <w:rPr>
                <w:rFonts w:ascii="宋体" w:eastAsia="宋体" w:hAnsi="宋体" w:cs="宋体" w:hint="eastAsia"/>
                <w:sz w:val="18"/>
                <w:szCs w:val="18"/>
              </w:rPr>
              <w:t>067</w:t>
            </w:r>
            <w:r w:rsidR="002D376B">
              <w:rPr>
                <w:rFonts w:ascii="宋体" w:eastAsia="宋体" w:hAnsi="宋体" w:cs="宋体"/>
                <w:sz w:val="18"/>
                <w:szCs w:val="18"/>
              </w:rPr>
              <w:t>,</w:t>
            </w:r>
            <w:r>
              <w:rPr>
                <w:rFonts w:ascii="宋体" w:eastAsia="宋体" w:hAnsi="宋体" w:cs="宋体" w:hint="eastAsia"/>
                <w:sz w:val="18"/>
                <w:szCs w:val="18"/>
              </w:rPr>
              <w:t>345</w:t>
            </w:r>
            <w:r w:rsidR="002D376B">
              <w:rPr>
                <w:rFonts w:ascii="宋体" w:eastAsia="宋体" w:hAnsi="宋体" w:cs="宋体"/>
                <w:sz w:val="18"/>
                <w:szCs w:val="18"/>
              </w:rPr>
              <w:t>.</w:t>
            </w:r>
            <w:r>
              <w:rPr>
                <w:rFonts w:ascii="宋体" w:eastAsia="宋体" w:hAnsi="宋体" w:cs="宋体" w:hint="eastAsia"/>
                <w:sz w:val="18"/>
                <w:szCs w:val="18"/>
              </w:rPr>
              <w:t>78</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59,181,106.94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59,181,106.94</w:t>
            </w: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-4,435,194.49</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79,374,719.64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74,939,525.15</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74,939,525.15</w:t>
            </w: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（三）利润</w:t>
            </w:r>
            <w:r>
              <w:rPr>
                <w:rFonts w:ascii="宋体" w:eastAsia="宋体" w:hAnsi="宋体" w:cs="宋体"/>
                <w:sz w:val="18"/>
                <w:szCs w:val="18"/>
              </w:rPr>
              <w:lastRenderedPageBreak/>
              <w:t>分配</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0F1D4D" w:rsidP="000F1D4D">
            <w:pPr>
              <w:adjustRightInd w:val="0"/>
              <w:snapToGrid w:val="0"/>
              <w:jc w:val="right"/>
              <w:rPr>
                <w:rFonts w:ascii="宋体" w:eastAsia="宋体" w:hAnsi="宋体" w:cs="宋体"/>
                <w:sz w:val="18"/>
                <w:szCs w:val="18"/>
              </w:rPr>
            </w:pPr>
            <w:r>
              <w:rPr>
                <w:rFonts w:ascii="宋体" w:eastAsia="宋体" w:hAnsi="宋体" w:cs="宋体" w:hint="eastAsia"/>
                <w:sz w:val="18"/>
                <w:szCs w:val="18"/>
              </w:rPr>
              <w:t>1,5</w:t>
            </w:r>
            <w:r>
              <w:rPr>
                <w:rFonts w:ascii="宋体" w:eastAsia="宋体" w:hAnsi="宋体" w:cs="宋体" w:hint="eastAsia"/>
                <w:sz w:val="18"/>
                <w:szCs w:val="18"/>
              </w:rPr>
              <w:lastRenderedPageBreak/>
              <w:t>87,116.12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w:t>
            </w:r>
            <w:r w:rsidR="000F1D4D">
              <w:rPr>
                <w:rFonts w:ascii="宋体" w:eastAsia="宋体" w:hAnsi="宋体" w:cs="宋体" w:hint="eastAsia"/>
                <w:sz w:val="18"/>
                <w:szCs w:val="18"/>
              </w:rPr>
              <w:t>9</w:t>
            </w:r>
            <w:r>
              <w:rPr>
                <w:rFonts w:ascii="宋体" w:eastAsia="宋体" w:hAnsi="宋体" w:cs="宋体"/>
                <w:sz w:val="18"/>
                <w:szCs w:val="18"/>
              </w:rPr>
              <w:t>,</w:t>
            </w:r>
            <w:r w:rsidR="000F1D4D">
              <w:rPr>
                <w:rFonts w:ascii="宋体" w:eastAsia="宋体" w:hAnsi="宋体" w:cs="宋体" w:hint="eastAsia"/>
                <w:sz w:val="18"/>
                <w:szCs w:val="18"/>
              </w:rPr>
              <w:t>307</w:t>
            </w:r>
            <w:r>
              <w:rPr>
                <w:rFonts w:ascii="宋体" w:eastAsia="宋体" w:hAnsi="宋体" w:cs="宋体"/>
                <w:sz w:val="18"/>
                <w:szCs w:val="18"/>
              </w:rPr>
              <w:t>,</w:t>
            </w:r>
            <w:r w:rsidR="000F1D4D">
              <w:rPr>
                <w:rFonts w:ascii="宋体" w:eastAsia="宋体" w:hAnsi="宋体" w:cs="宋体" w:hint="eastAsia"/>
                <w:sz w:val="18"/>
                <w:szCs w:val="18"/>
              </w:rPr>
              <w:t>373</w:t>
            </w:r>
            <w:r>
              <w:rPr>
                <w:rFonts w:ascii="宋体" w:eastAsia="宋体" w:hAnsi="宋体" w:cs="宋体"/>
                <w:sz w:val="18"/>
                <w:szCs w:val="18"/>
              </w:rPr>
              <w:t>.</w:t>
            </w:r>
            <w:r w:rsidR="000F1D4D">
              <w:rPr>
                <w:rFonts w:ascii="宋体" w:eastAsia="宋体" w:hAnsi="宋体" w:cs="宋体" w:hint="eastAsia"/>
                <w:sz w:val="18"/>
                <w:szCs w:val="18"/>
              </w:rPr>
              <w:t>86</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w:t>
            </w:r>
            <w:r>
              <w:rPr>
                <w:rFonts w:ascii="宋体" w:eastAsia="宋体" w:hAnsi="宋体" w:cs="宋体"/>
                <w:sz w:val="18"/>
                <w:szCs w:val="18"/>
              </w:rPr>
              <w:lastRenderedPageBreak/>
              <w:t>17,720,257.74</w:t>
            </w: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lastRenderedPageBreak/>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0F1D4D" w:rsidP="000F1D4D">
            <w:pPr>
              <w:adjustRightInd w:val="0"/>
              <w:snapToGrid w:val="0"/>
              <w:jc w:val="right"/>
              <w:rPr>
                <w:rFonts w:ascii="宋体" w:eastAsia="宋体" w:hAnsi="宋体" w:cs="宋体"/>
                <w:sz w:val="18"/>
                <w:szCs w:val="18"/>
              </w:rPr>
            </w:pPr>
            <w:r>
              <w:rPr>
                <w:rFonts w:ascii="宋体" w:eastAsia="宋体" w:hAnsi="宋体" w:cs="宋体" w:hint="eastAsia"/>
                <w:sz w:val="18"/>
                <w:szCs w:val="18"/>
              </w:rPr>
              <w:t>1,587,116.12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0F1D4D" w:rsidP="000F1D4D">
            <w:pPr>
              <w:adjustRightInd w:val="0"/>
              <w:snapToGrid w:val="0"/>
              <w:jc w:val="right"/>
              <w:rPr>
                <w:rFonts w:ascii="宋体" w:eastAsia="宋体" w:hAnsi="宋体" w:cs="宋体"/>
                <w:sz w:val="18"/>
                <w:szCs w:val="18"/>
              </w:rPr>
            </w:pPr>
            <w:r>
              <w:rPr>
                <w:rFonts w:ascii="宋体" w:eastAsia="宋体" w:hAnsi="宋体" w:cs="宋体" w:hint="eastAsia"/>
                <w:sz w:val="18"/>
                <w:szCs w:val="18"/>
              </w:rPr>
              <w:t>-1,587,116.12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-17,720,257.74</w:t>
            </w: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1,961,839.53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1,961,839.53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1,961,839.53</w:t>
            </w:r>
          </w:p>
        </w:tc>
      </w:tr>
      <w:tr w:rsidR="00334CB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0F1D4D">
            <w:pPr>
              <w:adjustRightInd w:val="0"/>
              <w:snapToGrid w:val="0"/>
              <w:spacing w:before="40" w:after="40"/>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886,012,887.00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393,011,181.65</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8,495,922.23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43</w:t>
            </w:r>
            <w:r w:rsidR="000F1D4D">
              <w:rPr>
                <w:rFonts w:ascii="宋体" w:eastAsia="宋体" w:hAnsi="宋体" w:cs="宋体" w:hint="eastAsia"/>
                <w:sz w:val="18"/>
                <w:szCs w:val="18"/>
              </w:rPr>
              <w:t>7</w:t>
            </w:r>
            <w:r>
              <w:rPr>
                <w:rFonts w:ascii="宋体" w:eastAsia="宋体" w:hAnsi="宋体" w:cs="宋体"/>
                <w:sz w:val="18"/>
                <w:szCs w:val="18"/>
              </w:rPr>
              <w:t>,</w:t>
            </w:r>
            <w:r w:rsidR="000F1D4D">
              <w:rPr>
                <w:rFonts w:ascii="宋体" w:eastAsia="宋体" w:hAnsi="宋体" w:cs="宋体" w:hint="eastAsia"/>
                <w:sz w:val="18"/>
                <w:szCs w:val="18"/>
              </w:rPr>
              <w:t>259</w:t>
            </w:r>
            <w:r>
              <w:rPr>
                <w:rFonts w:ascii="宋体" w:eastAsia="宋体" w:hAnsi="宋体" w:cs="宋体"/>
                <w:sz w:val="18"/>
                <w:szCs w:val="18"/>
              </w:rPr>
              <w:t>,</w:t>
            </w:r>
            <w:r w:rsidR="000F1D4D">
              <w:rPr>
                <w:rFonts w:ascii="宋体" w:eastAsia="宋体" w:hAnsi="宋体" w:cs="宋体" w:hint="eastAsia"/>
                <w:sz w:val="18"/>
                <w:szCs w:val="18"/>
              </w:rPr>
              <w:t>060</w:t>
            </w:r>
            <w:r>
              <w:rPr>
                <w:rFonts w:ascii="宋体" w:eastAsia="宋体" w:hAnsi="宋体" w:cs="宋体"/>
                <w:sz w:val="18"/>
                <w:szCs w:val="18"/>
              </w:rPr>
              <w:t>.</w:t>
            </w:r>
            <w:r w:rsidR="000F1D4D">
              <w:rPr>
                <w:rFonts w:ascii="宋体" w:eastAsia="宋体" w:hAnsi="宋体" w:cs="宋体" w:hint="eastAsia"/>
                <w:sz w:val="18"/>
                <w:szCs w:val="18"/>
              </w:rPr>
              <w:t>65</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0F1D4D" w:rsidP="000F1D4D">
            <w:pPr>
              <w:adjustRightInd w:val="0"/>
              <w:snapToGrid w:val="0"/>
              <w:jc w:val="right"/>
              <w:rPr>
                <w:rFonts w:ascii="宋体" w:eastAsia="宋体" w:hAnsi="宋体" w:cs="宋体"/>
                <w:sz w:val="18"/>
                <w:szCs w:val="18"/>
              </w:rPr>
            </w:pPr>
            <w:r>
              <w:rPr>
                <w:rFonts w:ascii="宋体" w:eastAsia="宋体" w:hAnsi="宋体" w:cs="宋体"/>
                <w:sz w:val="18"/>
                <w:szCs w:val="18"/>
              </w:rPr>
              <w:t>3,45</w:t>
            </w:r>
            <w:r>
              <w:rPr>
                <w:rFonts w:ascii="宋体" w:eastAsia="宋体" w:hAnsi="宋体" w:cs="宋体" w:hint="eastAsia"/>
                <w:sz w:val="18"/>
                <w:szCs w:val="18"/>
              </w:rPr>
              <w:t>0</w:t>
            </w:r>
            <w:r w:rsidR="002D376B">
              <w:rPr>
                <w:rFonts w:ascii="宋体" w:eastAsia="宋体" w:hAnsi="宋体" w:cs="宋体"/>
                <w:sz w:val="18"/>
                <w:szCs w:val="18"/>
              </w:rPr>
              <w:t>,</w:t>
            </w:r>
            <w:r>
              <w:rPr>
                <w:rFonts w:ascii="宋体" w:eastAsia="宋体" w:hAnsi="宋体" w:cs="宋体" w:hint="eastAsia"/>
                <w:sz w:val="18"/>
                <w:szCs w:val="18"/>
              </w:rPr>
              <w:t>100</w:t>
            </w:r>
            <w:r w:rsidR="002D376B">
              <w:rPr>
                <w:rFonts w:ascii="宋体" w:eastAsia="宋体" w:hAnsi="宋体" w:cs="宋体"/>
                <w:sz w:val="18"/>
                <w:szCs w:val="18"/>
              </w:rPr>
              <w:t>,</w:t>
            </w:r>
            <w:r>
              <w:rPr>
                <w:rFonts w:ascii="宋体" w:eastAsia="宋体" w:hAnsi="宋体" w:cs="宋体" w:hint="eastAsia"/>
                <w:sz w:val="18"/>
                <w:szCs w:val="18"/>
              </w:rPr>
              <w:t>116</w:t>
            </w:r>
            <w:r w:rsidR="002D376B">
              <w:rPr>
                <w:rFonts w:ascii="宋体" w:eastAsia="宋体" w:hAnsi="宋体" w:cs="宋体"/>
                <w:sz w:val="18"/>
                <w:szCs w:val="18"/>
              </w:rPr>
              <w:t>.</w:t>
            </w:r>
            <w:r>
              <w:rPr>
                <w:rFonts w:ascii="宋体" w:eastAsia="宋体" w:hAnsi="宋体" w:cs="宋体" w:hint="eastAsia"/>
                <w:sz w:val="18"/>
                <w:szCs w:val="18"/>
              </w:rPr>
              <w:t>47</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5,174,879,168.00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rsidP="000F1D4D">
            <w:pPr>
              <w:adjustRightInd w:val="0"/>
              <w:snapToGrid w:val="0"/>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rsidP="000F1D4D">
            <w:pPr>
              <w:adjustRightInd w:val="0"/>
              <w:snapToGrid w:val="0"/>
              <w:jc w:val="right"/>
              <w:rPr>
                <w:rFonts w:ascii="宋体" w:eastAsia="宋体" w:hAnsi="宋体" w:cs="宋体"/>
                <w:sz w:val="18"/>
                <w:szCs w:val="18"/>
              </w:rPr>
            </w:pPr>
            <w:r>
              <w:rPr>
                <w:rFonts w:ascii="宋体" w:eastAsia="宋体" w:hAnsi="宋体" w:cs="宋体"/>
                <w:sz w:val="18"/>
                <w:szCs w:val="18"/>
              </w:rPr>
              <w:t>5,174,879,168.00</w:t>
            </w:r>
          </w:p>
        </w:tc>
      </w:tr>
    </w:tbl>
    <w:p w:rsidR="00334CB7" w:rsidRDefault="00E66307" w:rsidP="00EF646F">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上期</w:t>
      </w:r>
      <w:r w:rsidR="002D376B">
        <w:rPr>
          <w:rFonts w:ascii="宋体" w:eastAsia="宋体" w:hAnsi="宋体" w:cs="宋体"/>
          <w:sz w:val="18"/>
          <w:szCs w:val="18"/>
        </w:rPr>
        <w:t>金额</w:t>
      </w:r>
      <w:r w:rsidR="00EF646F">
        <w:rPr>
          <w:rFonts w:ascii="宋体" w:eastAsia="宋体" w:hAnsi="宋体" w:cs="宋体" w:hint="eastAsia"/>
          <w:sz w:val="18"/>
          <w:szCs w:val="18"/>
        </w:rPr>
        <w:t xml:space="preserve">                                                                                        </w:t>
      </w:r>
      <w:r w:rsidR="002D376B">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334CB7" w:rsidTr="003D2E66">
        <w:trPr>
          <w:trHeight w:val="240"/>
        </w:trPr>
        <w:tc>
          <w:tcPr>
            <w:tcW w:w="11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41"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334CB7" w:rsidTr="003D2E66">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315"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334CB7" w:rsidTr="003D2E66">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rsidTr="003D2E66">
        <w:trPr>
          <w:trHeight w:val="240"/>
        </w:trPr>
        <w:tc>
          <w:tcPr>
            <w:tcW w:w="11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2"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383,816,343.06</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3,345,694,133.12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5,054,158,944.54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5,054,158,944.54</w:t>
            </w: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383,816,343.06</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3,345,694,133.12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5,054,158,944.54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5,054,158,944.54</w:t>
            </w: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26,656,812.58</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37,430,476.08</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37,430,476.08</w:t>
            </w: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11,830,211.27</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56,207,281.59</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56,207,281.59</w:t>
            </w: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w:t>
            </w:r>
            <w:r>
              <w:rPr>
                <w:rFonts w:ascii="宋体" w:eastAsia="宋体" w:hAnsi="宋体" w:cs="宋体"/>
                <w:sz w:val="18"/>
                <w:szCs w:val="18"/>
              </w:rPr>
              <w:lastRenderedPageBreak/>
              <w:t>720,257.74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w:t>
            </w:r>
            <w:r>
              <w:rPr>
                <w:rFonts w:ascii="宋体" w:eastAsia="宋体" w:hAnsi="宋体" w:cs="宋体"/>
                <w:sz w:val="18"/>
                <w:szCs w:val="18"/>
              </w:rPr>
              <w:lastRenderedPageBreak/>
              <w:t>720,257.74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w:t>
            </w:r>
            <w:r>
              <w:rPr>
                <w:rFonts w:ascii="宋体" w:eastAsia="宋体" w:hAnsi="宋体" w:cs="宋体"/>
                <w:sz w:val="18"/>
                <w:szCs w:val="18"/>
              </w:rPr>
              <w:lastRenderedPageBreak/>
              <w:t>720,257.74</w:t>
            </w: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1．提取盈余公积</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-1,056,547.77</w:t>
            </w:r>
          </w:p>
        </w:tc>
      </w:tr>
      <w:tr w:rsidR="00334CB7" w:rsidTr="003D2E66">
        <w:trPr>
          <w:trHeight w:val="240"/>
        </w:trPr>
        <w:tc>
          <w:tcPr>
            <w:tcW w:w="119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2"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382,759,795.29</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25,128,086.20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3,372,350,945.70</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5,091,589,420.62</w:t>
            </w: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5,091,589,420.62</w:t>
            </w:r>
          </w:p>
        </w:tc>
      </w:tr>
    </w:tbl>
    <w:p w:rsidR="003D2E66" w:rsidRDefault="003D2E66" w:rsidP="003D2E66">
      <w:pPr>
        <w:spacing w:before="100" w:after="100" w:line="264" w:lineRule="auto"/>
        <w:ind w:firstLineChars="100" w:firstLine="180"/>
        <w:rPr>
          <w:rFonts w:ascii="宋体" w:eastAsia="宋体" w:hAnsi="宋体" w:cs="宋体"/>
          <w:sz w:val="18"/>
          <w:szCs w:val="18"/>
        </w:rPr>
      </w:pPr>
      <w:bookmarkStart w:id="100" w:name="_Toc988988"/>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334CB7" w:rsidRDefault="002D376B">
      <w:pPr>
        <w:pStyle w:val="3"/>
        <w:spacing w:line="280" w:lineRule="exact"/>
        <w:jc w:val="left"/>
        <w:rPr>
          <w:rFonts w:ascii="宋体" w:hAnsi="宋体" w:cs="宋体"/>
          <w:b/>
          <w:bCs/>
        </w:rPr>
      </w:pPr>
      <w:r>
        <w:rPr>
          <w:rFonts w:ascii="宋体" w:hAnsi="宋体" w:cs="宋体"/>
          <w:b/>
          <w:bCs/>
        </w:rPr>
        <w:lastRenderedPageBreak/>
        <w:t>8、母公司所有者权益变动表</w:t>
      </w:r>
      <w:bookmarkEnd w:id="100"/>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334CB7">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r>
      <w:tr w:rsidR="00334CB7" w:rsidTr="005E002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334CB7" w:rsidTr="005E0024">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7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-3,288,583.47</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466,346,065.38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3,050,391,203.02</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4,929,124,499.67</w:t>
            </w: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-3,288,583.47</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466,346,065.38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3,050,391,203.02</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4,929,124,499.67</w:t>
            </w: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5E0024">
            <w:pPr>
              <w:spacing w:line="240" w:lineRule="exact"/>
              <w:jc w:val="right"/>
              <w:rPr>
                <w:rFonts w:ascii="宋体" w:eastAsia="宋体" w:hAnsi="宋体" w:cs="宋体"/>
                <w:sz w:val="18"/>
                <w:szCs w:val="18"/>
              </w:rPr>
            </w:pPr>
            <w:r>
              <w:rPr>
                <w:rFonts w:ascii="宋体" w:eastAsia="宋体" w:hAnsi="宋体" w:cs="宋体" w:hint="eastAsia"/>
                <w:sz w:val="18"/>
                <w:szCs w:val="18"/>
              </w:rPr>
              <w:t>1,587,116.12</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rsidP="005E0024">
            <w:pPr>
              <w:spacing w:line="240" w:lineRule="exact"/>
              <w:jc w:val="right"/>
              <w:rPr>
                <w:rFonts w:ascii="宋体" w:eastAsia="宋体" w:hAnsi="宋体" w:cs="宋体"/>
                <w:sz w:val="18"/>
                <w:szCs w:val="18"/>
              </w:rPr>
            </w:pPr>
            <w:r>
              <w:rPr>
                <w:rFonts w:ascii="宋体" w:eastAsia="宋体" w:hAnsi="宋体" w:cs="宋体"/>
                <w:sz w:val="18"/>
                <w:szCs w:val="18"/>
              </w:rPr>
              <w:t>-</w:t>
            </w:r>
            <w:r w:rsidR="005E0024">
              <w:rPr>
                <w:rFonts w:ascii="宋体" w:eastAsia="宋体" w:hAnsi="宋体" w:cs="宋体" w:hint="eastAsia"/>
                <w:sz w:val="18"/>
                <w:szCs w:val="18"/>
              </w:rPr>
              <w:t>3,436,212.68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-2,170,320.08</w:t>
            </w: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15,871,161.18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15,549,937.66</w:t>
            </w: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7B6D3C">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D52DD6">
            <w:pPr>
              <w:spacing w:line="240" w:lineRule="exact"/>
              <w:jc w:val="right"/>
              <w:rPr>
                <w:rFonts w:ascii="宋体" w:eastAsia="宋体" w:hAnsi="宋体" w:cs="宋体"/>
                <w:sz w:val="18"/>
                <w:szCs w:val="18"/>
              </w:rPr>
            </w:pPr>
            <w:r>
              <w:rPr>
                <w:rFonts w:ascii="宋体" w:eastAsia="宋体" w:hAnsi="宋体" w:cs="宋体" w:hint="eastAsia"/>
                <w:sz w:val="18"/>
                <w:szCs w:val="18"/>
              </w:rPr>
              <w:t>1,587,116.12</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5E0024">
            <w:pPr>
              <w:spacing w:line="240" w:lineRule="exact"/>
              <w:jc w:val="right"/>
              <w:rPr>
                <w:rFonts w:ascii="宋体" w:eastAsia="宋体" w:hAnsi="宋体" w:cs="宋体"/>
                <w:sz w:val="18"/>
                <w:szCs w:val="18"/>
              </w:rPr>
            </w:pPr>
            <w:r>
              <w:rPr>
                <w:rFonts w:ascii="宋体" w:eastAsia="宋体" w:hAnsi="宋体" w:cs="宋体"/>
                <w:sz w:val="18"/>
                <w:szCs w:val="18"/>
              </w:rPr>
              <w:t>-1</w:t>
            </w:r>
            <w:r>
              <w:rPr>
                <w:rFonts w:ascii="宋体" w:eastAsia="宋体" w:hAnsi="宋体" w:cs="宋体" w:hint="eastAsia"/>
                <w:sz w:val="18"/>
                <w:szCs w:val="18"/>
              </w:rPr>
              <w:t>9</w:t>
            </w:r>
            <w:r>
              <w:rPr>
                <w:rFonts w:ascii="宋体" w:eastAsia="宋体" w:hAnsi="宋体" w:cs="宋体"/>
                <w:sz w:val="18"/>
                <w:szCs w:val="18"/>
              </w:rPr>
              <w:t>,</w:t>
            </w:r>
            <w:r>
              <w:rPr>
                <w:rFonts w:ascii="宋体" w:eastAsia="宋体" w:hAnsi="宋体" w:cs="宋体" w:hint="eastAsia"/>
                <w:sz w:val="18"/>
                <w:szCs w:val="18"/>
              </w:rPr>
              <w:t>307</w:t>
            </w:r>
            <w:r>
              <w:rPr>
                <w:rFonts w:ascii="宋体" w:eastAsia="宋体" w:hAnsi="宋体" w:cs="宋体"/>
                <w:sz w:val="18"/>
                <w:szCs w:val="18"/>
              </w:rPr>
              <w:t>,</w:t>
            </w:r>
            <w:r>
              <w:rPr>
                <w:rFonts w:ascii="宋体" w:eastAsia="宋体" w:hAnsi="宋体" w:cs="宋体" w:hint="eastAsia"/>
                <w:sz w:val="18"/>
                <w:szCs w:val="18"/>
              </w:rPr>
              <w:t>373</w:t>
            </w:r>
            <w:r>
              <w:rPr>
                <w:rFonts w:ascii="宋体" w:eastAsia="宋体" w:hAnsi="宋体" w:cs="宋体"/>
                <w:sz w:val="18"/>
                <w:szCs w:val="18"/>
              </w:rPr>
              <w:t>.</w:t>
            </w:r>
            <w:r>
              <w:rPr>
                <w:rFonts w:ascii="宋体" w:eastAsia="宋体" w:hAnsi="宋体" w:cs="宋体" w:hint="eastAsia"/>
                <w:sz w:val="18"/>
                <w:szCs w:val="18"/>
              </w:rPr>
              <w:t>86</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7B6D3C">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D52DD6">
            <w:pPr>
              <w:spacing w:line="240" w:lineRule="exact"/>
              <w:jc w:val="right"/>
              <w:rPr>
                <w:rFonts w:ascii="宋体" w:eastAsia="宋体" w:hAnsi="宋体" w:cs="宋体"/>
                <w:sz w:val="18"/>
                <w:szCs w:val="18"/>
              </w:rPr>
            </w:pPr>
            <w:r>
              <w:rPr>
                <w:rFonts w:ascii="宋体" w:eastAsia="宋体" w:hAnsi="宋体" w:cs="宋体" w:hint="eastAsia"/>
                <w:sz w:val="18"/>
                <w:szCs w:val="18"/>
              </w:rPr>
              <w:t>1,587,116.12</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7B6D3C">
            <w:pPr>
              <w:spacing w:line="240" w:lineRule="exact"/>
              <w:jc w:val="right"/>
              <w:rPr>
                <w:rFonts w:ascii="宋体" w:eastAsia="宋体" w:hAnsi="宋体" w:cs="宋体"/>
                <w:sz w:val="18"/>
                <w:szCs w:val="18"/>
              </w:rPr>
            </w:pPr>
            <w:r>
              <w:rPr>
                <w:rFonts w:ascii="宋体" w:eastAsia="宋体" w:hAnsi="宋体" w:cs="宋体" w:hint="eastAsia"/>
                <w:sz w:val="18"/>
                <w:szCs w:val="18"/>
              </w:rPr>
              <w:t>-1,587,116.</w:t>
            </w:r>
            <w:r>
              <w:rPr>
                <w:rFonts w:ascii="宋体" w:eastAsia="宋体" w:hAnsi="宋体" w:cs="宋体" w:hint="eastAsia"/>
                <w:sz w:val="18"/>
                <w:szCs w:val="18"/>
              </w:rPr>
              <w:lastRenderedPageBreak/>
              <w:t>12</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r>
      <w:tr w:rsidR="005E0024" w:rsidTr="005E0024">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5E0024" w:rsidRDefault="005E0024">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r>
              <w:rPr>
                <w:rFonts w:ascii="宋体" w:eastAsia="宋体" w:hAnsi="宋体" w:cs="宋体"/>
                <w:sz w:val="18"/>
                <w:szCs w:val="18"/>
              </w:rPr>
              <w:t>-3,609,806.99</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5E0024">
            <w:pPr>
              <w:spacing w:line="240" w:lineRule="exact"/>
              <w:jc w:val="right"/>
              <w:rPr>
                <w:rFonts w:ascii="宋体" w:eastAsia="宋体" w:hAnsi="宋体" w:cs="宋体"/>
                <w:sz w:val="18"/>
                <w:szCs w:val="18"/>
              </w:rPr>
            </w:pPr>
            <w:r>
              <w:rPr>
                <w:rFonts w:ascii="宋体" w:eastAsia="宋体" w:hAnsi="宋体" w:cs="宋体"/>
                <w:sz w:val="18"/>
                <w:szCs w:val="18"/>
              </w:rPr>
              <w:t>46</w:t>
            </w:r>
            <w:r>
              <w:rPr>
                <w:rFonts w:ascii="宋体" w:eastAsia="宋体" w:hAnsi="宋体" w:cs="宋体" w:hint="eastAsia"/>
                <w:sz w:val="18"/>
                <w:szCs w:val="18"/>
              </w:rPr>
              <w:t>7</w:t>
            </w:r>
            <w:r>
              <w:rPr>
                <w:rFonts w:ascii="宋体" w:eastAsia="宋体" w:hAnsi="宋体" w:cs="宋体"/>
                <w:sz w:val="18"/>
                <w:szCs w:val="18"/>
              </w:rPr>
              <w:t>,</w:t>
            </w:r>
            <w:r>
              <w:rPr>
                <w:rFonts w:ascii="宋体" w:eastAsia="宋体" w:hAnsi="宋体" w:cs="宋体" w:hint="eastAsia"/>
                <w:sz w:val="18"/>
                <w:szCs w:val="18"/>
              </w:rPr>
              <w:t>933</w:t>
            </w:r>
            <w:r>
              <w:rPr>
                <w:rFonts w:ascii="宋体" w:eastAsia="宋体" w:hAnsi="宋体" w:cs="宋体"/>
                <w:sz w:val="18"/>
                <w:szCs w:val="18"/>
              </w:rPr>
              <w:t>,</w:t>
            </w:r>
            <w:r>
              <w:rPr>
                <w:rFonts w:ascii="宋体" w:eastAsia="宋体" w:hAnsi="宋体" w:cs="宋体" w:hint="eastAsia"/>
                <w:sz w:val="18"/>
                <w:szCs w:val="18"/>
              </w:rPr>
              <w:t>181</w:t>
            </w:r>
            <w:r>
              <w:rPr>
                <w:rFonts w:ascii="宋体" w:eastAsia="宋体" w:hAnsi="宋体" w:cs="宋体"/>
                <w:sz w:val="18"/>
                <w:szCs w:val="18"/>
              </w:rPr>
              <w:t>.</w:t>
            </w:r>
            <w:r>
              <w:rPr>
                <w:rFonts w:ascii="宋体" w:eastAsia="宋体" w:hAnsi="宋体" w:cs="宋体" w:hint="eastAsia"/>
                <w:sz w:val="18"/>
                <w:szCs w:val="18"/>
              </w:rPr>
              <w:t>50</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rsidP="005E0024">
            <w:pPr>
              <w:spacing w:line="240" w:lineRule="exact"/>
              <w:jc w:val="right"/>
              <w:rPr>
                <w:rFonts w:ascii="宋体" w:eastAsia="宋体" w:hAnsi="宋体" w:cs="宋体"/>
                <w:sz w:val="18"/>
                <w:szCs w:val="18"/>
              </w:rPr>
            </w:pPr>
            <w:r>
              <w:rPr>
                <w:rFonts w:ascii="宋体" w:eastAsia="宋体" w:hAnsi="宋体" w:cs="宋体"/>
                <w:sz w:val="18"/>
                <w:szCs w:val="18"/>
              </w:rPr>
              <w:t>3,04</w:t>
            </w:r>
            <w:r>
              <w:rPr>
                <w:rFonts w:ascii="宋体" w:eastAsia="宋体" w:hAnsi="宋体" w:cs="宋体" w:hint="eastAsia"/>
                <w:sz w:val="18"/>
                <w:szCs w:val="18"/>
              </w:rPr>
              <w:t>6</w:t>
            </w:r>
            <w:r>
              <w:rPr>
                <w:rFonts w:ascii="宋体" w:eastAsia="宋体" w:hAnsi="宋体" w:cs="宋体"/>
                <w:sz w:val="18"/>
                <w:szCs w:val="18"/>
              </w:rPr>
              <w:t>,</w:t>
            </w:r>
            <w:r>
              <w:rPr>
                <w:rFonts w:ascii="宋体" w:eastAsia="宋体" w:hAnsi="宋体" w:cs="宋体" w:hint="eastAsia"/>
                <w:sz w:val="18"/>
                <w:szCs w:val="18"/>
              </w:rPr>
              <w:t>954</w:t>
            </w:r>
            <w:r>
              <w:rPr>
                <w:rFonts w:ascii="宋体" w:eastAsia="宋体" w:hAnsi="宋体" w:cs="宋体"/>
                <w:sz w:val="18"/>
                <w:szCs w:val="18"/>
              </w:rPr>
              <w:t>,</w:t>
            </w:r>
            <w:r>
              <w:rPr>
                <w:rFonts w:ascii="宋体" w:eastAsia="宋体" w:hAnsi="宋体" w:cs="宋体" w:hint="eastAsia"/>
                <w:sz w:val="18"/>
                <w:szCs w:val="18"/>
              </w:rPr>
              <w:t>990</w:t>
            </w:r>
            <w:r>
              <w:rPr>
                <w:rFonts w:ascii="宋体" w:eastAsia="宋体" w:hAnsi="宋体" w:cs="宋体"/>
                <w:sz w:val="18"/>
                <w:szCs w:val="18"/>
              </w:rPr>
              <w:t>.</w:t>
            </w:r>
            <w:r>
              <w:rPr>
                <w:rFonts w:ascii="宋体" w:eastAsia="宋体" w:hAnsi="宋体" w:cs="宋体" w:hint="eastAsia"/>
                <w:sz w:val="18"/>
                <w:szCs w:val="18"/>
              </w:rPr>
              <w:t>34</w:t>
            </w:r>
          </w:p>
        </w:tc>
        <w:tc>
          <w:tcPr>
            <w:tcW w:w="703"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5E0024" w:rsidRDefault="005E0024">
            <w:pPr>
              <w:spacing w:line="240" w:lineRule="exact"/>
              <w:jc w:val="right"/>
              <w:rPr>
                <w:rFonts w:ascii="宋体" w:eastAsia="宋体" w:hAnsi="宋体" w:cs="宋体"/>
                <w:sz w:val="18"/>
                <w:szCs w:val="18"/>
              </w:rPr>
            </w:pPr>
            <w:r>
              <w:rPr>
                <w:rFonts w:ascii="宋体" w:eastAsia="宋体" w:hAnsi="宋体" w:cs="宋体"/>
                <w:sz w:val="18"/>
                <w:szCs w:val="18"/>
              </w:rPr>
              <w:t>4,926,954,179.59</w:t>
            </w:r>
          </w:p>
        </w:tc>
      </w:tr>
    </w:tbl>
    <w:p w:rsidR="00334CB7" w:rsidRDefault="00E66307">
      <w:pPr>
        <w:spacing w:before="100" w:after="100" w:line="240" w:lineRule="exact"/>
        <w:rPr>
          <w:rFonts w:ascii="宋体" w:eastAsia="宋体" w:hAnsi="宋体" w:cs="宋体"/>
          <w:sz w:val="18"/>
          <w:szCs w:val="18"/>
        </w:rPr>
      </w:pPr>
      <w:r>
        <w:rPr>
          <w:rFonts w:ascii="宋体" w:eastAsia="宋体" w:hAnsi="宋体" w:cs="宋体"/>
          <w:sz w:val="18"/>
          <w:szCs w:val="18"/>
        </w:rPr>
        <w:t>上期</w:t>
      </w:r>
      <w:r w:rsidR="002D376B">
        <w:rPr>
          <w:rFonts w:ascii="宋体" w:eastAsia="宋体" w:hAnsi="宋体" w:cs="宋体"/>
          <w:sz w:val="18"/>
          <w:szCs w:val="18"/>
        </w:rPr>
        <w:t>金额</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334CB7">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334CB7" w:rsidTr="003D2E66">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334CB7" w:rsidTr="003D2E66">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0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7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w:t>
            </w:r>
            <w:r>
              <w:rPr>
                <w:rFonts w:ascii="宋体" w:eastAsia="宋体" w:hAnsi="宋体" w:cs="宋体"/>
                <w:sz w:val="18"/>
                <w:szCs w:val="18"/>
              </w:rPr>
              <w:lastRenderedPageBreak/>
              <w:t>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其他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-8,063,675.72</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3,170,783.77</w:t>
            </w: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12,291,007.26</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9,656,582.02</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21,947,589.28</w:t>
            </w: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w:t>
            </w:r>
            <w:r>
              <w:rPr>
                <w:rFonts w:ascii="宋体" w:eastAsia="宋体" w:hAnsi="宋体" w:cs="宋体"/>
                <w:sz w:val="18"/>
                <w:szCs w:val="18"/>
              </w:rPr>
              <w:lastRenderedPageBreak/>
              <w:t>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-1,056,547.77</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-1,056,547.77</w:t>
            </w:r>
          </w:p>
        </w:tc>
      </w:tr>
      <w:tr w:rsidR="00334CB7" w:rsidTr="003D2E66">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528,607,655.43</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-5,275,059.65</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2,967,039,642.18</w:t>
            </w:r>
          </w:p>
        </w:tc>
        <w:tc>
          <w:tcPr>
            <w:tcW w:w="7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4,832,396,952.24</w:t>
            </w:r>
          </w:p>
        </w:tc>
      </w:tr>
    </w:tbl>
    <w:p w:rsidR="003D2E66" w:rsidRDefault="003D2E66" w:rsidP="003D2E66">
      <w:pPr>
        <w:spacing w:before="100" w:after="100" w:line="264" w:lineRule="auto"/>
        <w:ind w:firstLineChars="200" w:firstLine="360"/>
        <w:rPr>
          <w:rFonts w:ascii="宋体" w:eastAsia="宋体" w:hAnsi="宋体" w:cs="宋体"/>
          <w:sz w:val="18"/>
          <w:szCs w:val="18"/>
        </w:rPr>
      </w:pPr>
      <w:bookmarkStart w:id="101" w:name="_Toc988989"/>
      <w:r>
        <w:rPr>
          <w:rFonts w:ascii="宋体" w:eastAsia="宋体" w:hAnsi="宋体" w:cs="宋体"/>
          <w:sz w:val="18"/>
          <w:szCs w:val="18"/>
        </w:rPr>
        <w:t xml:space="preserve">法定代表人：吴协恩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334CB7" w:rsidRDefault="002D376B">
      <w:pPr>
        <w:pStyle w:val="2"/>
        <w:spacing w:before="300" w:after="300" w:line="320" w:lineRule="exact"/>
        <w:rPr>
          <w:rFonts w:ascii="宋体" w:eastAsia="宋体" w:hAnsi="宋体" w:cs="宋体"/>
          <w:b/>
          <w:bCs/>
          <w:sz w:val="24"/>
          <w:szCs w:val="24"/>
        </w:rPr>
      </w:pPr>
      <w:r>
        <w:rPr>
          <w:rFonts w:ascii="宋体" w:eastAsia="宋体" w:hAnsi="宋体" w:cs="宋体"/>
          <w:b/>
          <w:bCs/>
          <w:sz w:val="24"/>
          <w:szCs w:val="24"/>
        </w:rPr>
        <w:t>三、公司基本情况</w:t>
      </w:r>
      <w:bookmarkEnd w:id="101"/>
    </w:p>
    <w:p w:rsidR="00C1183B" w:rsidRDefault="002D376B">
      <w:pPr>
        <w:pStyle w:val="a3"/>
        <w:spacing w:before="0" w:beforeAutospacing="0" w:after="0" w:afterAutospacing="0" w:line="400" w:lineRule="atLeast"/>
        <w:ind w:firstLine="361"/>
        <w:jc w:val="both"/>
        <w:divId w:val="1596282272"/>
        <w:rPr>
          <w:rFonts w:ascii="Times New Roman" w:hAnsi="Times New Roman" w:cs="Times New Roman"/>
        </w:rPr>
      </w:pPr>
      <w:r>
        <w:rPr>
          <w:rStyle w:val="a4"/>
          <w:rFonts w:cs="Times New Roman" w:hint="eastAsia"/>
          <w:sz w:val="18"/>
          <w:szCs w:val="18"/>
        </w:rPr>
        <w:t>1、公司注册地、组织形式和总部地址</w:t>
      </w:r>
    </w:p>
    <w:p w:rsidR="00C1183B" w:rsidRDefault="002D376B">
      <w:pPr>
        <w:pStyle w:val="a3"/>
        <w:spacing w:before="0" w:beforeAutospacing="0" w:after="0" w:afterAutospacing="0" w:line="400" w:lineRule="atLeast"/>
        <w:ind w:firstLine="360"/>
        <w:jc w:val="both"/>
        <w:divId w:val="1596282272"/>
        <w:rPr>
          <w:rFonts w:ascii="Times New Roman" w:hAnsi="Times New Roman" w:cs="Times New Roman"/>
          <w:sz w:val="21"/>
          <w:szCs w:val="21"/>
        </w:rPr>
      </w:pPr>
      <w:r>
        <w:rPr>
          <w:rFonts w:cs="Times New Roman" w:hint="eastAsia"/>
          <w:sz w:val="18"/>
          <w:szCs w:val="18"/>
        </w:rPr>
        <w:t>江苏华西村股份有限公司（以下简称“公司”）是经江苏省人民政府苏政复（1999）</w:t>
      </w:r>
      <w:r w:rsidR="00711982">
        <w:rPr>
          <w:rFonts w:cs="Times New Roman" w:hint="eastAsia"/>
          <w:sz w:val="18"/>
          <w:szCs w:val="18"/>
        </w:rPr>
        <w:t>4</w:t>
      </w:r>
      <w:r>
        <w:rPr>
          <w:rFonts w:cs="Times New Roman" w:hint="eastAsia"/>
          <w:sz w:val="18"/>
          <w:szCs w:val="18"/>
        </w:rPr>
        <w:t>号文批准，由江阴市华西实业有限公司变更设立的股份有限公司。1999年7月13日，经中国证券监督管理委员会证监发行字[1999]81号文批准，公司向社会公开发行人民币普通股3,500万股，发行后注册资本为14,000.00万元人民币。1999年8月10日，公司社会公众股在深圳证券交易所挂牌交易。</w:t>
      </w:r>
    </w:p>
    <w:p w:rsidR="00C1183B" w:rsidRDefault="002D376B">
      <w:pPr>
        <w:pStyle w:val="a3"/>
        <w:spacing w:before="0" w:beforeAutospacing="0" w:after="0" w:afterAutospacing="0" w:line="400" w:lineRule="atLeast"/>
        <w:ind w:firstLine="360"/>
        <w:jc w:val="both"/>
        <w:divId w:val="1596282272"/>
        <w:rPr>
          <w:rFonts w:ascii="Times New Roman" w:hAnsi="Times New Roman" w:cs="Times New Roman"/>
          <w:sz w:val="21"/>
          <w:szCs w:val="21"/>
        </w:rPr>
      </w:pPr>
      <w:r>
        <w:rPr>
          <w:rFonts w:cs="Times New Roman" w:hint="eastAsia"/>
          <w:sz w:val="18"/>
          <w:szCs w:val="18"/>
        </w:rPr>
        <w:t>经过历年送红股、资本公积转增股本、可转债转股及向社会非公开发行后，截至2024年6月30日，公司注册资本为886,012,887.00元，实收资本（股本）886,012,887.00元。</w:t>
      </w:r>
    </w:p>
    <w:p w:rsidR="00C1183B" w:rsidRDefault="002D376B">
      <w:pPr>
        <w:pStyle w:val="a3"/>
        <w:spacing w:before="0" w:beforeAutospacing="0" w:after="0" w:afterAutospacing="0" w:line="400" w:lineRule="atLeast"/>
        <w:ind w:firstLine="360"/>
        <w:jc w:val="both"/>
        <w:divId w:val="1596282272"/>
        <w:rPr>
          <w:rFonts w:ascii="Times New Roman" w:hAnsi="Times New Roman" w:cs="Times New Roman"/>
          <w:sz w:val="21"/>
          <w:szCs w:val="21"/>
        </w:rPr>
      </w:pPr>
      <w:r>
        <w:rPr>
          <w:rFonts w:cs="Times New Roman" w:hint="eastAsia"/>
          <w:sz w:val="18"/>
          <w:szCs w:val="18"/>
        </w:rPr>
        <w:t>公司统一社会信用代码为91320200142273776W。公司注册地址和总部地址均为江阴市华士镇华西村。</w:t>
      </w:r>
    </w:p>
    <w:p w:rsidR="00C1183B" w:rsidRDefault="002D376B">
      <w:pPr>
        <w:pStyle w:val="a3"/>
        <w:spacing w:before="0" w:beforeAutospacing="0" w:after="0" w:afterAutospacing="0" w:line="400" w:lineRule="atLeast"/>
        <w:ind w:firstLine="361"/>
        <w:jc w:val="both"/>
        <w:divId w:val="1596282272"/>
        <w:rPr>
          <w:rFonts w:ascii="Times New Roman" w:hAnsi="Times New Roman" w:cs="Times New Roman"/>
        </w:rPr>
      </w:pPr>
      <w:r>
        <w:rPr>
          <w:rStyle w:val="a4"/>
          <w:rFonts w:cs="Times New Roman" w:hint="eastAsia"/>
          <w:sz w:val="18"/>
          <w:szCs w:val="18"/>
        </w:rPr>
        <w:t>2、公司实际从事的主要经营活动</w:t>
      </w:r>
    </w:p>
    <w:p w:rsidR="00C1183B" w:rsidRDefault="002D376B">
      <w:pPr>
        <w:pStyle w:val="a3"/>
        <w:spacing w:before="0" w:beforeAutospacing="0" w:after="0" w:afterAutospacing="0" w:line="400" w:lineRule="atLeast"/>
        <w:ind w:firstLine="342"/>
        <w:jc w:val="both"/>
        <w:divId w:val="1596282272"/>
        <w:rPr>
          <w:rFonts w:ascii="Times New Roman" w:hAnsi="Times New Roman" w:cs="Times New Roman"/>
          <w:sz w:val="21"/>
          <w:szCs w:val="21"/>
        </w:rPr>
      </w:pPr>
      <w:r>
        <w:rPr>
          <w:rFonts w:cs="Times New Roman" w:hint="eastAsia"/>
          <w:sz w:val="18"/>
          <w:szCs w:val="18"/>
        </w:rPr>
        <w:t>公司经营范围：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许可项目：港口经营（依法须经批准的项目，经相关部门批准后方可开展经营活动，具体经营项目以审批结果为准）。一般项目：普通货物仓储服务（不含危险化学品等需许可审批的项目）（除依法须经批准的项目外，凭营业执照依法自主开展经营活动）。</w:t>
      </w:r>
    </w:p>
    <w:p w:rsidR="00C1183B" w:rsidRDefault="002D376B">
      <w:pPr>
        <w:pStyle w:val="a3"/>
        <w:spacing w:before="0" w:beforeAutospacing="0" w:after="0" w:afterAutospacing="0" w:line="400" w:lineRule="atLeast"/>
        <w:ind w:firstLine="342"/>
        <w:jc w:val="both"/>
        <w:divId w:val="1596282272"/>
        <w:rPr>
          <w:rFonts w:ascii="Times New Roman" w:hAnsi="Times New Roman" w:cs="Times New Roman"/>
          <w:sz w:val="21"/>
          <w:szCs w:val="21"/>
        </w:rPr>
      </w:pPr>
      <w:r>
        <w:rPr>
          <w:rFonts w:cs="Times New Roman" w:hint="eastAsia"/>
          <w:sz w:val="18"/>
          <w:szCs w:val="18"/>
        </w:rPr>
        <w:t>公司业务性质：投资业务，化纤的生产销售和液体化工仓储。</w:t>
      </w:r>
    </w:p>
    <w:p w:rsidR="00C1183B" w:rsidRDefault="002D376B">
      <w:pPr>
        <w:pStyle w:val="a3"/>
        <w:spacing w:before="0" w:beforeAutospacing="0" w:after="0" w:afterAutospacing="0" w:line="400" w:lineRule="atLeast"/>
        <w:ind w:firstLine="361"/>
        <w:jc w:val="both"/>
        <w:divId w:val="1596282272"/>
        <w:rPr>
          <w:rFonts w:ascii="Times New Roman" w:hAnsi="Times New Roman" w:cs="Times New Roman"/>
        </w:rPr>
      </w:pPr>
      <w:r>
        <w:rPr>
          <w:rStyle w:val="a4"/>
          <w:rFonts w:cs="Times New Roman" w:hint="eastAsia"/>
          <w:sz w:val="18"/>
          <w:szCs w:val="18"/>
        </w:rPr>
        <w:t>3、财务报告的批准报出</w:t>
      </w:r>
    </w:p>
    <w:p w:rsidR="00C1183B" w:rsidRDefault="002D376B">
      <w:pPr>
        <w:pStyle w:val="a3"/>
        <w:spacing w:before="0" w:beforeAutospacing="0" w:after="0" w:afterAutospacing="0" w:line="400" w:lineRule="atLeast"/>
        <w:ind w:firstLine="360"/>
        <w:jc w:val="both"/>
        <w:textAlignment w:val="bottom"/>
        <w:divId w:val="1596282272"/>
        <w:rPr>
          <w:rFonts w:ascii="Times New Roman" w:hAnsi="Times New Roman" w:cs="Times New Roman"/>
          <w:sz w:val="21"/>
          <w:szCs w:val="21"/>
        </w:rPr>
      </w:pPr>
      <w:r>
        <w:rPr>
          <w:rFonts w:cs="Times New Roman" w:hint="eastAsia"/>
          <w:sz w:val="18"/>
          <w:szCs w:val="18"/>
        </w:rPr>
        <w:t>本财务报表业经本公司董事会于2024年8月29日决议批准报出。</w:t>
      </w:r>
    </w:p>
    <w:p w:rsidR="00334CB7" w:rsidRDefault="002D376B">
      <w:pPr>
        <w:pStyle w:val="2"/>
        <w:spacing w:before="300" w:after="300" w:line="320" w:lineRule="exact"/>
        <w:rPr>
          <w:rFonts w:ascii="宋体" w:eastAsia="宋体" w:hAnsi="宋体" w:cs="宋体"/>
          <w:b/>
          <w:bCs/>
          <w:sz w:val="24"/>
          <w:szCs w:val="24"/>
        </w:rPr>
      </w:pPr>
      <w:bookmarkStart w:id="102" w:name="_Toc988990"/>
      <w:r>
        <w:rPr>
          <w:rFonts w:ascii="宋体" w:eastAsia="宋体" w:hAnsi="宋体" w:cs="宋体"/>
          <w:b/>
          <w:bCs/>
          <w:sz w:val="24"/>
          <w:szCs w:val="24"/>
        </w:rPr>
        <w:lastRenderedPageBreak/>
        <w:t>四、财务报表的编制基础</w:t>
      </w:r>
      <w:bookmarkEnd w:id="102"/>
    </w:p>
    <w:p w:rsidR="00334CB7" w:rsidRDefault="002D376B">
      <w:pPr>
        <w:pStyle w:val="3"/>
        <w:spacing w:line="280" w:lineRule="exact"/>
        <w:jc w:val="left"/>
        <w:rPr>
          <w:rFonts w:ascii="宋体" w:hAnsi="宋体" w:cs="宋体"/>
          <w:b/>
          <w:bCs/>
        </w:rPr>
      </w:pPr>
      <w:bookmarkStart w:id="103" w:name="_Toc988991"/>
      <w:r>
        <w:rPr>
          <w:rFonts w:ascii="宋体" w:hAnsi="宋体" w:cs="宋体"/>
          <w:b/>
          <w:bCs/>
        </w:rPr>
        <w:t>1、编制基础</w:t>
      </w:r>
      <w:bookmarkEnd w:id="103"/>
    </w:p>
    <w:p w:rsidR="00C1183B" w:rsidRDefault="002D376B">
      <w:pPr>
        <w:pStyle w:val="a3"/>
        <w:spacing w:before="0" w:beforeAutospacing="0" w:after="0" w:afterAutospacing="0" w:line="400" w:lineRule="atLeast"/>
        <w:ind w:firstLine="360"/>
        <w:jc w:val="both"/>
        <w:divId w:val="40450104"/>
        <w:rPr>
          <w:rFonts w:ascii="Times New Roman" w:hAnsi="Times New Roman" w:cs="Times New Roman"/>
          <w:sz w:val="21"/>
          <w:szCs w:val="21"/>
        </w:rPr>
      </w:pPr>
      <w:r>
        <w:rPr>
          <w:rFonts w:cs="Times New Roman" w:hint="eastAsia"/>
          <w:sz w:val="18"/>
          <w:szCs w:val="18"/>
        </w:rPr>
        <w:t>本公司财务报表以持续经营假设为基础，根据实际发生的交易和事项，按照财政部发布的《企业会计准则——基本准则》和各项具体会计准则、企业会计准则应用指南、企业会计准则解释及其他相关规定（以下合称“企业会计准则”），以及中国证券监督管理委员会《公开发行证券的公司信息披露编报规则第15号——财务报告的一般规定》（2023年修订）的规定编制。</w:t>
      </w:r>
    </w:p>
    <w:p w:rsidR="00C1183B" w:rsidRDefault="002D376B">
      <w:pPr>
        <w:pStyle w:val="a3"/>
        <w:spacing w:before="0" w:beforeAutospacing="0" w:after="0" w:afterAutospacing="0" w:line="400" w:lineRule="atLeast"/>
        <w:ind w:firstLine="360"/>
        <w:jc w:val="both"/>
        <w:divId w:val="40450104"/>
        <w:rPr>
          <w:rFonts w:ascii="Times New Roman" w:hAnsi="Times New Roman" w:cs="Times New Roman"/>
          <w:sz w:val="21"/>
          <w:szCs w:val="21"/>
        </w:rPr>
      </w:pPr>
      <w:r>
        <w:rPr>
          <w:rFonts w:cs="Times New Roman"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334CB7" w:rsidRDefault="002D376B">
      <w:pPr>
        <w:pStyle w:val="3"/>
        <w:spacing w:line="280" w:lineRule="exact"/>
        <w:jc w:val="left"/>
        <w:rPr>
          <w:rFonts w:ascii="宋体" w:hAnsi="宋体" w:cs="宋体"/>
          <w:b/>
          <w:bCs/>
        </w:rPr>
      </w:pPr>
      <w:bookmarkStart w:id="104" w:name="_Toc988992"/>
      <w:r>
        <w:rPr>
          <w:rFonts w:ascii="宋体" w:hAnsi="宋体" w:cs="宋体"/>
          <w:b/>
          <w:bCs/>
        </w:rPr>
        <w:t>2、持续经营</w:t>
      </w:r>
      <w:bookmarkEnd w:id="104"/>
    </w:p>
    <w:p w:rsidR="00C1183B" w:rsidRPr="00D31B8E" w:rsidRDefault="002D376B">
      <w:pPr>
        <w:pStyle w:val="a3"/>
        <w:spacing w:before="0" w:beforeAutospacing="0" w:after="0" w:afterAutospacing="0" w:line="400" w:lineRule="atLeast"/>
        <w:ind w:firstLine="360"/>
        <w:jc w:val="both"/>
        <w:divId w:val="1411388312"/>
        <w:rPr>
          <w:rFonts w:asciiTheme="minorEastAsia" w:eastAsiaTheme="minorEastAsia" w:hAnsiTheme="minorEastAsia"/>
        </w:rPr>
      </w:pPr>
      <w:r w:rsidRPr="00D31B8E">
        <w:rPr>
          <w:rFonts w:asciiTheme="minorEastAsia" w:eastAsiaTheme="minorEastAsia" w:hAnsiTheme="minorEastAsia" w:hint="eastAsia"/>
          <w:sz w:val="18"/>
          <w:szCs w:val="18"/>
        </w:rPr>
        <w:t>本财务报表以持续经营为基础列报，本公司自报告期末起至少</w:t>
      </w:r>
      <w:r w:rsidRPr="00D31B8E">
        <w:rPr>
          <w:rFonts w:asciiTheme="minorEastAsia" w:eastAsiaTheme="minorEastAsia" w:hAnsiTheme="minorEastAsia" w:cs="Arial"/>
          <w:sz w:val="18"/>
          <w:szCs w:val="18"/>
        </w:rPr>
        <w:t>12</w:t>
      </w:r>
      <w:r w:rsidRPr="00D31B8E">
        <w:rPr>
          <w:rFonts w:asciiTheme="minorEastAsia" w:eastAsiaTheme="minorEastAsia" w:hAnsiTheme="minorEastAsia" w:hint="eastAsia"/>
          <w:sz w:val="18"/>
          <w:szCs w:val="18"/>
        </w:rPr>
        <w:t>个月具有持续经营能力。</w:t>
      </w:r>
    </w:p>
    <w:p w:rsidR="00334CB7" w:rsidRDefault="002D376B">
      <w:pPr>
        <w:pStyle w:val="2"/>
        <w:spacing w:before="300" w:after="300" w:line="560" w:lineRule="exact"/>
        <w:rPr>
          <w:rFonts w:ascii="宋体" w:eastAsia="宋体" w:hAnsi="宋体" w:cs="宋体"/>
          <w:b/>
          <w:bCs/>
          <w:sz w:val="24"/>
          <w:szCs w:val="24"/>
        </w:rPr>
      </w:pPr>
      <w:bookmarkStart w:id="105" w:name="_Toc988993"/>
      <w:r>
        <w:rPr>
          <w:rFonts w:ascii="宋体" w:eastAsia="宋体" w:hAnsi="宋体" w:cs="宋体"/>
          <w:b/>
          <w:bCs/>
          <w:sz w:val="24"/>
          <w:szCs w:val="24"/>
        </w:rPr>
        <w:t>五、重要会计政策及会计估计</w:t>
      </w:r>
      <w:bookmarkEnd w:id="105"/>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C1183B" w:rsidRDefault="002D376B">
      <w:pPr>
        <w:pStyle w:val="a3"/>
        <w:spacing w:before="0" w:beforeAutospacing="0" w:after="0" w:afterAutospacing="0" w:line="400" w:lineRule="atLeast"/>
        <w:ind w:firstLine="360"/>
        <w:jc w:val="both"/>
        <w:divId w:val="1322464165"/>
        <w:rPr>
          <w:rFonts w:ascii="Times New Roman" w:hAnsi="Times New Roman" w:cs="Times New Roman"/>
          <w:sz w:val="21"/>
          <w:szCs w:val="21"/>
        </w:rPr>
      </w:pPr>
      <w:r>
        <w:rPr>
          <w:rFonts w:cs="Times New Roman" w:hint="eastAsia"/>
          <w:sz w:val="18"/>
          <w:szCs w:val="18"/>
        </w:rPr>
        <w:t>本公司及各子公司从事投资业务、化纤的生产销售和液体化工仓储经营。本公司及各子公司根据实际生产经营特点，依据相关企业会计准则的规定，对各项交易和事项制定了若干项具体会计政策和会计估计，详见如下各项描述。</w:t>
      </w:r>
    </w:p>
    <w:p w:rsidR="00334CB7" w:rsidRDefault="002D376B">
      <w:pPr>
        <w:pStyle w:val="3"/>
        <w:spacing w:line="280" w:lineRule="exact"/>
        <w:jc w:val="left"/>
        <w:rPr>
          <w:rFonts w:ascii="宋体" w:hAnsi="宋体" w:cs="宋体"/>
          <w:b/>
          <w:bCs/>
        </w:rPr>
      </w:pPr>
      <w:bookmarkStart w:id="106" w:name="_Toc988994"/>
      <w:r>
        <w:rPr>
          <w:rFonts w:ascii="宋体" w:hAnsi="宋体" w:cs="宋体"/>
          <w:b/>
          <w:bCs/>
        </w:rPr>
        <w:t>1、遵循企业会计准则的声明</w:t>
      </w:r>
      <w:bookmarkEnd w:id="106"/>
    </w:p>
    <w:p w:rsidR="00C1183B" w:rsidRDefault="002D376B">
      <w:pPr>
        <w:pStyle w:val="a3"/>
        <w:spacing w:before="0" w:beforeAutospacing="0" w:after="0" w:afterAutospacing="0" w:line="400" w:lineRule="atLeast"/>
        <w:ind w:firstLine="360"/>
        <w:jc w:val="both"/>
        <w:divId w:val="1627277785"/>
        <w:rPr>
          <w:rFonts w:ascii="Times New Roman" w:hAnsi="Times New Roman" w:cs="Times New Roman"/>
          <w:sz w:val="21"/>
          <w:szCs w:val="21"/>
        </w:rPr>
      </w:pPr>
      <w:r>
        <w:rPr>
          <w:rFonts w:cs="Times New Roman" w:hint="eastAsia"/>
          <w:sz w:val="18"/>
          <w:szCs w:val="18"/>
        </w:rPr>
        <w:t>本公司编制的财务报表符合企业会计准则的要求，真实、完整地反映了本公司2024年6月30日的合并及母公司财务状况及2024年半年度的合并及母公司经营成果和合并及母公司现金流量等有关信息。</w:t>
      </w:r>
    </w:p>
    <w:p w:rsidR="00334CB7" w:rsidRDefault="002D376B">
      <w:pPr>
        <w:pStyle w:val="3"/>
        <w:spacing w:line="280" w:lineRule="exact"/>
        <w:jc w:val="left"/>
        <w:rPr>
          <w:rFonts w:ascii="宋体" w:hAnsi="宋体" w:cs="宋体"/>
          <w:b/>
          <w:bCs/>
        </w:rPr>
      </w:pPr>
      <w:bookmarkStart w:id="107" w:name="_Toc988995"/>
      <w:r>
        <w:rPr>
          <w:rFonts w:ascii="宋体" w:hAnsi="宋体" w:cs="宋体"/>
          <w:b/>
          <w:bCs/>
        </w:rPr>
        <w:t>2、会计期间</w:t>
      </w:r>
      <w:bookmarkEnd w:id="107"/>
    </w:p>
    <w:p w:rsidR="00C1183B" w:rsidRDefault="002D376B">
      <w:pPr>
        <w:pStyle w:val="a3"/>
        <w:spacing w:before="0" w:beforeAutospacing="0" w:after="0" w:afterAutospacing="0"/>
        <w:jc w:val="both"/>
        <w:divId w:val="474566231"/>
        <w:rPr>
          <w:rFonts w:ascii="等线" w:eastAsia="等线" w:hAnsi="等线"/>
          <w:sz w:val="21"/>
          <w:szCs w:val="21"/>
        </w:rPr>
      </w:pPr>
      <w:r>
        <w:rPr>
          <w:rFonts w:ascii="等线" w:eastAsia="等线" w:hAnsi="等线" w:hint="eastAsia"/>
          <w:sz w:val="18"/>
          <w:szCs w:val="18"/>
        </w:rPr>
        <w:t> </w:t>
      </w:r>
      <w:r>
        <w:rPr>
          <w:rFonts w:hint="eastAsia"/>
          <w:sz w:val="18"/>
          <w:szCs w:val="18"/>
        </w:rPr>
        <w:t>本公司会计年度采用公历年度，即每年自1月1日起至12月31日止。</w:t>
      </w:r>
      <w:r>
        <w:rPr>
          <w:rFonts w:ascii="等线" w:eastAsia="等线" w:hAnsi="等线" w:hint="eastAsia"/>
          <w:sz w:val="18"/>
          <w:szCs w:val="18"/>
        </w:rPr>
        <w:t> </w:t>
      </w:r>
    </w:p>
    <w:p w:rsidR="00334CB7" w:rsidRDefault="002D376B">
      <w:pPr>
        <w:pStyle w:val="3"/>
        <w:spacing w:line="280" w:lineRule="exact"/>
        <w:jc w:val="left"/>
        <w:rPr>
          <w:rFonts w:ascii="宋体" w:hAnsi="宋体" w:cs="宋体"/>
          <w:b/>
          <w:bCs/>
        </w:rPr>
      </w:pPr>
      <w:bookmarkStart w:id="108" w:name="_Toc988996"/>
      <w:r>
        <w:rPr>
          <w:rFonts w:ascii="宋体" w:hAnsi="宋体" w:cs="宋体"/>
          <w:b/>
          <w:bCs/>
        </w:rPr>
        <w:t>3、营业周期</w:t>
      </w:r>
      <w:bookmarkEnd w:id="108"/>
    </w:p>
    <w:p w:rsidR="00C1183B" w:rsidRPr="00655CCF" w:rsidRDefault="002D376B">
      <w:pPr>
        <w:pStyle w:val="a3"/>
        <w:divId w:val="234780949"/>
        <w:rPr>
          <w:rFonts w:asciiTheme="minorEastAsia" w:eastAsiaTheme="minorEastAsia" w:hAnsiTheme="minorEastAsia"/>
          <w:sz w:val="18"/>
          <w:szCs w:val="18"/>
        </w:rPr>
      </w:pPr>
      <w:r w:rsidRPr="00655CCF">
        <w:rPr>
          <w:rFonts w:asciiTheme="minorEastAsia" w:eastAsiaTheme="minorEastAsia" w:hAnsiTheme="minorEastAsia" w:hint="eastAsia"/>
          <w:sz w:val="18"/>
          <w:szCs w:val="18"/>
        </w:rPr>
        <w:t>本公司以</w:t>
      </w:r>
      <w:r w:rsidRPr="00655CCF">
        <w:rPr>
          <w:rFonts w:asciiTheme="minorEastAsia" w:eastAsiaTheme="minorEastAsia" w:hAnsiTheme="minorEastAsia" w:cs="Arial"/>
          <w:sz w:val="18"/>
          <w:szCs w:val="18"/>
        </w:rPr>
        <w:t>12</w:t>
      </w:r>
      <w:r w:rsidRPr="00655CCF">
        <w:rPr>
          <w:rFonts w:asciiTheme="minorEastAsia" w:eastAsiaTheme="minorEastAsia" w:hAnsiTheme="minorEastAsia" w:hint="eastAsia"/>
          <w:sz w:val="18"/>
          <w:szCs w:val="18"/>
        </w:rPr>
        <w:t>个月作为一个营业周期，并以其作为资产和负债的流动性划分标准。</w:t>
      </w:r>
    </w:p>
    <w:p w:rsidR="00334CB7" w:rsidRDefault="002D376B">
      <w:pPr>
        <w:pStyle w:val="3"/>
        <w:spacing w:line="280" w:lineRule="exact"/>
        <w:jc w:val="left"/>
        <w:rPr>
          <w:rFonts w:ascii="宋体" w:hAnsi="宋体" w:cs="宋体"/>
          <w:b/>
          <w:bCs/>
        </w:rPr>
      </w:pPr>
      <w:bookmarkStart w:id="109" w:name="_Toc988997"/>
      <w:r>
        <w:rPr>
          <w:rFonts w:ascii="宋体" w:hAnsi="宋体" w:cs="宋体"/>
          <w:b/>
          <w:bCs/>
        </w:rPr>
        <w:t>4、记账本位币</w:t>
      </w:r>
      <w:bookmarkEnd w:id="109"/>
    </w:p>
    <w:p w:rsidR="00C1183B" w:rsidRDefault="002D376B">
      <w:pPr>
        <w:pStyle w:val="a3"/>
        <w:spacing w:before="0" w:beforeAutospacing="0" w:after="0" w:afterAutospacing="0" w:line="400" w:lineRule="atLeast"/>
        <w:ind w:firstLine="360"/>
        <w:divId w:val="1384594661"/>
        <w:rPr>
          <w:rFonts w:ascii="Times New Roman" w:hAnsi="Times New Roman" w:cs="Times New Roman"/>
          <w:sz w:val="21"/>
          <w:szCs w:val="21"/>
        </w:rPr>
      </w:pPr>
      <w:r>
        <w:rPr>
          <w:rFonts w:cs="Times New Roman" w:hint="eastAsia"/>
          <w:sz w:val="18"/>
          <w:szCs w:val="18"/>
        </w:rPr>
        <w:t>人民币为本公司及境内子公司经营所处的主要经济环境中的货币，本公司及境内子公司以人民币为记账本位币。本公司之境外子公司根据其经营所处的主要经济环境中的货币确定人民币为其记账本位币。本公司编制本财务报表时所采用的货币为人民币。</w:t>
      </w:r>
    </w:p>
    <w:p w:rsidR="00334CB7" w:rsidRDefault="002D376B">
      <w:pPr>
        <w:pStyle w:val="3"/>
        <w:spacing w:line="280" w:lineRule="exact"/>
        <w:jc w:val="left"/>
        <w:rPr>
          <w:rFonts w:ascii="宋体" w:hAnsi="宋体" w:cs="宋体"/>
          <w:b/>
          <w:bCs/>
        </w:rPr>
      </w:pPr>
      <w:bookmarkStart w:id="110" w:name="_Toc988998"/>
      <w:r>
        <w:rPr>
          <w:rFonts w:ascii="宋体" w:hAnsi="宋体" w:cs="宋体"/>
          <w:b/>
          <w:bCs/>
        </w:rPr>
        <w:lastRenderedPageBreak/>
        <w:t>5、重要性标准确定方法和选择依据</w:t>
      </w:r>
      <w:bookmarkEnd w:id="110"/>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重要性标准</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重要的在建工程</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重要的应付账款</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重要的预收款项</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重要的合同负债</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重要的其他应付款</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重要的投资活动有关的现金</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金额&gt;2000万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重要的合营企业或联营企业</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对合营企业或联营企业的长期股权投资账面价值占集团总资产&gt;5%</w:t>
            </w:r>
          </w:p>
        </w:tc>
      </w:tr>
    </w:tbl>
    <w:p w:rsidR="00334CB7" w:rsidRDefault="002D376B">
      <w:pPr>
        <w:pStyle w:val="3"/>
        <w:spacing w:line="280" w:lineRule="exact"/>
        <w:jc w:val="left"/>
        <w:rPr>
          <w:rFonts w:ascii="宋体" w:hAnsi="宋体" w:cs="宋体"/>
          <w:b/>
          <w:bCs/>
        </w:rPr>
      </w:pPr>
      <w:bookmarkStart w:id="111" w:name="_Toc988999"/>
      <w:r>
        <w:rPr>
          <w:rFonts w:ascii="宋体" w:hAnsi="宋体" w:cs="宋体"/>
          <w:b/>
          <w:bCs/>
        </w:rPr>
        <w:t>6、同一控制下和非同一控制下企业合并的会计处理方法</w:t>
      </w:r>
      <w:bookmarkEnd w:id="111"/>
    </w:p>
    <w:p w:rsidR="00C1183B" w:rsidRDefault="002D376B">
      <w:pPr>
        <w:pStyle w:val="a3"/>
        <w:spacing w:before="0" w:beforeAutospacing="0" w:after="0" w:afterAutospacing="0" w:line="400" w:lineRule="atLeast"/>
        <w:ind w:left="3" w:firstLine="360"/>
        <w:jc w:val="both"/>
        <w:divId w:val="1163624298"/>
        <w:rPr>
          <w:rFonts w:ascii="Times New Roman" w:hAnsi="Times New Roman" w:cs="Times New Roman"/>
          <w:sz w:val="21"/>
          <w:szCs w:val="21"/>
        </w:rPr>
      </w:pPr>
      <w:r>
        <w:rPr>
          <w:rFonts w:cs="Times New Roman" w:hint="eastAsia"/>
          <w:sz w:val="18"/>
          <w:szCs w:val="18"/>
        </w:rPr>
        <w:t>企业合并，是指将两个或两个以上单独的企业合并形成一个报告主体的交易或事项。企业合并分为同一控制下企业合并和非同一控制下企业合并。</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（1）同一控制下企业合并</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公司在企业合并中取得的资产和负债，按照合并日被合并方资产、负债（包括最终控制方收购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合并方为进行企业合并发生的各项直接费用，于发生时计入当期损益。</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（2）非同一控制下企业合并</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12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lastRenderedPageBreak/>
        <w:t>购买方取得被购买方的可抵扣暂时性差异，在购买日因不符合递延所得税资产确认条件而未予确认的，在购买日后12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通过多次交易分步实现的非同一控制下企业合并，属于“一揽子交易”的，参考本部分前面各段描述及本附注五、14“长期股权投资”进行会计处理；不属于“一揽子交易”的，区分个别财务报表和合并财务报表进行相关会计处理：</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C1183B" w:rsidRDefault="002D376B">
      <w:pPr>
        <w:pStyle w:val="a3"/>
        <w:spacing w:before="0" w:beforeAutospacing="0" w:after="0" w:afterAutospacing="0" w:line="400" w:lineRule="atLeast"/>
        <w:ind w:firstLine="360"/>
        <w:jc w:val="both"/>
        <w:divId w:val="1163624298"/>
        <w:rPr>
          <w:rFonts w:ascii="Times New Roman" w:hAnsi="Times New Roman" w:cs="Times New Roman"/>
          <w:sz w:val="21"/>
          <w:szCs w:val="21"/>
        </w:rPr>
      </w:pPr>
      <w:r>
        <w:rPr>
          <w:rFonts w:cs="Times New Roman"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334CB7" w:rsidRDefault="002D376B">
      <w:pPr>
        <w:pStyle w:val="3"/>
        <w:spacing w:line="280" w:lineRule="exact"/>
        <w:jc w:val="left"/>
        <w:rPr>
          <w:rFonts w:ascii="宋体" w:hAnsi="宋体" w:cs="宋体"/>
          <w:b/>
          <w:bCs/>
        </w:rPr>
      </w:pPr>
      <w:bookmarkStart w:id="112" w:name="_Toc989000"/>
      <w:r>
        <w:rPr>
          <w:rFonts w:ascii="宋体" w:hAnsi="宋体" w:cs="宋体"/>
          <w:b/>
          <w:bCs/>
        </w:rPr>
        <w:t>7、控制的判断标准和合并财务报表的编制方法</w:t>
      </w:r>
      <w:bookmarkEnd w:id="112"/>
    </w:p>
    <w:p w:rsidR="00C1183B" w:rsidRDefault="002D376B">
      <w:pPr>
        <w:pStyle w:val="a3"/>
        <w:spacing w:before="0" w:beforeAutospacing="0" w:after="0" w:afterAutospacing="0" w:line="400" w:lineRule="atLeast"/>
        <w:ind w:firstLine="360"/>
        <w:jc w:val="both"/>
        <w:divId w:val="1124274543"/>
        <w:rPr>
          <w:rFonts w:ascii="Times New Roman" w:hAnsi="Times New Roman" w:cs="Times New Roman"/>
          <w:sz w:val="21"/>
          <w:szCs w:val="21"/>
        </w:rPr>
      </w:pPr>
      <w:r>
        <w:rPr>
          <w:rFonts w:cs="Times New Roman" w:hint="eastAsia"/>
          <w:sz w:val="18"/>
          <w:szCs w:val="18"/>
        </w:rPr>
        <w:t>（1）控制的判断标准</w:t>
      </w:r>
    </w:p>
    <w:p w:rsidR="00C1183B" w:rsidRDefault="002D376B">
      <w:pPr>
        <w:pStyle w:val="a3"/>
        <w:spacing w:before="0" w:beforeAutospacing="0" w:after="0" w:afterAutospacing="0" w:line="400" w:lineRule="atLeast"/>
        <w:ind w:firstLine="360"/>
        <w:jc w:val="both"/>
        <w:divId w:val="1124274543"/>
        <w:rPr>
          <w:rFonts w:ascii="Times New Roman" w:hAnsi="Times New Roman" w:cs="Times New Roman"/>
          <w:sz w:val="21"/>
          <w:szCs w:val="21"/>
        </w:rPr>
      </w:pPr>
      <w:r>
        <w:rPr>
          <w:rFonts w:cs="Times New Roman"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通常包括母公司拥有其半数以上的表决权的被投资单位和公司虽拥有其半数以下的表决权但通过与被投资单位其他投资者之间的协议，拥有被投资单位半数以上表决权；根据公司章程或协议，有权决定被投资单位的财务和经营决策；有权任免被投资单位的董事会的多数成员；在被投资单位董事会占多数表决权。</w:t>
      </w:r>
    </w:p>
    <w:p w:rsidR="00C1183B" w:rsidRDefault="002D376B">
      <w:pPr>
        <w:pStyle w:val="a3"/>
        <w:spacing w:before="0" w:beforeAutospacing="0" w:after="0" w:afterAutospacing="0" w:line="400" w:lineRule="atLeast"/>
        <w:ind w:firstLine="360"/>
        <w:jc w:val="both"/>
        <w:divId w:val="1124274543"/>
        <w:rPr>
          <w:rFonts w:ascii="Times New Roman" w:hAnsi="Times New Roman" w:cs="Times New Roman"/>
          <w:sz w:val="21"/>
          <w:szCs w:val="21"/>
        </w:rPr>
      </w:pPr>
      <w:r>
        <w:rPr>
          <w:rFonts w:cs="Times New Roman" w:hint="eastAsia"/>
          <w:sz w:val="18"/>
          <w:szCs w:val="18"/>
        </w:rPr>
        <w:t>（2）合并财务报表编制的方法</w:t>
      </w:r>
    </w:p>
    <w:p w:rsidR="00C1183B" w:rsidRDefault="002D376B">
      <w:pPr>
        <w:pStyle w:val="a3"/>
        <w:spacing w:before="0" w:beforeAutospacing="0" w:after="0" w:afterAutospacing="0" w:line="400" w:lineRule="atLeast"/>
        <w:ind w:firstLine="360"/>
        <w:jc w:val="both"/>
        <w:divId w:val="1124274543"/>
        <w:rPr>
          <w:rFonts w:ascii="Times New Roman" w:hAnsi="Times New Roman" w:cs="Times New Roman"/>
          <w:sz w:val="21"/>
          <w:szCs w:val="21"/>
        </w:rPr>
      </w:pPr>
      <w:r>
        <w:rPr>
          <w:rFonts w:cs="Times New Roman"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C1183B" w:rsidRDefault="002D376B">
      <w:pPr>
        <w:pStyle w:val="a3"/>
        <w:spacing w:before="0" w:beforeAutospacing="0" w:after="0" w:afterAutospacing="0" w:line="400" w:lineRule="atLeast"/>
        <w:ind w:firstLine="360"/>
        <w:jc w:val="both"/>
        <w:divId w:val="1124274543"/>
        <w:rPr>
          <w:rFonts w:ascii="Times New Roman" w:hAnsi="Times New Roman" w:cs="Times New Roman"/>
          <w:sz w:val="21"/>
          <w:szCs w:val="21"/>
        </w:rPr>
      </w:pPr>
      <w:r>
        <w:rPr>
          <w:rFonts w:cs="Times New Roman" w:hint="eastAsia"/>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C1183B" w:rsidRDefault="002D376B">
      <w:pPr>
        <w:pStyle w:val="a3"/>
        <w:spacing w:before="0" w:beforeAutospacing="0" w:after="0" w:afterAutospacing="0" w:line="400" w:lineRule="atLeast"/>
        <w:ind w:firstLine="360"/>
        <w:jc w:val="both"/>
        <w:divId w:val="1124274543"/>
        <w:rPr>
          <w:rFonts w:ascii="Times New Roman" w:hAnsi="Times New Roman" w:cs="Times New Roman"/>
          <w:sz w:val="21"/>
          <w:szCs w:val="21"/>
        </w:rPr>
      </w:pPr>
      <w:r>
        <w:rPr>
          <w:rFonts w:cs="Times New Roman" w:hint="eastAsia"/>
          <w:sz w:val="18"/>
          <w:szCs w:val="18"/>
        </w:rPr>
        <w:t>公司内所有重大往来余额、交易及未实现利润在合并财务报表编制时予以抵销。</w:t>
      </w:r>
    </w:p>
    <w:p w:rsidR="00C1183B" w:rsidRDefault="002D376B">
      <w:pPr>
        <w:pStyle w:val="a3"/>
        <w:spacing w:before="0" w:beforeAutospacing="0" w:after="0" w:afterAutospacing="0" w:line="400" w:lineRule="atLeast"/>
        <w:ind w:firstLine="360"/>
        <w:jc w:val="both"/>
        <w:divId w:val="1124274543"/>
        <w:rPr>
          <w:rFonts w:ascii="Times New Roman" w:hAnsi="Times New Roman" w:cs="Times New Roman"/>
          <w:sz w:val="21"/>
          <w:szCs w:val="21"/>
        </w:rPr>
      </w:pPr>
      <w:r>
        <w:rPr>
          <w:rFonts w:cs="Times New Roman" w:hint="eastAsia"/>
          <w:sz w:val="18"/>
          <w:szCs w:val="18"/>
        </w:rPr>
        <w:lastRenderedPageBreak/>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C1183B" w:rsidRDefault="002D376B">
      <w:pPr>
        <w:pStyle w:val="a3"/>
        <w:spacing w:before="0" w:beforeAutospacing="0" w:after="0" w:afterAutospacing="0" w:line="400" w:lineRule="atLeast"/>
        <w:ind w:firstLine="360"/>
        <w:divId w:val="1124274543"/>
        <w:rPr>
          <w:rFonts w:ascii="Times New Roman" w:hAnsi="Times New Roman" w:cs="Times New Roman"/>
          <w:sz w:val="21"/>
          <w:szCs w:val="21"/>
        </w:rPr>
      </w:pPr>
      <w:r>
        <w:rPr>
          <w:rFonts w:cs="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2号——长期股权投资》或《企业会计准则第22号——金融工具确认和计量》等相关规定进行后续计量，详见本附注五、14“长期股权投资”或本附注五、11“金融工具”。</w:t>
      </w:r>
    </w:p>
    <w:p w:rsidR="00C1183B" w:rsidRDefault="002D376B">
      <w:pPr>
        <w:pStyle w:val="a3"/>
        <w:spacing w:before="0" w:beforeAutospacing="0" w:after="0" w:afterAutospacing="0" w:line="400" w:lineRule="atLeast"/>
        <w:ind w:firstLine="360"/>
        <w:jc w:val="both"/>
        <w:divId w:val="1124274543"/>
      </w:pPr>
      <w:r>
        <w:rPr>
          <w:rFonts w:hint="eastAsia"/>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和“因处置部分股权投资或其他原因丧失了对原有子公司的控制权”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334CB7" w:rsidRDefault="002D376B">
      <w:pPr>
        <w:pStyle w:val="3"/>
        <w:spacing w:line="280" w:lineRule="exact"/>
        <w:jc w:val="left"/>
        <w:rPr>
          <w:rFonts w:ascii="宋体" w:hAnsi="宋体" w:cs="宋体"/>
          <w:b/>
          <w:bCs/>
        </w:rPr>
      </w:pPr>
      <w:bookmarkStart w:id="113" w:name="_Toc989001"/>
      <w:r>
        <w:rPr>
          <w:rFonts w:ascii="宋体" w:hAnsi="宋体" w:cs="宋体"/>
          <w:b/>
          <w:bCs/>
        </w:rPr>
        <w:t>8、合营安排分类及共同经营会计处理方法</w:t>
      </w:r>
      <w:bookmarkEnd w:id="113"/>
    </w:p>
    <w:p w:rsidR="00C1183B" w:rsidRDefault="002D376B">
      <w:pPr>
        <w:pStyle w:val="a3"/>
        <w:spacing w:before="0" w:beforeAutospacing="0" w:after="0" w:afterAutospacing="0" w:line="400" w:lineRule="atLeast"/>
        <w:ind w:firstLine="360"/>
        <w:divId w:val="1602108149"/>
        <w:rPr>
          <w:rFonts w:ascii="Times New Roman" w:hAnsi="Times New Roman" w:cs="Times New Roman"/>
          <w:sz w:val="21"/>
          <w:szCs w:val="21"/>
        </w:rPr>
      </w:pPr>
      <w:r>
        <w:rPr>
          <w:rFonts w:cs="Times New Roman"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C1183B" w:rsidRDefault="002D376B">
      <w:pPr>
        <w:pStyle w:val="a3"/>
        <w:spacing w:before="0" w:beforeAutospacing="0" w:after="0" w:afterAutospacing="0" w:line="400" w:lineRule="atLeast"/>
        <w:ind w:firstLine="360"/>
        <w:divId w:val="1602108149"/>
        <w:rPr>
          <w:rFonts w:ascii="Times New Roman" w:hAnsi="Times New Roman" w:cs="Times New Roman"/>
          <w:sz w:val="21"/>
          <w:szCs w:val="21"/>
        </w:rPr>
      </w:pPr>
      <w:r>
        <w:rPr>
          <w:rFonts w:cs="Times New Roman" w:hint="eastAsia"/>
          <w:sz w:val="18"/>
          <w:szCs w:val="18"/>
        </w:rPr>
        <w:t>本公司对合营企业的投资采用权益法核算，按照本附注五、14（2）②“权益法核算的长期股权投资”中所述的会计政策处理。</w:t>
      </w:r>
    </w:p>
    <w:p w:rsidR="00C1183B" w:rsidRDefault="002D376B">
      <w:pPr>
        <w:pStyle w:val="a3"/>
        <w:spacing w:before="0" w:beforeAutospacing="0" w:after="0" w:afterAutospacing="0" w:line="400" w:lineRule="atLeast"/>
        <w:ind w:firstLine="360"/>
        <w:divId w:val="1602108149"/>
        <w:rPr>
          <w:rFonts w:ascii="Times New Roman" w:hAnsi="Times New Roman" w:cs="Times New Roman"/>
          <w:sz w:val="21"/>
          <w:szCs w:val="21"/>
        </w:rPr>
      </w:pPr>
      <w:r>
        <w:rPr>
          <w:rFonts w:cs="Times New Roman" w:hint="eastAsia"/>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C1183B" w:rsidRDefault="002D376B">
      <w:pPr>
        <w:pStyle w:val="a3"/>
        <w:spacing w:before="0" w:beforeAutospacing="0" w:after="0" w:afterAutospacing="0" w:line="400" w:lineRule="atLeast"/>
        <w:ind w:firstLine="360"/>
        <w:divId w:val="1602108149"/>
        <w:rPr>
          <w:rFonts w:ascii="Times New Roman" w:hAnsi="Times New Roman" w:cs="Times New Roman"/>
          <w:sz w:val="21"/>
          <w:szCs w:val="21"/>
        </w:rPr>
      </w:pPr>
      <w:r>
        <w:rPr>
          <w:rFonts w:cs="Times New Roman"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w:t>
      </w:r>
      <w:r>
        <w:rPr>
          <w:rFonts w:cs="Times New Roman" w:hint="eastAsia"/>
          <w:sz w:val="18"/>
          <w:szCs w:val="18"/>
        </w:rPr>
        <w:lastRenderedPageBreak/>
        <w:t>《企业会计准则第8号——资产减值》等规定的资产减值损失的，对于由本公司向共同经营投出或出售资产的情况，本公司全额确认该损失；对于本公司自共同经营购买资产的情况，本公司按承担的份额确认该损失。</w:t>
      </w:r>
    </w:p>
    <w:p w:rsidR="00334CB7" w:rsidRDefault="002D376B">
      <w:pPr>
        <w:pStyle w:val="3"/>
        <w:spacing w:line="280" w:lineRule="exact"/>
        <w:jc w:val="left"/>
        <w:rPr>
          <w:rFonts w:ascii="宋体" w:hAnsi="宋体" w:cs="宋体"/>
          <w:b/>
          <w:bCs/>
        </w:rPr>
      </w:pPr>
      <w:bookmarkStart w:id="114" w:name="_Toc989002"/>
      <w:r>
        <w:rPr>
          <w:rFonts w:ascii="宋体" w:hAnsi="宋体" w:cs="宋体"/>
          <w:b/>
          <w:bCs/>
        </w:rPr>
        <w:t>9、现金及现金等价物的确定标准</w:t>
      </w:r>
      <w:bookmarkEnd w:id="114"/>
    </w:p>
    <w:p w:rsidR="00C1183B" w:rsidRDefault="002D376B">
      <w:pPr>
        <w:pStyle w:val="a3"/>
        <w:spacing w:before="0" w:beforeAutospacing="0" w:after="0" w:afterAutospacing="0" w:line="400" w:lineRule="atLeast"/>
        <w:ind w:firstLine="360"/>
        <w:jc w:val="both"/>
        <w:divId w:val="1485779314"/>
      </w:pPr>
      <w:r>
        <w:rPr>
          <w:rFonts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334CB7" w:rsidRDefault="002D376B">
      <w:pPr>
        <w:pStyle w:val="3"/>
        <w:spacing w:line="280" w:lineRule="exact"/>
        <w:jc w:val="left"/>
        <w:rPr>
          <w:rFonts w:ascii="宋体" w:hAnsi="宋体" w:cs="宋体"/>
          <w:b/>
          <w:bCs/>
        </w:rPr>
      </w:pPr>
      <w:bookmarkStart w:id="115" w:name="_Toc989003"/>
      <w:r>
        <w:rPr>
          <w:rFonts w:ascii="宋体" w:hAnsi="宋体" w:cs="宋体"/>
          <w:b/>
          <w:bCs/>
        </w:rPr>
        <w:t>10、外币业务和外币报表折算</w:t>
      </w:r>
      <w:bookmarkEnd w:id="115"/>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（1）外币交易的折算方法</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本公司发生的外币交易在初始确认时，按交易日的即期汇率折算为记账本位币金额，但公司发生的外币兑换业务或涉及外币兑换的交易事项，按照实际采用的汇率折算为记账本位币金额。</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（2）对于外币货币性项目和外币非货币性项目的折算方法</w:t>
      </w:r>
    </w:p>
    <w:p w:rsidR="00C1183B" w:rsidRDefault="002D376B">
      <w:pPr>
        <w:pStyle w:val="a3"/>
        <w:spacing w:before="0" w:beforeAutospacing="0" w:after="0" w:afterAutospacing="0" w:line="400" w:lineRule="atLeast"/>
        <w:ind w:firstLine="360"/>
        <w:jc w:val="both"/>
        <w:divId w:val="2048597522"/>
        <w:rPr>
          <w:rFonts w:ascii="Times New Roman" w:hAnsi="Times New Roman" w:cs="Times New Roman"/>
          <w:sz w:val="21"/>
          <w:szCs w:val="21"/>
        </w:rPr>
      </w:pPr>
      <w:r>
        <w:rPr>
          <w:rFonts w:cs="Times New Roman"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可供出售的外币货币性项目除摊余成本之外的其他账面余额变动产生的汇兑差额计入其他综合收益之外，均计入当期损益。</w:t>
      </w:r>
    </w:p>
    <w:p w:rsidR="00C1183B" w:rsidRDefault="002D376B">
      <w:pPr>
        <w:pStyle w:val="a3"/>
        <w:spacing w:before="0" w:beforeAutospacing="0" w:after="0" w:afterAutospacing="0" w:line="400" w:lineRule="atLeast"/>
        <w:ind w:firstLine="360"/>
        <w:jc w:val="both"/>
        <w:divId w:val="2048597522"/>
        <w:rPr>
          <w:rFonts w:ascii="Times New Roman" w:hAnsi="Times New Roman" w:cs="Times New Roman"/>
          <w:sz w:val="21"/>
          <w:szCs w:val="21"/>
        </w:rPr>
      </w:pPr>
      <w:r>
        <w:rPr>
          <w:rFonts w:cs="Times New Roman"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C1183B" w:rsidRDefault="002D376B">
      <w:pPr>
        <w:pStyle w:val="a3"/>
        <w:spacing w:before="0" w:beforeAutospacing="0" w:after="0" w:afterAutospacing="0" w:line="400" w:lineRule="atLeast"/>
        <w:ind w:firstLine="360"/>
        <w:jc w:val="both"/>
        <w:divId w:val="2048597522"/>
        <w:rPr>
          <w:rFonts w:ascii="Times New Roman" w:hAnsi="Times New Roman" w:cs="Times New Roman"/>
          <w:sz w:val="21"/>
          <w:szCs w:val="21"/>
        </w:rPr>
      </w:pPr>
      <w:r>
        <w:rPr>
          <w:rFonts w:cs="Times New Roman" w:hint="eastAsia"/>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（3）外币财务报表的折算方法</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编制合并财务报表涉及境外经营的，如有实质上构成对境外经营净投资的外币货币性项目，因汇率变动而产生的汇兑差额，作为“外币报表折算差额”确认为其他综合收益；处置境外经营时，计入处置当期损益。</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上年年末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外币现金流量，采用现金流量发生日的即期汇率折算。汇率变动对现金的影响额作为调节项目，在现金流量表中单独列报。</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t>上年年末数和上年实际数按照上年财务报表折算后的数额列示。</w:t>
      </w:r>
    </w:p>
    <w:p w:rsidR="00C1183B" w:rsidRDefault="002D376B">
      <w:pPr>
        <w:pStyle w:val="a3"/>
        <w:spacing w:before="0" w:beforeAutospacing="0" w:after="0" w:afterAutospacing="0" w:line="400" w:lineRule="atLeast"/>
        <w:ind w:firstLine="360"/>
        <w:jc w:val="both"/>
        <w:divId w:val="2048597522"/>
        <w:rPr>
          <w:sz w:val="21"/>
          <w:szCs w:val="21"/>
        </w:rPr>
      </w:pPr>
      <w:r>
        <w:rPr>
          <w:rFonts w:hint="eastAsia"/>
          <w:sz w:val="18"/>
          <w:szCs w:val="18"/>
        </w:rPr>
        <w:lastRenderedPageBreak/>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C1183B" w:rsidRDefault="002D376B">
      <w:pPr>
        <w:pStyle w:val="a3"/>
        <w:spacing w:before="0" w:beforeAutospacing="0" w:after="0" w:afterAutospacing="0" w:line="400" w:lineRule="atLeast"/>
        <w:ind w:firstLine="360"/>
        <w:jc w:val="both"/>
        <w:divId w:val="2048597522"/>
      </w:pPr>
      <w:r>
        <w:rPr>
          <w:rFonts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334CB7" w:rsidRDefault="002D376B">
      <w:pPr>
        <w:pStyle w:val="3"/>
        <w:spacing w:line="280" w:lineRule="exact"/>
        <w:jc w:val="left"/>
        <w:rPr>
          <w:rFonts w:ascii="宋体" w:hAnsi="宋体" w:cs="宋体"/>
          <w:b/>
          <w:bCs/>
        </w:rPr>
      </w:pPr>
      <w:bookmarkStart w:id="116" w:name="_Toc989004"/>
      <w:r>
        <w:rPr>
          <w:rFonts w:ascii="宋体" w:hAnsi="宋体" w:cs="宋体"/>
          <w:b/>
          <w:bCs/>
        </w:rPr>
        <w:t>11、金融工具</w:t>
      </w:r>
      <w:bookmarkEnd w:id="116"/>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在本公司成为金融工具合同的一方时确认一项金融资产或金融负债。</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（1）金融资产的分类、确认和计量</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①以摊余成本计量的金融资产</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②以公允价值计量且其变动计入其他综合收益的金融资产</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③以公允价值计量且其变动计入当期损益的金融资产</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（2）金融负债的分类、确认和计量</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lastRenderedPageBreak/>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①以公允价值计量且其变动计入当期损益的金融负债</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以公允价值计量且其变动计入当期损益的金融负债，包括交易性金融负债（含属于金融负债的衍生工具）和初始确认时指定为以公允价值计量且其变动计入当期损益的金融负债。</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交易性金融负债（含属于金融负债的衍生工具），按照公允价值进行后续计量，除与套期会计有关外，公允价值变动计入当期损益。</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②其他金融负债</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（3）金融资产转移的确认依据和计量方法</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金融资产整体转移满足终止确认条件的，将所转移金融资产的账面价值及因转移而收到的对价与原计入其他综合收益的公允价值变动累计额之和的差额计入当期损益。</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（4）金融负债的终止确认</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lastRenderedPageBreak/>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金融负债（或其一部分）终止确认的，本公司将其账面价值与支付的对价（包括转出的非现金资产或承担的负债）之间的差额，计入当期损益。</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（5）金融资产和金融负债的抵销</w:t>
      </w:r>
    </w:p>
    <w:p w:rsidR="00C1183B" w:rsidRDefault="002D376B">
      <w:pPr>
        <w:pStyle w:val="a3"/>
        <w:spacing w:before="0" w:beforeAutospacing="0" w:after="0" w:afterAutospacing="0" w:line="400" w:lineRule="atLeast"/>
        <w:ind w:firstLine="360"/>
        <w:divId w:val="813834239"/>
        <w:rPr>
          <w:rFonts w:ascii="Times New Roman" w:hAnsi="Times New Roman" w:cs="Times New Roman"/>
          <w:sz w:val="21"/>
          <w:szCs w:val="21"/>
        </w:rPr>
      </w:pPr>
      <w:r>
        <w:rPr>
          <w:rFonts w:cs="Times New Roman" w:hint="eastAsia"/>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C1183B" w:rsidRDefault="002D376B">
      <w:pPr>
        <w:pStyle w:val="a3"/>
        <w:spacing w:before="0" w:beforeAutospacing="0" w:after="0" w:afterAutospacing="0" w:line="400" w:lineRule="atLeast"/>
        <w:ind w:firstLine="360"/>
        <w:jc w:val="both"/>
        <w:divId w:val="813834239"/>
        <w:rPr>
          <w:rFonts w:ascii="Times New Roman" w:hAnsi="Times New Roman" w:cs="Times New Roman"/>
          <w:sz w:val="21"/>
          <w:szCs w:val="21"/>
        </w:rPr>
      </w:pPr>
      <w:r>
        <w:rPr>
          <w:rFonts w:cs="Times New Roman" w:hint="eastAsia"/>
          <w:sz w:val="18"/>
          <w:szCs w:val="18"/>
        </w:rPr>
        <w:t>（6）金融资产和金融负债的公允价值确定方法</w:t>
      </w:r>
    </w:p>
    <w:p w:rsidR="00C1183B" w:rsidRDefault="002D376B">
      <w:pPr>
        <w:pStyle w:val="a3"/>
        <w:spacing w:before="0" w:beforeAutospacing="0" w:after="0" w:afterAutospacing="0" w:line="400" w:lineRule="atLeast"/>
        <w:ind w:firstLine="360"/>
        <w:divId w:val="813834239"/>
      </w:pPr>
      <w:r>
        <w:rPr>
          <w:rFonts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r>
        <w:rPr>
          <w:rFonts w:hint="eastAsia"/>
        </w:rPr>
        <w:t xml:space="preserve"> </w:t>
      </w:r>
    </w:p>
    <w:p w:rsidR="00334CB7" w:rsidRDefault="002D376B">
      <w:pPr>
        <w:pStyle w:val="3"/>
        <w:spacing w:line="280" w:lineRule="exact"/>
        <w:jc w:val="left"/>
        <w:rPr>
          <w:rFonts w:ascii="宋体" w:hAnsi="宋体" w:cs="宋体"/>
          <w:b/>
          <w:bCs/>
        </w:rPr>
      </w:pPr>
      <w:bookmarkStart w:id="117" w:name="_Toc989005"/>
      <w:r>
        <w:rPr>
          <w:rFonts w:ascii="宋体" w:hAnsi="宋体" w:cs="宋体"/>
          <w:b/>
          <w:bCs/>
        </w:rPr>
        <w:t>12、金融资产减值</w:t>
      </w:r>
      <w:bookmarkEnd w:id="117"/>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本公司需确认减值损失的金融资产系以摊余成本计量的金融资产、以公允价值计量且其变动计入其他综合收益的债务工具投资，主要包括应收票据、应收账款、合同资产、其他应收款、债权投资、其他债权投资、长期应收款等。此外，对部分财务担保合同，也按照本部分所述会计政策计提减值准备和确认信用减值损失。</w:t>
      </w:r>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w:t>
      </w:r>
      <w:r>
        <w:rPr>
          <w:rFonts w:ascii="Arial" w:hAnsi="Arial" w:cs="Arial"/>
          <w:color w:val="000000"/>
          <w:sz w:val="18"/>
          <w:szCs w:val="18"/>
        </w:rPr>
        <w:t>1</w:t>
      </w:r>
      <w:r>
        <w:rPr>
          <w:rFonts w:hint="eastAsia"/>
          <w:color w:val="000000"/>
          <w:sz w:val="18"/>
          <w:szCs w:val="18"/>
        </w:rPr>
        <w:t>）减值准备的确认方法</w:t>
      </w:r>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本公司以预期信用损失为基础，对上述各项目</w:t>
      </w:r>
      <w:r>
        <w:rPr>
          <w:rFonts w:hint="eastAsia"/>
          <w:sz w:val="18"/>
          <w:szCs w:val="18"/>
        </w:rPr>
        <w:t>按照其适用的预期信用损失计量方法（一般方法或简化方法）计提减值准备并确认信用减值损失</w:t>
      </w:r>
      <w:r>
        <w:rPr>
          <w:rFonts w:hint="eastAsia"/>
          <w:color w:val="000000"/>
          <w:sz w:val="18"/>
          <w:szCs w:val="18"/>
        </w:rPr>
        <w:t>。</w:t>
      </w:r>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Pr>
          <w:rFonts w:ascii="Arial" w:hAnsi="Arial" w:cs="Arial"/>
          <w:color w:val="000000"/>
          <w:sz w:val="18"/>
          <w:szCs w:val="18"/>
        </w:rPr>
        <w:t>12</w:t>
      </w:r>
      <w:r>
        <w:rPr>
          <w:rFonts w:hint="eastAsia"/>
          <w:color w:val="000000"/>
          <w:sz w:val="18"/>
          <w:szCs w:val="18"/>
        </w:rPr>
        <w:t>个月内预期信用损失的金额计量</w:t>
      </w:r>
      <w:r>
        <w:rPr>
          <w:rFonts w:hint="eastAsia"/>
          <w:sz w:val="18"/>
          <w:szCs w:val="18"/>
        </w:rPr>
        <w:t>损失准备。本公司在评估预期信用损失时，考虑所有合理且有依据的信息，包括前瞻性信息。</w:t>
      </w:r>
    </w:p>
    <w:p w:rsidR="00C1183B" w:rsidRPr="00655CCF" w:rsidRDefault="002D376B">
      <w:pPr>
        <w:pStyle w:val="a3"/>
        <w:spacing w:before="0" w:beforeAutospacing="0" w:after="0" w:afterAutospacing="0" w:line="400" w:lineRule="atLeast"/>
        <w:ind w:firstLine="360"/>
        <w:jc w:val="both"/>
        <w:divId w:val="971516771"/>
        <w:rPr>
          <w:rFonts w:asciiTheme="minorEastAsia" w:eastAsiaTheme="minorEastAsia" w:hAnsiTheme="minorEastAsia"/>
        </w:rPr>
      </w:pPr>
      <w:r w:rsidRPr="00655CCF">
        <w:rPr>
          <w:rFonts w:asciiTheme="minorEastAsia" w:eastAsiaTheme="minorEastAsia" w:hAnsiTheme="minorEastAsia" w:hint="eastAsia"/>
          <w:sz w:val="18"/>
          <w:szCs w:val="18"/>
        </w:rPr>
        <w:lastRenderedPageBreak/>
        <w:t>对于在资产负债表日具有较低信用风险的金融工具，本公司假设其信用风险自初始确认后并未显著增加，选择按照未来</w:t>
      </w:r>
      <w:r w:rsidRPr="00655CCF">
        <w:rPr>
          <w:rFonts w:asciiTheme="minorEastAsia" w:eastAsiaTheme="minorEastAsia" w:hAnsiTheme="minorEastAsia" w:cs="Arial"/>
          <w:sz w:val="18"/>
          <w:szCs w:val="18"/>
        </w:rPr>
        <w:t xml:space="preserve"> 12 </w:t>
      </w:r>
      <w:r w:rsidRPr="00655CCF">
        <w:rPr>
          <w:rFonts w:asciiTheme="minorEastAsia" w:eastAsiaTheme="minorEastAsia" w:hAnsiTheme="minorEastAsia" w:hint="eastAsia"/>
          <w:sz w:val="18"/>
          <w:szCs w:val="18"/>
        </w:rPr>
        <w:t>个月内的预期信用损失计量损失准备，依据其信用风险自初始确认后是否已显著增加，而采用未来</w:t>
      </w:r>
      <w:r w:rsidRPr="00655CCF">
        <w:rPr>
          <w:rFonts w:asciiTheme="minorEastAsia" w:eastAsiaTheme="minorEastAsia" w:hAnsiTheme="minorEastAsia" w:cs="Arial"/>
          <w:sz w:val="18"/>
          <w:szCs w:val="18"/>
        </w:rPr>
        <w:t>12</w:t>
      </w:r>
      <w:r w:rsidRPr="00655CCF">
        <w:rPr>
          <w:rFonts w:asciiTheme="minorEastAsia" w:eastAsiaTheme="minorEastAsia" w:hAnsiTheme="minorEastAsia" w:hint="eastAsia"/>
          <w:sz w:val="18"/>
          <w:szCs w:val="18"/>
        </w:rPr>
        <w:t>月内或者整个存续期内预期信用损失金额为基础计量损失准备。</w:t>
      </w:r>
    </w:p>
    <w:p w:rsidR="00C1183B" w:rsidRDefault="002D376B">
      <w:pPr>
        <w:pStyle w:val="a3"/>
        <w:spacing w:before="0" w:beforeAutospacing="0" w:after="0" w:afterAutospacing="0" w:line="400" w:lineRule="atLeast"/>
        <w:ind w:firstLine="360"/>
        <w:jc w:val="both"/>
        <w:divId w:val="971516771"/>
      </w:pPr>
      <w:r>
        <w:rPr>
          <w:rFonts w:hint="eastAsia"/>
          <w:sz w:val="18"/>
          <w:szCs w:val="18"/>
        </w:rPr>
        <w:t>（</w:t>
      </w:r>
      <w:r>
        <w:rPr>
          <w:rFonts w:ascii="Arial" w:hAnsi="Arial" w:cs="Arial"/>
          <w:sz w:val="18"/>
          <w:szCs w:val="18"/>
        </w:rPr>
        <w:t>2</w:t>
      </w:r>
      <w:r>
        <w:rPr>
          <w:rFonts w:hint="eastAsia"/>
          <w:sz w:val="18"/>
          <w:szCs w:val="18"/>
        </w:rPr>
        <w:t>）信用风险自初始确认后是否显著增加的判断标准</w:t>
      </w:r>
    </w:p>
    <w:p w:rsidR="00C1183B" w:rsidRDefault="002D376B">
      <w:pPr>
        <w:pStyle w:val="a3"/>
        <w:spacing w:before="0" w:beforeAutospacing="0" w:after="0" w:afterAutospacing="0" w:line="400" w:lineRule="atLeast"/>
        <w:ind w:firstLine="360"/>
        <w:jc w:val="both"/>
        <w:divId w:val="971516771"/>
      </w:pPr>
      <w:r>
        <w:rPr>
          <w:rFonts w:hint="eastAsia"/>
          <w:sz w:val="18"/>
          <w:szCs w:val="18"/>
        </w:rPr>
        <w:t>如果某项金融资产在资产负债表日确定的预计存续期内的违约概率显著高于在初始确认</w:t>
      </w:r>
      <w:r>
        <w:rPr>
          <w:rFonts w:hint="eastAsia"/>
          <w:color w:val="000000"/>
          <w:sz w:val="18"/>
          <w:szCs w:val="18"/>
        </w:rPr>
        <w:t>时确定的预计存续期内的违约概率，则表明该项金融资产的信用风险显著增加。</w:t>
      </w:r>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w:t>
      </w:r>
      <w:r>
        <w:rPr>
          <w:rFonts w:ascii="Arial" w:hAnsi="Arial" w:cs="Arial"/>
          <w:color w:val="000000"/>
          <w:sz w:val="18"/>
          <w:szCs w:val="18"/>
        </w:rPr>
        <w:t>3</w:t>
      </w:r>
      <w:r>
        <w:rPr>
          <w:rFonts w:hint="eastAsia"/>
          <w:color w:val="000000"/>
          <w:sz w:val="18"/>
          <w:szCs w:val="18"/>
        </w:rPr>
        <w:t>）以组合为基础评估预期信用风险的组合方法</w:t>
      </w:r>
    </w:p>
    <w:p w:rsidR="00C1183B" w:rsidRDefault="002D376B">
      <w:pPr>
        <w:pStyle w:val="a3"/>
        <w:spacing w:before="0" w:beforeAutospacing="0" w:after="0" w:afterAutospacing="0" w:line="400" w:lineRule="atLeast"/>
        <w:ind w:firstLine="360"/>
        <w:jc w:val="both"/>
        <w:divId w:val="971516771"/>
      </w:pPr>
      <w:r>
        <w:rPr>
          <w:rFonts w:hint="eastAsia"/>
          <w:sz w:val="18"/>
          <w:szCs w:val="18"/>
        </w:rPr>
        <w:t>本公司对信用风险显著不同的金融资产单项评价信用风险，如：应收关联方款项；与对方存在争议或涉及诉讼、仲裁的应收款项；已有明显迹象表明债务人很可能无法履行还款义务的应收款项等。</w:t>
      </w:r>
    </w:p>
    <w:p w:rsidR="00C1183B" w:rsidRDefault="002D376B">
      <w:pPr>
        <w:pStyle w:val="a3"/>
        <w:spacing w:before="0" w:beforeAutospacing="0" w:after="0" w:afterAutospacing="0" w:line="400" w:lineRule="atLeast"/>
        <w:ind w:firstLine="360"/>
        <w:divId w:val="971516771"/>
      </w:pPr>
      <w:r>
        <w:rPr>
          <w:rFonts w:hint="eastAsia"/>
          <w:sz w:val="18"/>
          <w:szCs w:val="18"/>
        </w:rPr>
        <w:t>除了单项评估信用风险的金融资产外，本公司基于共同风险特征将金融资产划分为不同的组别，本公司采用的共同信用风险特征包括：金融工具类型、信用风险评级、账龄组合、逾期账龄组合、合同结算周期等，在组合的基础上评估信用风险。</w:t>
      </w:r>
    </w:p>
    <w:p w:rsidR="00C1183B" w:rsidRDefault="002D376B">
      <w:pPr>
        <w:pStyle w:val="a3"/>
        <w:spacing w:before="0" w:beforeAutospacing="0" w:after="0" w:afterAutospacing="0" w:line="400" w:lineRule="atLeast"/>
        <w:ind w:firstLine="360"/>
        <w:divId w:val="971516771"/>
      </w:pPr>
      <w:r>
        <w:rPr>
          <w:rFonts w:hint="eastAsia"/>
          <w:sz w:val="18"/>
          <w:szCs w:val="18"/>
        </w:rPr>
        <w:t>（</w:t>
      </w:r>
      <w:r>
        <w:rPr>
          <w:rFonts w:ascii="Arial" w:hAnsi="Arial" w:cs="Arial"/>
          <w:sz w:val="18"/>
          <w:szCs w:val="18"/>
        </w:rPr>
        <w:t>4</w:t>
      </w:r>
      <w:r>
        <w:rPr>
          <w:rFonts w:hint="eastAsia"/>
          <w:sz w:val="18"/>
          <w:szCs w:val="18"/>
        </w:rPr>
        <w:t>）金融资产减值的会计处理方法</w:t>
      </w:r>
    </w:p>
    <w:p w:rsidR="00C1183B" w:rsidRDefault="002D376B">
      <w:pPr>
        <w:pStyle w:val="a3"/>
        <w:spacing w:before="0" w:beforeAutospacing="0" w:after="0" w:afterAutospacing="0" w:line="400" w:lineRule="atLeast"/>
        <w:ind w:firstLine="360"/>
        <w:divId w:val="971516771"/>
      </w:pPr>
      <w:r>
        <w:rPr>
          <w:rFonts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rsidR="00C1183B" w:rsidRDefault="002D376B">
      <w:pPr>
        <w:pStyle w:val="a3"/>
        <w:spacing w:before="0" w:beforeAutospacing="0" w:after="0" w:afterAutospacing="0" w:line="400" w:lineRule="atLeast"/>
        <w:ind w:firstLine="360"/>
        <w:divId w:val="971516771"/>
      </w:pPr>
      <w:r>
        <w:rPr>
          <w:rFonts w:hint="eastAsia"/>
          <w:sz w:val="18"/>
          <w:szCs w:val="18"/>
        </w:rPr>
        <w:t>（</w:t>
      </w:r>
      <w:r>
        <w:rPr>
          <w:rFonts w:ascii="Arial" w:hAnsi="Arial" w:cs="Arial"/>
          <w:sz w:val="18"/>
          <w:szCs w:val="18"/>
        </w:rPr>
        <w:t>5</w:t>
      </w:r>
      <w:r>
        <w:rPr>
          <w:rFonts w:hint="eastAsia"/>
          <w:sz w:val="18"/>
          <w:szCs w:val="18"/>
        </w:rPr>
        <w:t>）各类金融资产信用损失的确定方法</w:t>
      </w:r>
    </w:p>
    <w:p w:rsidR="00C1183B" w:rsidRDefault="002D376B">
      <w:pPr>
        <w:pStyle w:val="a3"/>
        <w:spacing w:before="0" w:beforeAutospacing="0" w:after="0" w:afterAutospacing="0" w:line="400" w:lineRule="atLeast"/>
        <w:ind w:firstLine="360"/>
        <w:divId w:val="971516771"/>
      </w:pPr>
      <w:r>
        <w:rPr>
          <w:rFonts w:hint="eastAsia"/>
          <w:sz w:val="18"/>
          <w:szCs w:val="18"/>
        </w:rPr>
        <w:t>①应收票据</w:t>
      </w:r>
    </w:p>
    <w:p w:rsidR="00C1183B" w:rsidRDefault="002D376B">
      <w:pPr>
        <w:pStyle w:val="a3"/>
        <w:spacing w:before="0" w:beforeAutospacing="0" w:after="0" w:afterAutospacing="0" w:line="400" w:lineRule="atLeast"/>
        <w:ind w:firstLine="360"/>
        <w:jc w:val="both"/>
        <w:divId w:val="971516771"/>
      </w:pPr>
      <w:r>
        <w:rPr>
          <w:rFonts w:hint="eastAsia"/>
          <w:sz w:val="18"/>
          <w:szCs w:val="18"/>
        </w:rPr>
        <w:t>本公司对于应收票据</w:t>
      </w:r>
      <w:r>
        <w:rPr>
          <w:rFonts w:hint="eastAsia"/>
          <w:color w:val="000000"/>
          <w:sz w:val="18"/>
          <w:szCs w:val="18"/>
        </w:rPr>
        <w:t>按照相当于整个存续期内的预期信用损失金额计量损失准备。基于应收票据的信用风险特征，将其划分为不同组合：</w:t>
      </w:r>
    </w:p>
    <w:tbl>
      <w:tblPr>
        <w:tblW w:w="9543" w:type="dxa"/>
        <w:tblCellMar>
          <w:left w:w="0" w:type="dxa"/>
          <w:right w:w="0" w:type="dxa"/>
        </w:tblCellMar>
        <w:tblLook w:val="04A0" w:firstRow="1" w:lastRow="0" w:firstColumn="1" w:lastColumn="0" w:noHBand="0" w:noVBand="1"/>
      </w:tblPr>
      <w:tblGrid>
        <w:gridCol w:w="3216"/>
        <w:gridCol w:w="6327"/>
      </w:tblGrid>
      <w:tr w:rsidR="00C1183B" w:rsidTr="00922E9A">
        <w:trPr>
          <w:divId w:val="971516771"/>
          <w:trHeight w:val="385"/>
          <w:tblHeader/>
        </w:trPr>
        <w:tc>
          <w:tcPr>
            <w:tcW w:w="3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项</w:t>
            </w:r>
            <w:r>
              <w:rPr>
                <w:rFonts w:ascii="Arial" w:hAnsi="Arial" w:cs="Arial"/>
                <w:sz w:val="18"/>
                <w:szCs w:val="18"/>
              </w:rPr>
              <w:t xml:space="preserve">  </w:t>
            </w:r>
            <w:r>
              <w:rPr>
                <w:rFonts w:hint="eastAsia"/>
                <w:sz w:val="18"/>
                <w:szCs w:val="18"/>
              </w:rPr>
              <w:t>目</w:t>
            </w:r>
          </w:p>
        </w:tc>
        <w:tc>
          <w:tcPr>
            <w:tcW w:w="6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ind w:firstLine="360"/>
              <w:jc w:val="center"/>
            </w:pPr>
            <w:r>
              <w:rPr>
                <w:rFonts w:hint="eastAsia"/>
                <w:sz w:val="18"/>
                <w:szCs w:val="18"/>
              </w:rPr>
              <w:t>确定组合的依据</w:t>
            </w:r>
          </w:p>
        </w:tc>
      </w:tr>
      <w:tr w:rsidR="00C1183B" w:rsidTr="00922E9A">
        <w:trPr>
          <w:divId w:val="971516771"/>
          <w:trHeight w:val="306"/>
        </w:trPr>
        <w:tc>
          <w:tcPr>
            <w:tcW w:w="3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银行承兑汇票</w:t>
            </w:r>
          </w:p>
        </w:tc>
        <w:tc>
          <w:tcPr>
            <w:tcW w:w="63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按照承兑人划分</w:t>
            </w:r>
          </w:p>
        </w:tc>
      </w:tr>
      <w:tr w:rsidR="00C1183B" w:rsidTr="00922E9A">
        <w:trPr>
          <w:divId w:val="971516771"/>
          <w:trHeight w:val="306"/>
        </w:trPr>
        <w:tc>
          <w:tcPr>
            <w:tcW w:w="3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商业承兑汇票</w:t>
            </w:r>
          </w:p>
        </w:tc>
        <w:tc>
          <w:tcPr>
            <w:tcW w:w="63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按照承兑人划分</w:t>
            </w:r>
          </w:p>
        </w:tc>
      </w:tr>
    </w:tbl>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②应收账款及合同资产</w:t>
      </w:r>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对于不含重大融资成分的应收款项和合同资产，本公司按照相当于整个存续期内的预期信用损失金额计量损失准备。</w:t>
      </w:r>
    </w:p>
    <w:p w:rsidR="00C1183B" w:rsidRDefault="002D376B">
      <w:pPr>
        <w:pStyle w:val="a3"/>
        <w:spacing w:before="0" w:beforeAutospacing="0" w:after="0" w:afterAutospacing="0" w:line="400" w:lineRule="atLeast"/>
        <w:ind w:firstLine="360"/>
        <w:jc w:val="both"/>
        <w:divId w:val="971516771"/>
      </w:pPr>
      <w:r>
        <w:rPr>
          <w:rFonts w:hint="eastAsia"/>
          <w:color w:val="000000"/>
          <w:sz w:val="18"/>
          <w:szCs w:val="18"/>
        </w:rPr>
        <w:t>对于包含重大融资成分的应收款项、合同资产，本公</w:t>
      </w:r>
      <w:r>
        <w:rPr>
          <w:rFonts w:hint="eastAsia"/>
          <w:sz w:val="18"/>
          <w:szCs w:val="18"/>
        </w:rPr>
        <w:t>司选择始终按照相当于存续期内预期信用损失的金额计量损失准备。</w:t>
      </w:r>
    </w:p>
    <w:p w:rsidR="00C1183B" w:rsidRDefault="002D376B">
      <w:pPr>
        <w:pStyle w:val="a3"/>
        <w:spacing w:before="0" w:beforeAutospacing="0" w:after="0" w:afterAutospacing="0" w:line="400" w:lineRule="atLeast"/>
        <w:ind w:firstLine="360"/>
        <w:jc w:val="both"/>
        <w:divId w:val="971516771"/>
      </w:pPr>
      <w:r>
        <w:rPr>
          <w:rFonts w:hint="eastAsia"/>
          <w:sz w:val="18"/>
          <w:szCs w:val="18"/>
        </w:rPr>
        <w:t>除了单项评估信用风险的应收账款外，</w:t>
      </w:r>
      <w:r>
        <w:rPr>
          <w:rFonts w:hint="eastAsia"/>
          <w:color w:val="000000"/>
          <w:sz w:val="18"/>
          <w:szCs w:val="18"/>
        </w:rPr>
        <w:t>基于其信用风险特征，将其划分为不同组合：</w:t>
      </w:r>
    </w:p>
    <w:tbl>
      <w:tblPr>
        <w:tblW w:w="9606" w:type="dxa"/>
        <w:tblCellMar>
          <w:left w:w="0" w:type="dxa"/>
          <w:right w:w="0" w:type="dxa"/>
        </w:tblCellMar>
        <w:tblLook w:val="04A0" w:firstRow="1" w:lastRow="0" w:firstColumn="1" w:lastColumn="0" w:noHBand="0" w:noVBand="1"/>
      </w:tblPr>
      <w:tblGrid>
        <w:gridCol w:w="2755"/>
        <w:gridCol w:w="6851"/>
      </w:tblGrid>
      <w:tr w:rsidR="00C1183B" w:rsidTr="00922E9A">
        <w:trPr>
          <w:divId w:val="971516771"/>
          <w:trHeight w:val="378"/>
          <w:tblHeader/>
        </w:trPr>
        <w:tc>
          <w:tcPr>
            <w:tcW w:w="27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项</w:t>
            </w:r>
            <w:r>
              <w:rPr>
                <w:rFonts w:ascii="Arial" w:hAnsi="Arial" w:cs="Arial"/>
                <w:sz w:val="18"/>
                <w:szCs w:val="18"/>
              </w:rPr>
              <w:t xml:space="preserve">  </w:t>
            </w:r>
            <w:r>
              <w:rPr>
                <w:rFonts w:hint="eastAsia"/>
                <w:sz w:val="18"/>
                <w:szCs w:val="18"/>
              </w:rPr>
              <w:t>目</w:t>
            </w:r>
          </w:p>
        </w:tc>
        <w:tc>
          <w:tcPr>
            <w:tcW w:w="6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ind w:firstLine="360"/>
              <w:jc w:val="center"/>
            </w:pPr>
            <w:r>
              <w:rPr>
                <w:rFonts w:hint="eastAsia"/>
                <w:sz w:val="18"/>
                <w:szCs w:val="18"/>
              </w:rPr>
              <w:t>确定组合的依据</w:t>
            </w:r>
          </w:p>
        </w:tc>
      </w:tr>
      <w:tr w:rsidR="00C1183B" w:rsidTr="00922E9A">
        <w:trPr>
          <w:divId w:val="971516771"/>
          <w:trHeight w:val="300"/>
        </w:trPr>
        <w:tc>
          <w:tcPr>
            <w:tcW w:w="27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账龄组合</w:t>
            </w:r>
          </w:p>
        </w:tc>
        <w:tc>
          <w:tcPr>
            <w:tcW w:w="6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参考历史信用损失经验，结合当前状况以及对未来经济账龄组合</w:t>
            </w:r>
          </w:p>
          <w:p w:rsidR="00C1183B" w:rsidRDefault="002D376B">
            <w:pPr>
              <w:pStyle w:val="a3"/>
              <w:spacing w:before="0" w:beforeAutospacing="0" w:after="0" w:afterAutospacing="0" w:line="400" w:lineRule="atLeast"/>
            </w:pPr>
            <w:r>
              <w:rPr>
                <w:rFonts w:hint="eastAsia"/>
                <w:sz w:val="18"/>
                <w:szCs w:val="18"/>
              </w:rPr>
              <w:t>本组合以应收款项的账龄作为信用风险特征状况的预测，编制应收款项账龄与预期信用损失率对照表，计算预期信用损失。</w:t>
            </w:r>
          </w:p>
        </w:tc>
      </w:tr>
      <w:tr w:rsidR="00C1183B" w:rsidTr="00922E9A">
        <w:trPr>
          <w:divId w:val="971516771"/>
          <w:trHeight w:val="300"/>
        </w:trPr>
        <w:tc>
          <w:tcPr>
            <w:tcW w:w="27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合并范围内关联方组合</w:t>
            </w:r>
          </w:p>
        </w:tc>
        <w:tc>
          <w:tcPr>
            <w:tcW w:w="6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参考历史信用损失经验，结合当前状况及未来经济状况的预测，通过违约风险敞口和未来</w:t>
            </w:r>
            <w:r w:rsidRPr="00922E9A">
              <w:rPr>
                <w:rFonts w:asciiTheme="minorEastAsia" w:eastAsiaTheme="minorEastAsia" w:hAnsiTheme="minorEastAsia" w:cs="Arial"/>
                <w:sz w:val="18"/>
                <w:szCs w:val="18"/>
              </w:rPr>
              <w:t>12</w:t>
            </w:r>
            <w:r>
              <w:rPr>
                <w:rFonts w:hint="eastAsia"/>
                <w:sz w:val="18"/>
                <w:szCs w:val="18"/>
              </w:rPr>
              <w:t>个月或整个存续期内关联方公司款项预期信用损失率，计算预期信用损失。此类款项发生坏账损失的可能性极小。</w:t>
            </w:r>
          </w:p>
        </w:tc>
      </w:tr>
    </w:tbl>
    <w:p w:rsidR="00C1183B" w:rsidRDefault="002D376B">
      <w:pPr>
        <w:pStyle w:val="a3"/>
        <w:spacing w:before="0" w:beforeAutospacing="0" w:after="0" w:afterAutospacing="0" w:line="400" w:lineRule="atLeast"/>
        <w:ind w:firstLine="360"/>
        <w:divId w:val="971516771"/>
      </w:pPr>
      <w:r>
        <w:rPr>
          <w:rFonts w:ascii="Arial" w:hAnsi="Arial" w:cs="Arial"/>
          <w:sz w:val="18"/>
          <w:szCs w:val="18"/>
        </w:rPr>
        <w:lastRenderedPageBreak/>
        <w:t>   a</w:t>
      </w:r>
      <w:r>
        <w:rPr>
          <w:rFonts w:hint="eastAsia"/>
          <w:sz w:val="18"/>
          <w:szCs w:val="18"/>
        </w:rPr>
        <w:t>、本公司应收款项账龄从发生日开始计算</w:t>
      </w:r>
      <w:r>
        <w:rPr>
          <w:rFonts w:hint="eastAsia"/>
          <w:color w:val="0000FF"/>
          <w:sz w:val="18"/>
          <w:szCs w:val="18"/>
        </w:rPr>
        <w:t>。</w:t>
      </w:r>
    </w:p>
    <w:p w:rsidR="00C1183B" w:rsidRDefault="002D376B">
      <w:pPr>
        <w:pStyle w:val="a3"/>
        <w:spacing w:before="0" w:beforeAutospacing="0" w:after="0" w:afterAutospacing="0" w:line="400" w:lineRule="atLeast"/>
        <w:ind w:left="482"/>
        <w:jc w:val="both"/>
        <w:divId w:val="971516771"/>
      </w:pPr>
      <w:r>
        <w:rPr>
          <w:rFonts w:hint="eastAsia"/>
          <w:sz w:val="18"/>
          <w:szCs w:val="18"/>
        </w:rPr>
        <w:t>组合中，采用账龄组合计提预期信用损失的组合计提方法：</w:t>
      </w:r>
    </w:p>
    <w:tbl>
      <w:tblPr>
        <w:tblW w:w="4914" w:type="pct"/>
        <w:tblCellMar>
          <w:left w:w="0" w:type="dxa"/>
          <w:right w:w="0" w:type="dxa"/>
        </w:tblCellMar>
        <w:tblLook w:val="04A0" w:firstRow="1" w:lastRow="0" w:firstColumn="1" w:lastColumn="0" w:noHBand="0" w:noVBand="1"/>
      </w:tblPr>
      <w:tblGrid>
        <w:gridCol w:w="2419"/>
        <w:gridCol w:w="3422"/>
        <w:gridCol w:w="3685"/>
      </w:tblGrid>
      <w:tr w:rsidR="00C1183B" w:rsidTr="00922E9A">
        <w:trPr>
          <w:divId w:val="971516771"/>
          <w:trHeight w:val="475"/>
          <w:tblHeader/>
        </w:trPr>
        <w:tc>
          <w:tcPr>
            <w:tcW w:w="127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center"/>
              <w:rPr>
                <w:rFonts w:asciiTheme="minorEastAsia" w:eastAsiaTheme="minorEastAsia" w:hAnsiTheme="minorEastAsia"/>
              </w:rPr>
            </w:pPr>
            <w:r w:rsidRPr="00922E9A">
              <w:rPr>
                <w:rFonts w:asciiTheme="minorEastAsia" w:eastAsiaTheme="minorEastAsia" w:hAnsiTheme="minorEastAsia" w:hint="eastAsia"/>
                <w:sz w:val="18"/>
                <w:szCs w:val="18"/>
              </w:rPr>
              <w:t>账龄</w:t>
            </w:r>
          </w:p>
        </w:tc>
        <w:tc>
          <w:tcPr>
            <w:tcW w:w="179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center"/>
              <w:rPr>
                <w:rFonts w:asciiTheme="minorEastAsia" w:eastAsiaTheme="minorEastAsia" w:hAnsiTheme="minorEastAsia"/>
              </w:rPr>
            </w:pPr>
            <w:r w:rsidRPr="00922E9A">
              <w:rPr>
                <w:rFonts w:asciiTheme="minorEastAsia" w:eastAsiaTheme="minorEastAsia" w:hAnsiTheme="minorEastAsia" w:hint="eastAsia"/>
                <w:sz w:val="18"/>
                <w:szCs w:val="18"/>
              </w:rPr>
              <w:t>应收账款计提比例（</w:t>
            </w:r>
            <w:r w:rsidRPr="00922E9A">
              <w:rPr>
                <w:rFonts w:asciiTheme="minorEastAsia" w:eastAsiaTheme="minorEastAsia" w:hAnsiTheme="minorEastAsia" w:cs="Arial"/>
                <w:sz w:val="18"/>
                <w:szCs w:val="18"/>
              </w:rPr>
              <w:t>%</w:t>
            </w:r>
            <w:r w:rsidRPr="00922E9A">
              <w:rPr>
                <w:rFonts w:asciiTheme="minorEastAsia" w:eastAsiaTheme="minorEastAsia" w:hAnsiTheme="minorEastAsia" w:hint="eastAsia"/>
                <w:sz w:val="18"/>
                <w:szCs w:val="18"/>
              </w:rPr>
              <w:t>）</w:t>
            </w:r>
          </w:p>
        </w:tc>
        <w:tc>
          <w:tcPr>
            <w:tcW w:w="193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center"/>
              <w:rPr>
                <w:rFonts w:asciiTheme="minorEastAsia" w:eastAsiaTheme="minorEastAsia" w:hAnsiTheme="minorEastAsia"/>
              </w:rPr>
            </w:pPr>
            <w:r w:rsidRPr="00922E9A">
              <w:rPr>
                <w:rFonts w:asciiTheme="minorEastAsia" w:eastAsiaTheme="minorEastAsia" w:hAnsiTheme="minorEastAsia" w:hint="eastAsia"/>
                <w:sz w:val="18"/>
                <w:szCs w:val="18"/>
              </w:rPr>
              <w:t>其他应收款计提比例（</w:t>
            </w:r>
            <w:r w:rsidRPr="00922E9A">
              <w:rPr>
                <w:rFonts w:asciiTheme="minorEastAsia" w:eastAsiaTheme="minorEastAsia" w:hAnsiTheme="minorEastAsia" w:cs="Arial"/>
                <w:sz w:val="18"/>
                <w:szCs w:val="18"/>
              </w:rPr>
              <w:t>%</w:t>
            </w:r>
            <w:r w:rsidRPr="00922E9A">
              <w:rPr>
                <w:rFonts w:asciiTheme="minorEastAsia" w:eastAsiaTheme="minorEastAsia" w:hAnsiTheme="minorEastAsia" w:hint="eastAsia"/>
                <w:sz w:val="18"/>
                <w:szCs w:val="18"/>
              </w:rPr>
              <w:t>）</w:t>
            </w:r>
          </w:p>
        </w:tc>
      </w:tr>
      <w:tr w:rsidR="00C1183B" w:rsidTr="00922E9A">
        <w:trPr>
          <w:divId w:val="971516771"/>
          <w:trHeight w:val="300"/>
        </w:trPr>
        <w:tc>
          <w:tcPr>
            <w:tcW w:w="12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rPr>
                <w:rFonts w:asciiTheme="minorEastAsia" w:eastAsiaTheme="minorEastAsia" w:hAnsiTheme="minorEastAsia"/>
              </w:rPr>
            </w:pPr>
            <w:r w:rsidRPr="00922E9A">
              <w:rPr>
                <w:rFonts w:asciiTheme="minorEastAsia" w:eastAsiaTheme="minorEastAsia" w:hAnsiTheme="minorEastAsia" w:cs="Arial"/>
                <w:sz w:val="18"/>
                <w:szCs w:val="18"/>
              </w:rPr>
              <w:t>1</w:t>
            </w:r>
            <w:r w:rsidRPr="00922E9A">
              <w:rPr>
                <w:rFonts w:asciiTheme="minorEastAsia" w:eastAsiaTheme="minorEastAsia" w:hAnsiTheme="minorEastAsia" w:hint="eastAsia"/>
                <w:sz w:val="18"/>
                <w:szCs w:val="18"/>
              </w:rPr>
              <w:t>年以内</w:t>
            </w:r>
          </w:p>
        </w:tc>
        <w:tc>
          <w:tcPr>
            <w:tcW w:w="17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5.00</w:t>
            </w:r>
          </w:p>
        </w:tc>
        <w:tc>
          <w:tcPr>
            <w:tcW w:w="193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5.00</w:t>
            </w:r>
          </w:p>
        </w:tc>
      </w:tr>
      <w:tr w:rsidR="00C1183B" w:rsidTr="00922E9A">
        <w:trPr>
          <w:divId w:val="971516771"/>
          <w:trHeight w:val="300"/>
        </w:trPr>
        <w:tc>
          <w:tcPr>
            <w:tcW w:w="12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rPr>
                <w:rFonts w:asciiTheme="minorEastAsia" w:eastAsiaTheme="minorEastAsia" w:hAnsiTheme="minorEastAsia"/>
              </w:rPr>
            </w:pPr>
            <w:r w:rsidRPr="00922E9A">
              <w:rPr>
                <w:rFonts w:asciiTheme="minorEastAsia" w:eastAsiaTheme="minorEastAsia" w:hAnsiTheme="minorEastAsia" w:cs="Arial"/>
                <w:sz w:val="18"/>
                <w:szCs w:val="18"/>
              </w:rPr>
              <w:t>1-2</w:t>
            </w:r>
            <w:r w:rsidRPr="00922E9A">
              <w:rPr>
                <w:rFonts w:asciiTheme="minorEastAsia" w:eastAsiaTheme="minorEastAsia" w:hAnsiTheme="minorEastAsia" w:hint="eastAsia"/>
                <w:sz w:val="18"/>
                <w:szCs w:val="18"/>
              </w:rPr>
              <w:t>年</w:t>
            </w:r>
          </w:p>
        </w:tc>
        <w:tc>
          <w:tcPr>
            <w:tcW w:w="17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10.00</w:t>
            </w:r>
          </w:p>
        </w:tc>
        <w:tc>
          <w:tcPr>
            <w:tcW w:w="193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10.00</w:t>
            </w:r>
          </w:p>
        </w:tc>
      </w:tr>
      <w:tr w:rsidR="00C1183B" w:rsidTr="00922E9A">
        <w:trPr>
          <w:divId w:val="971516771"/>
          <w:trHeight w:val="300"/>
        </w:trPr>
        <w:tc>
          <w:tcPr>
            <w:tcW w:w="12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rPr>
                <w:rFonts w:asciiTheme="minorEastAsia" w:eastAsiaTheme="minorEastAsia" w:hAnsiTheme="minorEastAsia"/>
              </w:rPr>
            </w:pPr>
            <w:r w:rsidRPr="00922E9A">
              <w:rPr>
                <w:rFonts w:asciiTheme="minorEastAsia" w:eastAsiaTheme="minorEastAsia" w:hAnsiTheme="minorEastAsia" w:cs="Arial"/>
                <w:sz w:val="18"/>
                <w:szCs w:val="18"/>
              </w:rPr>
              <w:t>2-3</w:t>
            </w:r>
            <w:r w:rsidRPr="00922E9A">
              <w:rPr>
                <w:rFonts w:asciiTheme="minorEastAsia" w:eastAsiaTheme="minorEastAsia" w:hAnsiTheme="minorEastAsia" w:hint="eastAsia"/>
                <w:sz w:val="18"/>
                <w:szCs w:val="18"/>
              </w:rPr>
              <w:t>年</w:t>
            </w:r>
          </w:p>
        </w:tc>
        <w:tc>
          <w:tcPr>
            <w:tcW w:w="17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30.00</w:t>
            </w:r>
          </w:p>
        </w:tc>
        <w:tc>
          <w:tcPr>
            <w:tcW w:w="193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30.00</w:t>
            </w:r>
          </w:p>
        </w:tc>
      </w:tr>
      <w:tr w:rsidR="00C1183B" w:rsidTr="00922E9A">
        <w:trPr>
          <w:divId w:val="971516771"/>
          <w:trHeight w:val="300"/>
        </w:trPr>
        <w:tc>
          <w:tcPr>
            <w:tcW w:w="12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rPr>
                <w:rFonts w:asciiTheme="minorEastAsia" w:eastAsiaTheme="minorEastAsia" w:hAnsiTheme="minorEastAsia"/>
              </w:rPr>
            </w:pPr>
            <w:r w:rsidRPr="00922E9A">
              <w:rPr>
                <w:rFonts w:asciiTheme="minorEastAsia" w:eastAsiaTheme="minorEastAsia" w:hAnsiTheme="minorEastAsia" w:cs="Arial"/>
                <w:sz w:val="18"/>
                <w:szCs w:val="18"/>
              </w:rPr>
              <w:t>3-4</w:t>
            </w:r>
            <w:r w:rsidRPr="00922E9A">
              <w:rPr>
                <w:rFonts w:asciiTheme="minorEastAsia" w:eastAsiaTheme="minorEastAsia" w:hAnsiTheme="minorEastAsia" w:hint="eastAsia"/>
                <w:sz w:val="18"/>
                <w:szCs w:val="18"/>
              </w:rPr>
              <w:t>年</w:t>
            </w:r>
          </w:p>
        </w:tc>
        <w:tc>
          <w:tcPr>
            <w:tcW w:w="17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50.00</w:t>
            </w:r>
          </w:p>
        </w:tc>
        <w:tc>
          <w:tcPr>
            <w:tcW w:w="193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50.00</w:t>
            </w:r>
          </w:p>
        </w:tc>
      </w:tr>
      <w:tr w:rsidR="00C1183B" w:rsidTr="00922E9A">
        <w:trPr>
          <w:divId w:val="971516771"/>
          <w:trHeight w:val="300"/>
        </w:trPr>
        <w:tc>
          <w:tcPr>
            <w:tcW w:w="12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rPr>
                <w:rFonts w:asciiTheme="minorEastAsia" w:eastAsiaTheme="minorEastAsia" w:hAnsiTheme="minorEastAsia"/>
              </w:rPr>
            </w:pPr>
            <w:r w:rsidRPr="00922E9A">
              <w:rPr>
                <w:rFonts w:asciiTheme="minorEastAsia" w:eastAsiaTheme="minorEastAsia" w:hAnsiTheme="minorEastAsia" w:cs="Arial"/>
                <w:sz w:val="18"/>
                <w:szCs w:val="18"/>
              </w:rPr>
              <w:t>4-5</w:t>
            </w:r>
            <w:r w:rsidRPr="00922E9A">
              <w:rPr>
                <w:rFonts w:asciiTheme="minorEastAsia" w:eastAsiaTheme="minorEastAsia" w:hAnsiTheme="minorEastAsia" w:hint="eastAsia"/>
                <w:sz w:val="18"/>
                <w:szCs w:val="18"/>
              </w:rPr>
              <w:t>年</w:t>
            </w:r>
          </w:p>
        </w:tc>
        <w:tc>
          <w:tcPr>
            <w:tcW w:w="17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80.00</w:t>
            </w:r>
          </w:p>
        </w:tc>
        <w:tc>
          <w:tcPr>
            <w:tcW w:w="193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80.00</w:t>
            </w:r>
          </w:p>
        </w:tc>
      </w:tr>
      <w:tr w:rsidR="00C1183B" w:rsidTr="00922E9A">
        <w:trPr>
          <w:divId w:val="971516771"/>
          <w:trHeight w:val="300"/>
        </w:trPr>
        <w:tc>
          <w:tcPr>
            <w:tcW w:w="127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rPr>
                <w:rFonts w:asciiTheme="minorEastAsia" w:eastAsiaTheme="minorEastAsia" w:hAnsiTheme="minorEastAsia"/>
              </w:rPr>
            </w:pPr>
            <w:r w:rsidRPr="00922E9A">
              <w:rPr>
                <w:rFonts w:asciiTheme="minorEastAsia" w:eastAsiaTheme="minorEastAsia" w:hAnsiTheme="minorEastAsia" w:cs="Arial"/>
                <w:sz w:val="18"/>
                <w:szCs w:val="18"/>
              </w:rPr>
              <w:t>5</w:t>
            </w:r>
            <w:r w:rsidRPr="00922E9A">
              <w:rPr>
                <w:rFonts w:asciiTheme="minorEastAsia" w:eastAsiaTheme="minorEastAsia" w:hAnsiTheme="minorEastAsia" w:hint="eastAsia"/>
                <w:sz w:val="18"/>
                <w:szCs w:val="18"/>
              </w:rPr>
              <w:t>年以上</w:t>
            </w:r>
          </w:p>
        </w:tc>
        <w:tc>
          <w:tcPr>
            <w:tcW w:w="1796"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100.00</w:t>
            </w:r>
          </w:p>
        </w:tc>
        <w:tc>
          <w:tcPr>
            <w:tcW w:w="193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Pr="00922E9A" w:rsidRDefault="002D376B">
            <w:pPr>
              <w:pStyle w:val="a3"/>
              <w:spacing w:before="0" w:beforeAutospacing="0" w:after="0" w:afterAutospacing="0" w:line="400" w:lineRule="atLeast"/>
              <w:jc w:val="right"/>
              <w:rPr>
                <w:rFonts w:asciiTheme="minorEastAsia" w:eastAsiaTheme="minorEastAsia" w:hAnsiTheme="minorEastAsia"/>
              </w:rPr>
            </w:pPr>
            <w:r w:rsidRPr="00922E9A">
              <w:rPr>
                <w:rFonts w:asciiTheme="minorEastAsia" w:eastAsiaTheme="minorEastAsia" w:hAnsiTheme="minorEastAsia" w:cs="Arial"/>
                <w:sz w:val="18"/>
                <w:szCs w:val="18"/>
              </w:rPr>
              <w:t>100.00</w:t>
            </w:r>
          </w:p>
        </w:tc>
      </w:tr>
    </w:tbl>
    <w:p w:rsidR="00C1183B" w:rsidRDefault="002D376B">
      <w:pPr>
        <w:pStyle w:val="a3"/>
        <w:spacing w:before="0" w:beforeAutospacing="0" w:after="0" w:afterAutospacing="0" w:line="400" w:lineRule="atLeast"/>
        <w:ind w:left="420"/>
        <w:divId w:val="971516771"/>
      </w:pPr>
      <w:r>
        <w:rPr>
          <w:rFonts w:hint="eastAsia"/>
          <w:color w:val="000000"/>
          <w:sz w:val="18"/>
          <w:szCs w:val="18"/>
        </w:rPr>
        <w:t>③</w:t>
      </w:r>
      <w:r>
        <w:rPr>
          <w:rFonts w:hint="eastAsia"/>
          <w:sz w:val="18"/>
          <w:szCs w:val="18"/>
        </w:rPr>
        <w:t>应收款项融资</w:t>
      </w:r>
    </w:p>
    <w:p w:rsidR="00C1183B" w:rsidRPr="00922E9A" w:rsidRDefault="002D376B">
      <w:pPr>
        <w:pStyle w:val="a3"/>
        <w:spacing w:before="0" w:beforeAutospacing="0" w:after="0" w:afterAutospacing="0" w:line="400" w:lineRule="atLeast"/>
        <w:ind w:firstLine="360"/>
        <w:jc w:val="both"/>
        <w:divId w:val="971516771"/>
        <w:rPr>
          <w:rFonts w:asciiTheme="minorEastAsia" w:eastAsiaTheme="minorEastAsia" w:hAnsiTheme="minorEastAsia"/>
        </w:rPr>
      </w:pPr>
      <w:r w:rsidRPr="00922E9A">
        <w:rPr>
          <w:rFonts w:asciiTheme="minorEastAsia" w:eastAsiaTheme="minorEastAsia" w:hAnsiTheme="minorEastAsia" w:hint="eastAsia"/>
          <w:color w:val="000000"/>
          <w:sz w:val="18"/>
          <w:szCs w:val="18"/>
        </w:rPr>
        <w:t>分类为以公允价值计量且其变动计入其他综合收益的应收票据，自取得起期限在一年内（含一年）的部分，列示为应收款项融资；自取得起期限在一年以上的，列示为其他债权投资。</w:t>
      </w:r>
    </w:p>
    <w:p w:rsidR="00C1183B" w:rsidRPr="00922E9A" w:rsidRDefault="002D376B">
      <w:pPr>
        <w:pStyle w:val="a3"/>
        <w:spacing w:before="0" w:beforeAutospacing="0" w:after="0" w:afterAutospacing="0" w:line="400" w:lineRule="atLeast"/>
        <w:ind w:firstLine="360"/>
        <w:jc w:val="both"/>
        <w:divId w:val="971516771"/>
        <w:rPr>
          <w:rFonts w:asciiTheme="minorEastAsia" w:eastAsiaTheme="minorEastAsia" w:hAnsiTheme="minorEastAsia"/>
        </w:rPr>
      </w:pPr>
      <w:r w:rsidRPr="00922E9A">
        <w:rPr>
          <w:rFonts w:asciiTheme="minorEastAsia" w:eastAsiaTheme="minorEastAsia" w:hAnsiTheme="minorEastAsia" w:hint="eastAsia"/>
          <w:color w:val="000000"/>
          <w:sz w:val="18"/>
          <w:szCs w:val="18"/>
        </w:rPr>
        <w:t>④其他应收款</w:t>
      </w:r>
    </w:p>
    <w:p w:rsidR="00C1183B" w:rsidRPr="00922E9A" w:rsidRDefault="002D376B">
      <w:pPr>
        <w:pStyle w:val="a3"/>
        <w:spacing w:before="0" w:beforeAutospacing="0" w:after="0" w:afterAutospacing="0" w:line="400" w:lineRule="atLeast"/>
        <w:ind w:firstLine="360"/>
        <w:divId w:val="971516771"/>
        <w:rPr>
          <w:rFonts w:asciiTheme="minorEastAsia" w:eastAsiaTheme="minorEastAsia" w:hAnsiTheme="minorEastAsia"/>
        </w:rPr>
      </w:pPr>
      <w:r w:rsidRPr="00922E9A">
        <w:rPr>
          <w:rFonts w:asciiTheme="minorEastAsia" w:eastAsiaTheme="minorEastAsia" w:hAnsiTheme="minorEastAsia" w:hint="eastAsia"/>
          <w:color w:val="000000"/>
          <w:sz w:val="18"/>
          <w:szCs w:val="18"/>
        </w:rPr>
        <w:t>本公司依据其他应收款信用风险自初始确认后是否已经显著增加，采用相当于未来</w:t>
      </w:r>
      <w:r w:rsidRPr="00922E9A">
        <w:rPr>
          <w:rFonts w:asciiTheme="minorEastAsia" w:eastAsiaTheme="minorEastAsia" w:hAnsiTheme="minorEastAsia" w:cs="Arial"/>
          <w:color w:val="000000"/>
          <w:sz w:val="18"/>
          <w:szCs w:val="18"/>
        </w:rPr>
        <w:t>12</w:t>
      </w:r>
      <w:r w:rsidRPr="00922E9A">
        <w:rPr>
          <w:rFonts w:asciiTheme="minorEastAsia" w:eastAsiaTheme="minorEastAsia" w:hAnsiTheme="minorEastAsia" w:hint="eastAsia"/>
          <w:color w:val="000000"/>
          <w:sz w:val="18"/>
          <w:szCs w:val="18"/>
        </w:rPr>
        <w:t>个月内、或整个存续期的预期信用损失的金额计量减值损失。</w:t>
      </w:r>
      <w:r w:rsidRPr="00922E9A">
        <w:rPr>
          <w:rFonts w:asciiTheme="minorEastAsia" w:eastAsiaTheme="minorEastAsia" w:hAnsiTheme="minorEastAsia" w:hint="eastAsia"/>
          <w:sz w:val="18"/>
          <w:szCs w:val="18"/>
        </w:rPr>
        <w:t>除了单项评估信用风险的其他应收款外，</w:t>
      </w:r>
      <w:r w:rsidRPr="00922E9A">
        <w:rPr>
          <w:rFonts w:asciiTheme="minorEastAsia" w:eastAsiaTheme="minorEastAsia" w:hAnsiTheme="minorEastAsia" w:hint="eastAsia"/>
          <w:color w:val="000000"/>
          <w:sz w:val="18"/>
          <w:szCs w:val="18"/>
        </w:rPr>
        <w:t>基于其信用风险特征，将其划分为不同组合：</w:t>
      </w:r>
    </w:p>
    <w:p w:rsidR="00C1183B" w:rsidRPr="00922E9A" w:rsidRDefault="002D376B">
      <w:pPr>
        <w:pStyle w:val="a3"/>
        <w:spacing w:before="0" w:beforeAutospacing="0" w:after="0" w:afterAutospacing="0" w:line="400" w:lineRule="atLeast"/>
        <w:ind w:firstLine="360"/>
        <w:divId w:val="971516771"/>
        <w:rPr>
          <w:rFonts w:asciiTheme="minorEastAsia" w:eastAsiaTheme="minorEastAsia" w:hAnsiTheme="minorEastAsia"/>
        </w:rPr>
      </w:pPr>
      <w:r w:rsidRPr="00922E9A">
        <w:rPr>
          <w:rFonts w:asciiTheme="minorEastAsia" w:eastAsiaTheme="minorEastAsia" w:hAnsiTheme="minorEastAsia" w:cs="Times New Roman"/>
          <w:sz w:val="21"/>
          <w:szCs w:val="21"/>
        </w:rPr>
        <w:t> </w:t>
      </w:r>
    </w:p>
    <w:tbl>
      <w:tblPr>
        <w:tblW w:w="9810" w:type="dxa"/>
        <w:tblCellMar>
          <w:left w:w="0" w:type="dxa"/>
          <w:right w:w="0" w:type="dxa"/>
        </w:tblCellMar>
        <w:tblLook w:val="04A0" w:firstRow="1" w:lastRow="0" w:firstColumn="1" w:lastColumn="0" w:noHBand="0" w:noVBand="1"/>
      </w:tblPr>
      <w:tblGrid>
        <w:gridCol w:w="2300"/>
        <w:gridCol w:w="7510"/>
      </w:tblGrid>
      <w:tr w:rsidR="00C1183B">
        <w:trPr>
          <w:divId w:val="971516771"/>
          <w:trHeight w:val="378"/>
          <w:tblHeader/>
        </w:trPr>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项</w:t>
            </w:r>
            <w:r>
              <w:rPr>
                <w:rFonts w:ascii="Arial" w:hAnsi="Arial" w:cs="Arial"/>
                <w:sz w:val="18"/>
                <w:szCs w:val="18"/>
              </w:rPr>
              <w:t xml:space="preserve">  </w:t>
            </w:r>
            <w:r>
              <w:rPr>
                <w:rFonts w:hint="eastAsia"/>
                <w:sz w:val="18"/>
                <w:szCs w:val="18"/>
              </w:rPr>
              <w:t>目</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ind w:firstLine="360"/>
              <w:jc w:val="center"/>
            </w:pPr>
            <w:r>
              <w:rPr>
                <w:rFonts w:hint="eastAsia"/>
                <w:sz w:val="18"/>
                <w:szCs w:val="18"/>
              </w:rPr>
              <w:t>确定组合的依据</w:t>
            </w:r>
          </w:p>
        </w:tc>
      </w:tr>
      <w:tr w:rsidR="00C1183B">
        <w:trPr>
          <w:divId w:val="971516771"/>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押金及保证金</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1183B" w:rsidRDefault="002D376B">
            <w:pPr>
              <w:pStyle w:val="a3"/>
              <w:spacing w:before="0" w:beforeAutospacing="0" w:after="0" w:afterAutospacing="0" w:line="400" w:lineRule="atLeast"/>
            </w:pPr>
            <w:r>
              <w:rPr>
                <w:rFonts w:hint="eastAsia"/>
                <w:sz w:val="18"/>
                <w:szCs w:val="18"/>
              </w:rPr>
              <w:t>本组合为日常经常活动中应收取的各类押金、代垫款、质保金等应收款项。</w:t>
            </w:r>
          </w:p>
        </w:tc>
      </w:tr>
      <w:tr w:rsidR="00C1183B">
        <w:trPr>
          <w:divId w:val="971516771"/>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pPr>
            <w:r>
              <w:rPr>
                <w:rFonts w:hint="eastAsia"/>
                <w:sz w:val="18"/>
                <w:szCs w:val="18"/>
              </w:rPr>
              <w:t>备用金</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1183B" w:rsidRDefault="002D376B">
            <w:pPr>
              <w:pStyle w:val="a3"/>
              <w:spacing w:before="0" w:beforeAutospacing="0" w:after="0" w:afterAutospacing="0" w:line="400" w:lineRule="atLeast"/>
            </w:pPr>
            <w:r>
              <w:rPr>
                <w:rFonts w:hint="eastAsia"/>
                <w:sz w:val="18"/>
                <w:szCs w:val="18"/>
              </w:rPr>
              <w:t>本组合为日常经常活动中支付给员工的备用金</w:t>
            </w:r>
          </w:p>
        </w:tc>
      </w:tr>
      <w:tr w:rsidR="00C1183B">
        <w:trPr>
          <w:divId w:val="971516771"/>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往来款</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pPr>
            <w:r>
              <w:rPr>
                <w:rFonts w:hint="eastAsia"/>
                <w:sz w:val="18"/>
                <w:szCs w:val="18"/>
              </w:rPr>
              <w:t>其他往来款项</w:t>
            </w:r>
          </w:p>
        </w:tc>
      </w:tr>
    </w:tbl>
    <w:p w:rsidR="00334CB7" w:rsidRDefault="002D376B">
      <w:pPr>
        <w:pStyle w:val="3"/>
        <w:spacing w:line="280" w:lineRule="exact"/>
        <w:jc w:val="left"/>
        <w:rPr>
          <w:rFonts w:ascii="宋体" w:hAnsi="宋体" w:cs="宋体"/>
          <w:b/>
          <w:bCs/>
        </w:rPr>
      </w:pPr>
      <w:bookmarkStart w:id="118" w:name="_Toc989006"/>
      <w:r>
        <w:rPr>
          <w:rFonts w:ascii="宋体" w:hAnsi="宋体" w:cs="宋体"/>
          <w:b/>
          <w:bCs/>
        </w:rPr>
        <w:t>13、存货</w:t>
      </w:r>
      <w:bookmarkEnd w:id="118"/>
    </w:p>
    <w:p w:rsidR="00C1183B" w:rsidRDefault="002D376B">
      <w:pPr>
        <w:pStyle w:val="a3"/>
        <w:spacing w:before="0" w:beforeAutospacing="0" w:after="0" w:afterAutospacing="0" w:line="400" w:lineRule="atLeast"/>
        <w:ind w:firstLine="360"/>
        <w:jc w:val="both"/>
        <w:divId w:val="85814286"/>
        <w:rPr>
          <w:rFonts w:ascii="Times New Roman" w:hAnsi="Times New Roman" w:cs="Times New Roman"/>
          <w:sz w:val="21"/>
          <w:szCs w:val="21"/>
        </w:rPr>
      </w:pPr>
      <w:r>
        <w:rPr>
          <w:rFonts w:cs="Times New Roman" w:hint="eastAsia"/>
          <w:sz w:val="18"/>
          <w:szCs w:val="18"/>
        </w:rPr>
        <w:t>（1）存货的分类</w:t>
      </w:r>
    </w:p>
    <w:p w:rsidR="00C1183B" w:rsidRDefault="002D376B">
      <w:pPr>
        <w:pStyle w:val="a3"/>
        <w:spacing w:before="0" w:beforeAutospacing="0" w:after="0" w:afterAutospacing="0" w:line="400" w:lineRule="atLeast"/>
        <w:ind w:firstLine="360"/>
        <w:jc w:val="both"/>
        <w:divId w:val="85814286"/>
        <w:rPr>
          <w:rFonts w:ascii="楷体_GB2312" w:eastAsia="楷体_GB2312"/>
          <w:sz w:val="28"/>
          <w:szCs w:val="28"/>
        </w:rPr>
      </w:pPr>
      <w:r>
        <w:rPr>
          <w:rFonts w:hint="eastAsia"/>
          <w:sz w:val="18"/>
          <w:szCs w:val="18"/>
        </w:rPr>
        <w:t>存货主要包括原材料、自制半成品、产成品、库存商品、发出商品。</w:t>
      </w:r>
    </w:p>
    <w:p w:rsidR="00C1183B" w:rsidRDefault="002D376B">
      <w:pPr>
        <w:pStyle w:val="a3"/>
        <w:spacing w:before="0" w:beforeAutospacing="0" w:after="0" w:afterAutospacing="0" w:line="400" w:lineRule="atLeast"/>
        <w:ind w:firstLine="360"/>
        <w:jc w:val="both"/>
        <w:divId w:val="85814286"/>
        <w:rPr>
          <w:rFonts w:ascii="Times New Roman" w:hAnsi="Times New Roman" w:cs="Times New Roman"/>
          <w:sz w:val="21"/>
          <w:szCs w:val="21"/>
        </w:rPr>
      </w:pPr>
      <w:r>
        <w:rPr>
          <w:rFonts w:cs="Times New Roman" w:hint="eastAsia"/>
          <w:sz w:val="18"/>
          <w:szCs w:val="18"/>
        </w:rPr>
        <w:t>（2）发出的计价方法</w:t>
      </w:r>
    </w:p>
    <w:p w:rsidR="00C1183B" w:rsidRDefault="002D376B">
      <w:pPr>
        <w:pStyle w:val="a3"/>
        <w:spacing w:before="0" w:beforeAutospacing="0" w:after="0" w:afterAutospacing="0" w:line="400" w:lineRule="atLeast"/>
        <w:ind w:firstLine="360"/>
        <w:divId w:val="85814286"/>
        <w:rPr>
          <w:rFonts w:ascii="Times New Roman" w:hAnsi="Times New Roman" w:cs="Times New Roman"/>
          <w:sz w:val="28"/>
          <w:szCs w:val="28"/>
        </w:rPr>
      </w:pPr>
      <w:r>
        <w:rPr>
          <w:rFonts w:cs="Times New Roman" w:hint="eastAsia"/>
          <w:sz w:val="18"/>
          <w:szCs w:val="18"/>
        </w:rPr>
        <w:t>存货在取得时按实际成本计价，存货成本包括采购成本、加工成本和其他成本。领用和发出时按加权平均法计价。</w:t>
      </w:r>
    </w:p>
    <w:p w:rsidR="00C1183B" w:rsidRDefault="002D376B">
      <w:pPr>
        <w:pStyle w:val="a3"/>
        <w:spacing w:before="0" w:beforeAutospacing="0" w:after="0" w:afterAutospacing="0" w:line="400" w:lineRule="atLeast"/>
        <w:ind w:firstLine="360"/>
        <w:divId w:val="85814286"/>
        <w:rPr>
          <w:rFonts w:ascii="Times New Roman" w:hAnsi="Times New Roman" w:cs="Times New Roman"/>
          <w:sz w:val="28"/>
          <w:szCs w:val="28"/>
        </w:rPr>
      </w:pPr>
      <w:r>
        <w:rPr>
          <w:rFonts w:cs="Times New Roman" w:hint="eastAsia"/>
          <w:sz w:val="18"/>
          <w:szCs w:val="18"/>
        </w:rPr>
        <w:t>（3）存货的盘存制度为永续盘存制。</w:t>
      </w:r>
    </w:p>
    <w:p w:rsidR="00C1183B" w:rsidRDefault="002D376B">
      <w:pPr>
        <w:pStyle w:val="a3"/>
        <w:spacing w:before="0" w:beforeAutospacing="0" w:after="0" w:afterAutospacing="0" w:line="400" w:lineRule="atLeast"/>
        <w:ind w:firstLine="360"/>
        <w:jc w:val="both"/>
        <w:divId w:val="85814286"/>
        <w:rPr>
          <w:rFonts w:ascii="Times New Roman" w:hAnsi="Times New Roman" w:cs="Times New Roman"/>
          <w:sz w:val="21"/>
          <w:szCs w:val="21"/>
        </w:rPr>
      </w:pPr>
      <w:r>
        <w:rPr>
          <w:rFonts w:cs="Times New Roman" w:hint="eastAsia"/>
          <w:sz w:val="18"/>
          <w:szCs w:val="18"/>
        </w:rPr>
        <w:t>（4）低值易耗品和包装物的摊销方法</w:t>
      </w:r>
    </w:p>
    <w:p w:rsidR="00C1183B" w:rsidRDefault="002D376B">
      <w:pPr>
        <w:pStyle w:val="a3"/>
        <w:spacing w:before="0" w:beforeAutospacing="0" w:after="0" w:afterAutospacing="0" w:line="400" w:lineRule="atLeast"/>
        <w:ind w:right="147" w:firstLine="360"/>
        <w:jc w:val="both"/>
        <w:divId w:val="85814286"/>
        <w:rPr>
          <w:rFonts w:ascii="Times New Roman" w:hAnsi="Times New Roman" w:cs="Times New Roman"/>
          <w:sz w:val="28"/>
          <w:szCs w:val="28"/>
        </w:rPr>
      </w:pPr>
      <w:r>
        <w:rPr>
          <w:rFonts w:cs="Times New Roman" w:hint="eastAsia"/>
          <w:sz w:val="18"/>
          <w:szCs w:val="18"/>
        </w:rPr>
        <w:t>低值易耗品于领用时按一次摊销法摊销；包装物于领用时按一次摊销法摊销。</w:t>
      </w:r>
    </w:p>
    <w:p w:rsidR="00C1183B" w:rsidRDefault="002D376B">
      <w:pPr>
        <w:pStyle w:val="a3"/>
        <w:spacing w:before="0" w:beforeAutospacing="0" w:after="0" w:afterAutospacing="0" w:line="400" w:lineRule="atLeast"/>
        <w:ind w:firstLine="360"/>
        <w:jc w:val="both"/>
        <w:divId w:val="85814286"/>
        <w:rPr>
          <w:rFonts w:ascii="Times New Roman" w:hAnsi="Times New Roman" w:cs="Times New Roman"/>
          <w:sz w:val="21"/>
          <w:szCs w:val="21"/>
        </w:rPr>
      </w:pPr>
      <w:r>
        <w:rPr>
          <w:rFonts w:cs="Times New Roman" w:hint="eastAsia"/>
          <w:sz w:val="18"/>
          <w:szCs w:val="18"/>
        </w:rPr>
        <w:t>（5）存货跌价准备的确认标准和计提方法</w:t>
      </w:r>
    </w:p>
    <w:p w:rsidR="00C1183B" w:rsidRDefault="002D376B">
      <w:pPr>
        <w:pStyle w:val="a3"/>
        <w:spacing w:before="0" w:beforeAutospacing="0" w:after="0" w:afterAutospacing="0" w:line="400" w:lineRule="atLeast"/>
        <w:ind w:firstLine="360"/>
        <w:divId w:val="85814286"/>
        <w:rPr>
          <w:rFonts w:ascii="Times New Roman" w:hAnsi="Times New Roman" w:cs="Times New Roman"/>
          <w:sz w:val="28"/>
          <w:szCs w:val="28"/>
        </w:rPr>
      </w:pPr>
      <w:r>
        <w:rPr>
          <w:rFonts w:cs="Times New Roman" w:hint="eastAsia"/>
          <w:sz w:val="18"/>
          <w:szCs w:val="18"/>
        </w:rPr>
        <w:t>本公司通常按照单个存货项目计提存货跌价准备。对于数量繁多、单价较低的存货，按照存货类别计提存货跌价准备。</w:t>
      </w:r>
    </w:p>
    <w:p w:rsidR="00C1183B" w:rsidRDefault="002D376B">
      <w:pPr>
        <w:pStyle w:val="a3"/>
        <w:spacing w:before="0" w:beforeAutospacing="0" w:after="0" w:afterAutospacing="0" w:line="400" w:lineRule="atLeast"/>
        <w:ind w:firstLine="360"/>
        <w:divId w:val="85814286"/>
        <w:rPr>
          <w:rFonts w:ascii="Times New Roman" w:hAnsi="Times New Roman" w:cs="Times New Roman"/>
          <w:sz w:val="21"/>
          <w:szCs w:val="21"/>
        </w:rPr>
      </w:pPr>
      <w:r>
        <w:rPr>
          <w:rFonts w:cs="Times New Roman" w:hint="eastAsia"/>
          <w:sz w:val="18"/>
          <w:szCs w:val="18"/>
        </w:rPr>
        <w:lastRenderedPageBreak/>
        <w:t>存货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C1183B" w:rsidRDefault="002D376B">
      <w:pPr>
        <w:pStyle w:val="a3"/>
        <w:spacing w:before="0" w:beforeAutospacing="0" w:after="0" w:afterAutospacing="0" w:line="400" w:lineRule="atLeast"/>
        <w:ind w:firstLine="360"/>
        <w:jc w:val="both"/>
        <w:divId w:val="85814286"/>
        <w:rPr>
          <w:rFonts w:ascii="Times New Roman" w:hAnsi="Times New Roman" w:cs="Times New Roman"/>
          <w:sz w:val="21"/>
          <w:szCs w:val="21"/>
        </w:rPr>
      </w:pPr>
      <w:r>
        <w:rPr>
          <w:rFonts w:cs="Times New Roman" w:hint="eastAsia"/>
          <w:sz w:val="18"/>
          <w:szCs w:val="18"/>
        </w:rPr>
        <w:t>在资产负债表日，存货按照成本与可变现净值孰低计量。当其可变现净值低于成本时，提取存货跌价准备。存货跌价准备按单个存货项目的成本高于其可变现净值的差额提取。</w:t>
      </w:r>
    </w:p>
    <w:p w:rsidR="00C1183B" w:rsidRDefault="002D376B">
      <w:pPr>
        <w:pStyle w:val="a3"/>
        <w:spacing w:before="0" w:beforeAutospacing="0" w:after="0" w:afterAutospacing="0" w:line="400" w:lineRule="atLeast"/>
        <w:ind w:firstLine="360"/>
        <w:jc w:val="both"/>
        <w:divId w:val="85814286"/>
      </w:pPr>
      <w:r>
        <w:rPr>
          <w:rFonts w:hint="eastAsia"/>
          <w:sz w:val="18"/>
          <w:szCs w:val="18"/>
        </w:rPr>
        <w:t>计提存货跌价准备后，如果以前减记存货价值的影响因素已经消失，导致存货的可变现净值高于其账面价值的，在原已计提的存货跌价准备金额内予以转回，转回的金额计入当期损益。</w:t>
      </w:r>
      <w:r>
        <w:rPr>
          <w:rFonts w:hint="eastAsia"/>
        </w:rPr>
        <w:t xml:space="preserve"> </w:t>
      </w:r>
    </w:p>
    <w:p w:rsidR="00334CB7" w:rsidRDefault="002D376B">
      <w:pPr>
        <w:pStyle w:val="3"/>
        <w:spacing w:line="280" w:lineRule="exact"/>
        <w:jc w:val="left"/>
        <w:rPr>
          <w:rFonts w:ascii="宋体" w:hAnsi="宋体" w:cs="宋体"/>
          <w:b/>
          <w:bCs/>
        </w:rPr>
      </w:pPr>
      <w:bookmarkStart w:id="119" w:name="_Toc989007"/>
      <w:r>
        <w:rPr>
          <w:rFonts w:ascii="宋体" w:hAnsi="宋体" w:cs="宋体"/>
          <w:b/>
          <w:bCs/>
        </w:rPr>
        <w:t>14、长期股权投资</w:t>
      </w:r>
      <w:bookmarkEnd w:id="119"/>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附注五、11“金融工具”。</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（1）投资成本的确定</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w:t>
      </w:r>
      <w:r>
        <w:rPr>
          <w:rFonts w:cs="Times New Roman" w:hint="eastAsia"/>
          <w:sz w:val="18"/>
          <w:szCs w:val="18"/>
        </w:rPr>
        <w:lastRenderedPageBreak/>
        <w:t>价值加上新增投资成本之和，作为改按成本法核算的长期股权投资的初始投资成本。原持有的股权采用权益法核算的，相关其他综合收益暂不进行会计处理。</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合并方或购买方为企业合并发生的审计、法律服务、评估咨询等中介费用以及其他相关管理费用，于发生时计入当期损益。</w:t>
      </w:r>
    </w:p>
    <w:p w:rsidR="00C1183B" w:rsidRDefault="002D376B">
      <w:pPr>
        <w:pStyle w:val="a3"/>
        <w:spacing w:before="0" w:beforeAutospacing="0" w:after="0" w:afterAutospacing="0" w:line="400" w:lineRule="atLeast"/>
        <w:ind w:firstLine="360"/>
        <w:jc w:val="both"/>
        <w:divId w:val="33122625"/>
        <w:rPr>
          <w:rFonts w:ascii="Times New Roman" w:hAnsi="Times New Roman" w:cs="Times New Roman"/>
          <w:sz w:val="21"/>
          <w:szCs w:val="21"/>
        </w:rPr>
      </w:pPr>
      <w:r>
        <w:rPr>
          <w:rFonts w:cs="Times New Roman" w:hint="eastAsia"/>
          <w:sz w:val="18"/>
          <w:szCs w:val="18"/>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22号——金融工具确认和计量》确定的原持有股权投资的公允价值加上新增投资成本之和。</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（2）后续计量及损益确认方法</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①成本法核算的长期股权投资</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②权益法核算的长期股权投资</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20号——企业合并》的规定进行会计处理，全额确认与交易相关的利得或损失。</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lastRenderedPageBreak/>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③收购少数股权</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④处置长期股权投资</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7、（2）“合并财务报表编制的方法”中所述的相关会计政策处理。</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其他情形下的长期股权投资处置，对于处置的股权，其账面价值与实际取得价款的差额，计入当期损益。</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C1183B" w:rsidRDefault="002D376B">
      <w:pPr>
        <w:pStyle w:val="a3"/>
        <w:spacing w:before="0" w:beforeAutospacing="0" w:after="0" w:afterAutospacing="0" w:line="400" w:lineRule="atLeast"/>
        <w:ind w:firstLine="360"/>
        <w:divId w:val="33122625"/>
        <w:rPr>
          <w:rFonts w:ascii="Times New Roman" w:hAnsi="Times New Roman" w:cs="Times New Roman"/>
          <w:sz w:val="21"/>
          <w:szCs w:val="21"/>
        </w:rPr>
      </w:pPr>
      <w:r>
        <w:rPr>
          <w:rFonts w:cs="Times New Roman" w:hint="eastAsia"/>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C1183B" w:rsidRDefault="002D376B">
      <w:pPr>
        <w:pStyle w:val="a3"/>
        <w:spacing w:before="0" w:beforeAutospacing="0" w:after="0" w:afterAutospacing="0" w:line="400" w:lineRule="atLeast"/>
        <w:ind w:firstLine="360"/>
        <w:divId w:val="33122625"/>
      </w:pPr>
      <w:r>
        <w:rPr>
          <w:rFonts w:hint="eastAsia"/>
          <w:sz w:val="18"/>
          <w:szCs w:val="18"/>
        </w:rPr>
        <w:lastRenderedPageBreak/>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r>
        <w:rPr>
          <w:rFonts w:hint="eastAsia"/>
        </w:rPr>
        <w:t xml:space="preserve"> </w:t>
      </w:r>
    </w:p>
    <w:p w:rsidR="00334CB7" w:rsidRDefault="002D376B">
      <w:pPr>
        <w:pStyle w:val="3"/>
        <w:spacing w:line="280" w:lineRule="exact"/>
        <w:jc w:val="left"/>
        <w:rPr>
          <w:rFonts w:ascii="宋体" w:hAnsi="宋体" w:cs="宋体"/>
          <w:b/>
          <w:bCs/>
        </w:rPr>
      </w:pPr>
      <w:bookmarkStart w:id="120" w:name="_Toc989008"/>
      <w:r>
        <w:rPr>
          <w:rFonts w:ascii="宋体" w:hAnsi="宋体" w:cs="宋体"/>
          <w:b/>
          <w:bCs/>
        </w:rPr>
        <w:t>15、固定资产</w:t>
      </w:r>
      <w:bookmarkEnd w:id="120"/>
    </w:p>
    <w:p w:rsidR="00334CB7" w:rsidRDefault="002D376B">
      <w:pPr>
        <w:keepNext/>
        <w:keepLines/>
        <w:spacing w:before="300" w:after="300" w:line="280" w:lineRule="exact"/>
        <w:outlineLvl w:val="3"/>
        <w:rPr>
          <w:rFonts w:ascii="宋体" w:eastAsia="宋体" w:hAnsi="宋体" w:cs="宋体"/>
          <w:b/>
          <w:bCs/>
          <w:szCs w:val="21"/>
        </w:rPr>
      </w:pPr>
      <w:bookmarkStart w:id="121" w:name="_Toc989009"/>
      <w:r>
        <w:rPr>
          <w:rFonts w:ascii="宋体" w:eastAsia="宋体" w:hAnsi="宋体" w:cs="宋体"/>
          <w:b/>
          <w:bCs/>
          <w:szCs w:val="21"/>
        </w:rPr>
        <w:t>（1） 确认条件</w:t>
      </w:r>
      <w:bookmarkEnd w:id="121"/>
    </w:p>
    <w:p w:rsidR="00C1183B" w:rsidRDefault="002D376B" w:rsidP="00922E9A">
      <w:pPr>
        <w:pStyle w:val="a3"/>
        <w:spacing w:line="240" w:lineRule="atLeast"/>
        <w:ind w:firstLineChars="200" w:firstLine="360"/>
        <w:divId w:val="199249932"/>
        <w:rPr>
          <w:sz w:val="18"/>
          <w:szCs w:val="18"/>
        </w:rPr>
      </w:pPr>
      <w:r>
        <w:rPr>
          <w:rFonts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334CB7" w:rsidRDefault="002D376B">
      <w:pPr>
        <w:keepNext/>
        <w:keepLines/>
        <w:spacing w:before="300" w:after="300" w:line="280" w:lineRule="exact"/>
        <w:outlineLvl w:val="3"/>
        <w:rPr>
          <w:rFonts w:ascii="宋体" w:eastAsia="宋体" w:hAnsi="宋体" w:cs="宋体"/>
          <w:b/>
          <w:bCs/>
          <w:szCs w:val="21"/>
        </w:rPr>
      </w:pPr>
      <w:bookmarkStart w:id="122" w:name="_Toc989010"/>
      <w:r>
        <w:rPr>
          <w:rFonts w:ascii="宋体" w:eastAsia="宋体" w:hAnsi="宋体" w:cs="宋体"/>
          <w:b/>
          <w:bCs/>
          <w:szCs w:val="21"/>
        </w:rPr>
        <w:t>（2） 折旧方法</w:t>
      </w:r>
      <w:bookmarkEnd w:id="122"/>
    </w:p>
    <w:p w:rsidR="00334CB7" w:rsidRDefault="00334CB7">
      <w:pPr>
        <w:spacing w:line="0" w:lineRule="atLeast"/>
      </w:pPr>
    </w:p>
    <w:tbl>
      <w:tblPr>
        <w:tblW w:w="95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08"/>
        <w:gridCol w:w="1909"/>
        <w:gridCol w:w="1909"/>
        <w:gridCol w:w="1909"/>
        <w:gridCol w:w="1909"/>
      </w:tblGrid>
      <w:tr w:rsidR="00334CB7" w:rsidTr="00922E9A">
        <w:trPr>
          <w:trHeight w:val="249"/>
        </w:trPr>
        <w:tc>
          <w:tcPr>
            <w:tcW w:w="190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0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0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0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09"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334CB7" w:rsidTr="00922E9A">
        <w:trPr>
          <w:trHeight w:val="249"/>
        </w:trPr>
        <w:tc>
          <w:tcPr>
            <w:tcW w:w="190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20年-30年</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3%</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4.85%-3.23%</w:t>
            </w:r>
          </w:p>
        </w:tc>
      </w:tr>
      <w:tr w:rsidR="00334CB7" w:rsidTr="00922E9A">
        <w:trPr>
          <w:trHeight w:val="249"/>
        </w:trPr>
        <w:tc>
          <w:tcPr>
            <w:tcW w:w="190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10年-12年</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3%</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9.70%-8.08%</w:t>
            </w:r>
          </w:p>
        </w:tc>
      </w:tr>
      <w:tr w:rsidR="00334CB7" w:rsidTr="00922E9A">
        <w:trPr>
          <w:trHeight w:val="249"/>
        </w:trPr>
        <w:tc>
          <w:tcPr>
            <w:tcW w:w="190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5年-8年</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3%</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19.40%-12.13%</w:t>
            </w:r>
          </w:p>
        </w:tc>
      </w:tr>
      <w:tr w:rsidR="00334CB7" w:rsidTr="00922E9A">
        <w:trPr>
          <w:trHeight w:val="249"/>
        </w:trPr>
        <w:tc>
          <w:tcPr>
            <w:tcW w:w="190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其它设备</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5年</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3%</w:t>
            </w:r>
          </w:p>
        </w:tc>
        <w:tc>
          <w:tcPr>
            <w:tcW w:w="1909"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19.40%</w:t>
            </w:r>
          </w:p>
        </w:tc>
      </w:tr>
    </w:tbl>
    <w:p w:rsidR="00C1183B" w:rsidRPr="00922E9A" w:rsidRDefault="002D376B" w:rsidP="00922E9A">
      <w:pPr>
        <w:pStyle w:val="a3"/>
        <w:spacing w:before="0" w:beforeAutospacing="0" w:after="0" w:afterAutospacing="0" w:line="400" w:lineRule="atLeast"/>
        <w:ind w:firstLine="360"/>
        <w:divId w:val="1120613639"/>
        <w:rPr>
          <w:sz w:val="18"/>
          <w:szCs w:val="18"/>
        </w:rPr>
      </w:pPr>
      <w:r>
        <w:rPr>
          <w:rFonts w:hint="eastAsia"/>
          <w:sz w:val="18"/>
          <w:szCs w:val="18"/>
        </w:rPr>
        <w:t>（3）固定资产从达到预定可使用状态的次月起，采用年限平均法在使用寿命内计提折旧。</w:t>
      </w:r>
    </w:p>
    <w:p w:rsidR="00C1183B" w:rsidRPr="00922E9A" w:rsidRDefault="002D376B">
      <w:pPr>
        <w:pStyle w:val="a3"/>
        <w:spacing w:before="0" w:beforeAutospacing="0" w:after="0" w:afterAutospacing="0" w:line="400" w:lineRule="atLeast"/>
        <w:ind w:firstLine="360"/>
        <w:divId w:val="1120613639"/>
        <w:rPr>
          <w:sz w:val="18"/>
          <w:szCs w:val="18"/>
        </w:rPr>
      </w:pPr>
      <w:r>
        <w:rPr>
          <w:rFonts w:hint="eastAsia"/>
          <w:sz w:val="18"/>
          <w:szCs w:val="18"/>
        </w:rPr>
        <w:t>（4）预计净残值是指假定固定资产预计使用寿命已满并处于使用寿命终了时的预期状态，本公司目前从该项资产处置中获得的扣除预计处置费用后的金额。</w:t>
      </w:r>
    </w:p>
    <w:p w:rsidR="00C1183B" w:rsidRPr="00922E9A" w:rsidRDefault="002D376B">
      <w:pPr>
        <w:pStyle w:val="a3"/>
        <w:spacing w:before="0" w:beforeAutospacing="0" w:after="0" w:afterAutospacing="0" w:line="400" w:lineRule="atLeast"/>
        <w:ind w:firstLine="360"/>
        <w:divId w:val="1120613639"/>
        <w:rPr>
          <w:sz w:val="18"/>
          <w:szCs w:val="18"/>
        </w:rPr>
      </w:pPr>
      <w:r>
        <w:rPr>
          <w:rFonts w:hint="eastAsia"/>
          <w:sz w:val="18"/>
          <w:szCs w:val="18"/>
        </w:rPr>
        <w:t>（5）固定资产的减值测试方法及减值准备计提方法</w:t>
      </w:r>
    </w:p>
    <w:p w:rsidR="00C1183B" w:rsidRDefault="002D376B">
      <w:pPr>
        <w:pStyle w:val="a3"/>
        <w:spacing w:before="0" w:beforeAutospacing="0" w:after="0" w:afterAutospacing="0" w:line="400" w:lineRule="atLeast"/>
        <w:ind w:firstLine="360"/>
        <w:divId w:val="1120613639"/>
      </w:pPr>
      <w:r>
        <w:rPr>
          <w:rFonts w:hint="eastAsia"/>
          <w:sz w:val="18"/>
          <w:szCs w:val="18"/>
        </w:rPr>
        <w:t>固定资产的减值测试方法和减值准备计提方法详见附注五、19“长期资产减值”。</w:t>
      </w:r>
    </w:p>
    <w:p w:rsidR="00C1183B" w:rsidRDefault="002D376B">
      <w:pPr>
        <w:pStyle w:val="a3"/>
        <w:spacing w:before="0" w:beforeAutospacing="0" w:after="0" w:afterAutospacing="0" w:line="400" w:lineRule="atLeast"/>
        <w:ind w:firstLine="360"/>
        <w:divId w:val="1120613639"/>
      </w:pPr>
      <w:r>
        <w:rPr>
          <w:rFonts w:hint="eastAsia"/>
          <w:sz w:val="18"/>
          <w:szCs w:val="18"/>
        </w:rPr>
        <w:t>（6）其他说明</w:t>
      </w:r>
    </w:p>
    <w:p w:rsidR="00C1183B" w:rsidRDefault="002D376B">
      <w:pPr>
        <w:pStyle w:val="a3"/>
        <w:spacing w:before="0" w:beforeAutospacing="0" w:after="0" w:afterAutospacing="0" w:line="400" w:lineRule="atLeast"/>
        <w:ind w:firstLine="360"/>
        <w:divId w:val="1120613639"/>
      </w:pPr>
      <w:r>
        <w:rPr>
          <w:rFonts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C1183B" w:rsidRDefault="002D376B">
      <w:pPr>
        <w:pStyle w:val="a3"/>
        <w:spacing w:before="0" w:beforeAutospacing="0" w:after="0" w:afterAutospacing="0" w:line="400" w:lineRule="atLeast"/>
        <w:ind w:firstLine="360"/>
        <w:divId w:val="1120613639"/>
      </w:pPr>
      <w:r>
        <w:rPr>
          <w:rFonts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rsidR="00C1183B" w:rsidRDefault="002D376B">
      <w:pPr>
        <w:pStyle w:val="a3"/>
        <w:spacing w:before="0" w:beforeAutospacing="0" w:after="0" w:afterAutospacing="0" w:line="400" w:lineRule="atLeast"/>
        <w:ind w:firstLine="360"/>
        <w:divId w:val="1120613639"/>
      </w:pPr>
      <w:r>
        <w:rPr>
          <w:rFonts w:hint="eastAsia"/>
          <w:sz w:val="18"/>
          <w:szCs w:val="18"/>
        </w:rPr>
        <w:t>本公司至少于年度终了对固定资产的使用寿命、预计净残值和折旧方法进行复核，如发生改变则作为会计估计变更处理。</w:t>
      </w:r>
    </w:p>
    <w:p w:rsidR="00334CB7" w:rsidRDefault="002D376B">
      <w:pPr>
        <w:pStyle w:val="3"/>
        <w:spacing w:line="280" w:lineRule="exact"/>
        <w:jc w:val="left"/>
        <w:rPr>
          <w:rFonts w:ascii="宋体" w:hAnsi="宋体" w:cs="宋体"/>
          <w:b/>
          <w:bCs/>
        </w:rPr>
      </w:pPr>
      <w:bookmarkStart w:id="123" w:name="_Toc989011"/>
      <w:r>
        <w:rPr>
          <w:rFonts w:ascii="宋体" w:hAnsi="宋体" w:cs="宋体"/>
          <w:b/>
          <w:bCs/>
        </w:rPr>
        <w:t>16、在建工程</w:t>
      </w:r>
      <w:bookmarkEnd w:id="123"/>
    </w:p>
    <w:p w:rsidR="00C1183B" w:rsidRDefault="002D376B">
      <w:pPr>
        <w:pStyle w:val="a3"/>
        <w:spacing w:before="0" w:beforeAutospacing="0" w:after="0" w:afterAutospacing="0" w:line="400" w:lineRule="atLeast"/>
        <w:ind w:firstLine="360"/>
        <w:divId w:val="1784956027"/>
      </w:pPr>
      <w:r>
        <w:rPr>
          <w:rFonts w:hint="eastAsia"/>
          <w:sz w:val="18"/>
          <w:szCs w:val="18"/>
        </w:rPr>
        <w:t>本公司在建工程分为自营方式建造和出包方式建造两种。在建工程在工程完工达到预定可使用状态时，结转固定资产。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p>
    <w:p w:rsidR="00C1183B" w:rsidRDefault="002D376B">
      <w:pPr>
        <w:pStyle w:val="a3"/>
        <w:spacing w:before="0" w:beforeAutospacing="0" w:after="0" w:afterAutospacing="0" w:line="400" w:lineRule="atLeast"/>
        <w:ind w:firstLine="360"/>
        <w:divId w:val="1784956027"/>
      </w:pPr>
      <w:r>
        <w:rPr>
          <w:rFonts w:hint="eastAsia"/>
          <w:sz w:val="18"/>
          <w:szCs w:val="18"/>
        </w:rPr>
        <w:lastRenderedPageBreak/>
        <w:t>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p w:rsidR="00C1183B" w:rsidRDefault="002D376B">
      <w:pPr>
        <w:pStyle w:val="a3"/>
        <w:spacing w:before="0" w:beforeAutospacing="0" w:after="0" w:afterAutospacing="0" w:line="400" w:lineRule="atLeast"/>
        <w:ind w:firstLine="360"/>
        <w:divId w:val="1784956027"/>
        <w:rPr>
          <w:color w:val="000000"/>
          <w:sz w:val="18"/>
          <w:szCs w:val="18"/>
        </w:rPr>
      </w:pPr>
      <w:r>
        <w:rPr>
          <w:rFonts w:hint="eastAsia"/>
          <w:sz w:val="18"/>
          <w:szCs w:val="18"/>
        </w:rPr>
        <w:t>在建工程的减值测试方法和减值准备计提方法</w:t>
      </w:r>
      <w:r>
        <w:rPr>
          <w:rFonts w:hint="eastAsia"/>
          <w:color w:val="000000"/>
          <w:sz w:val="18"/>
          <w:szCs w:val="18"/>
        </w:rPr>
        <w:t>详见附注五、</w:t>
      </w:r>
      <w:r>
        <w:rPr>
          <w:rFonts w:ascii="Arial" w:hAnsi="Arial" w:cs="Arial"/>
          <w:color w:val="000000"/>
          <w:sz w:val="18"/>
          <w:szCs w:val="18"/>
        </w:rPr>
        <w:t xml:space="preserve">19 </w:t>
      </w:r>
      <w:r>
        <w:rPr>
          <w:rFonts w:hint="eastAsia"/>
          <w:color w:val="000000"/>
          <w:sz w:val="18"/>
          <w:szCs w:val="18"/>
        </w:rPr>
        <w:t>“长期资产减值”</w:t>
      </w:r>
      <w:r>
        <w:rPr>
          <w:rFonts w:ascii="Arial" w:hAnsi="Arial" w:cs="Arial"/>
          <w:color w:val="000000"/>
          <w:sz w:val="18"/>
          <w:szCs w:val="18"/>
        </w:rPr>
        <w:t xml:space="preserve"> </w:t>
      </w:r>
      <w:r>
        <w:rPr>
          <w:rFonts w:hint="eastAsia"/>
          <w:color w:val="000000"/>
          <w:sz w:val="18"/>
          <w:szCs w:val="18"/>
        </w:rPr>
        <w:t>。</w:t>
      </w:r>
    </w:p>
    <w:p w:rsidR="00922E9A" w:rsidRDefault="00922E9A">
      <w:pPr>
        <w:pStyle w:val="a3"/>
        <w:spacing w:before="0" w:beforeAutospacing="0" w:after="0" w:afterAutospacing="0" w:line="400" w:lineRule="atLeast"/>
        <w:ind w:firstLine="360"/>
        <w:divId w:val="1784956027"/>
      </w:pPr>
    </w:p>
    <w:p w:rsidR="00334CB7" w:rsidRDefault="002D376B">
      <w:pPr>
        <w:pStyle w:val="3"/>
        <w:spacing w:line="280" w:lineRule="exact"/>
        <w:jc w:val="left"/>
        <w:rPr>
          <w:rFonts w:ascii="宋体" w:hAnsi="宋体" w:cs="宋体"/>
          <w:b/>
          <w:bCs/>
        </w:rPr>
      </w:pPr>
      <w:bookmarkStart w:id="124" w:name="_Toc989012"/>
      <w:r>
        <w:rPr>
          <w:rFonts w:ascii="宋体" w:hAnsi="宋体" w:cs="宋体"/>
          <w:b/>
          <w:bCs/>
        </w:rPr>
        <w:t>17、借款费用</w:t>
      </w:r>
      <w:bookmarkEnd w:id="124"/>
    </w:p>
    <w:p w:rsidR="00C1183B" w:rsidRDefault="002D376B">
      <w:pPr>
        <w:pStyle w:val="a3"/>
        <w:spacing w:before="0" w:beforeAutospacing="0" w:after="0" w:afterAutospacing="0" w:line="400" w:lineRule="atLeast"/>
        <w:ind w:firstLine="360"/>
        <w:divId w:val="852843129"/>
      </w:pPr>
      <w:r>
        <w:rPr>
          <w:rFonts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C1183B" w:rsidRDefault="002D376B">
      <w:pPr>
        <w:pStyle w:val="a3"/>
        <w:spacing w:before="0" w:beforeAutospacing="0" w:after="0" w:afterAutospacing="0" w:line="400" w:lineRule="atLeast"/>
        <w:ind w:firstLine="360"/>
        <w:divId w:val="852843129"/>
      </w:pPr>
      <w:r>
        <w:rPr>
          <w:rFonts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C1183B" w:rsidRDefault="002D376B">
      <w:pPr>
        <w:pStyle w:val="a3"/>
        <w:spacing w:before="0" w:beforeAutospacing="0" w:after="0" w:afterAutospacing="0" w:line="400" w:lineRule="atLeast"/>
        <w:ind w:firstLine="360"/>
        <w:divId w:val="852843129"/>
      </w:pPr>
      <w:r>
        <w:rPr>
          <w:rFonts w:hint="eastAsia"/>
          <w:sz w:val="18"/>
          <w:szCs w:val="18"/>
        </w:rPr>
        <w:t>资本化期间内，外币专门借款的汇兑差额全部予以资本化；外币一般借款的汇兑差额计入当期损益。</w:t>
      </w:r>
    </w:p>
    <w:p w:rsidR="00C1183B" w:rsidRDefault="002D376B">
      <w:pPr>
        <w:pStyle w:val="a3"/>
        <w:spacing w:before="0" w:beforeAutospacing="0" w:after="0" w:afterAutospacing="0" w:line="400" w:lineRule="atLeast"/>
        <w:ind w:firstLine="360"/>
        <w:divId w:val="852843129"/>
      </w:pPr>
      <w:r>
        <w:rPr>
          <w:rFonts w:hint="eastAsia"/>
          <w:sz w:val="18"/>
          <w:szCs w:val="18"/>
        </w:rPr>
        <w:t>符合资本化条件的资产指需要经过相当长时间的购建或者生产活动才能达到预定可使用或可销售状态的固定资产、投资性房地产和存货等资产。</w:t>
      </w:r>
    </w:p>
    <w:p w:rsidR="00C1183B" w:rsidRDefault="002D376B">
      <w:pPr>
        <w:pStyle w:val="a3"/>
        <w:spacing w:before="0" w:beforeAutospacing="0" w:after="0" w:afterAutospacing="0" w:line="400" w:lineRule="atLeast"/>
        <w:ind w:firstLine="360"/>
        <w:jc w:val="both"/>
        <w:divId w:val="852843129"/>
      </w:pPr>
      <w:r>
        <w:rPr>
          <w:rFonts w:hint="eastAsia"/>
          <w:sz w:val="18"/>
          <w:szCs w:val="18"/>
        </w:rPr>
        <w:t>如果符合资本化条件的资产在购建或生产过程中发生非正常中断、并且中断时间连续超过</w:t>
      </w:r>
      <w:r>
        <w:rPr>
          <w:rFonts w:ascii="Arial" w:hAnsi="Arial" w:cs="Arial"/>
          <w:sz w:val="18"/>
          <w:szCs w:val="18"/>
        </w:rPr>
        <w:t>3</w:t>
      </w:r>
      <w:r>
        <w:rPr>
          <w:rFonts w:hint="eastAsia"/>
          <w:sz w:val="18"/>
          <w:szCs w:val="18"/>
        </w:rPr>
        <w:t>个月的，暂停借款费用的资本化，直至资产的购建或生产活动重新开始。</w:t>
      </w:r>
    </w:p>
    <w:p w:rsidR="00C1183B" w:rsidRDefault="002D376B">
      <w:pPr>
        <w:pStyle w:val="a3"/>
        <w:spacing w:before="0" w:beforeAutospacing="0" w:after="0" w:afterAutospacing="0" w:line="400" w:lineRule="atLeast"/>
        <w:ind w:firstLine="360"/>
        <w:jc w:val="both"/>
        <w:divId w:val="852843129"/>
        <w:rPr>
          <w:sz w:val="18"/>
          <w:szCs w:val="18"/>
        </w:rPr>
      </w:pPr>
      <w:r>
        <w:rPr>
          <w:rFonts w:hint="eastAsia"/>
          <w:sz w:val="18"/>
          <w:szCs w:val="18"/>
        </w:rPr>
        <w:t>符合资本化条件的资产，是指需要经过相当长时间的购建或者生产活动才能达到预定可使用或者可销售状态的固定资产、投资性房地产和存货等资产。</w:t>
      </w:r>
    </w:p>
    <w:p w:rsidR="00922E9A" w:rsidRDefault="00922E9A">
      <w:pPr>
        <w:pStyle w:val="a3"/>
        <w:spacing w:before="0" w:beforeAutospacing="0" w:after="0" w:afterAutospacing="0" w:line="400" w:lineRule="atLeast"/>
        <w:ind w:firstLine="360"/>
        <w:jc w:val="both"/>
        <w:divId w:val="852843129"/>
      </w:pPr>
    </w:p>
    <w:p w:rsidR="00334CB7" w:rsidRDefault="002D376B">
      <w:pPr>
        <w:pStyle w:val="3"/>
        <w:spacing w:line="280" w:lineRule="exact"/>
        <w:jc w:val="left"/>
        <w:rPr>
          <w:rFonts w:ascii="宋体" w:hAnsi="宋体" w:cs="宋体"/>
          <w:b/>
          <w:bCs/>
        </w:rPr>
      </w:pPr>
      <w:bookmarkStart w:id="125" w:name="_Toc989013"/>
      <w:r>
        <w:rPr>
          <w:rFonts w:ascii="宋体" w:hAnsi="宋体" w:cs="宋体"/>
          <w:b/>
          <w:bCs/>
        </w:rPr>
        <w:t>18、无形资产</w:t>
      </w:r>
      <w:bookmarkEnd w:id="125"/>
    </w:p>
    <w:p w:rsidR="00334CB7" w:rsidRDefault="002D376B">
      <w:pPr>
        <w:keepNext/>
        <w:keepLines/>
        <w:spacing w:before="300" w:after="300" w:line="280" w:lineRule="exact"/>
        <w:outlineLvl w:val="3"/>
        <w:rPr>
          <w:rFonts w:ascii="宋体" w:eastAsia="宋体" w:hAnsi="宋体" w:cs="宋体"/>
          <w:b/>
          <w:bCs/>
          <w:szCs w:val="21"/>
        </w:rPr>
      </w:pPr>
      <w:bookmarkStart w:id="126" w:name="_Toc989014"/>
      <w:r>
        <w:rPr>
          <w:rFonts w:ascii="宋体" w:eastAsia="宋体" w:hAnsi="宋体" w:cs="宋体"/>
          <w:b/>
          <w:bCs/>
          <w:szCs w:val="21"/>
        </w:rPr>
        <w:t>（1） 使用寿命及其确定依据、估计情况、摊销方法或复核程序</w:t>
      </w:r>
      <w:bookmarkEnd w:id="126"/>
    </w:p>
    <w:p w:rsidR="00C1183B" w:rsidRDefault="002D376B">
      <w:pPr>
        <w:pStyle w:val="a3"/>
        <w:spacing w:before="0" w:beforeAutospacing="0" w:after="0" w:afterAutospacing="0" w:line="400" w:lineRule="atLeast"/>
        <w:ind w:firstLine="360"/>
        <w:divId w:val="292370949"/>
      </w:pPr>
      <w:r>
        <w:rPr>
          <w:rFonts w:hint="eastAsia"/>
          <w:sz w:val="18"/>
          <w:szCs w:val="18"/>
        </w:rPr>
        <w:t>无形资产是指本公司拥有或者控制的没有实物形态的可辨认非货币性资产。</w:t>
      </w:r>
    </w:p>
    <w:p w:rsidR="00C1183B" w:rsidRDefault="002D376B">
      <w:pPr>
        <w:pStyle w:val="a3"/>
        <w:spacing w:before="0" w:beforeAutospacing="0" w:after="0" w:afterAutospacing="0" w:line="400" w:lineRule="atLeast"/>
        <w:ind w:firstLine="360"/>
        <w:divId w:val="292370949"/>
      </w:pPr>
      <w:r>
        <w:rPr>
          <w:rFonts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C1183B" w:rsidRDefault="002D376B">
      <w:pPr>
        <w:pStyle w:val="a3"/>
        <w:spacing w:before="0" w:beforeAutospacing="0" w:after="0" w:afterAutospacing="0" w:line="400" w:lineRule="atLeast"/>
        <w:ind w:firstLine="360"/>
        <w:divId w:val="292370949"/>
      </w:pPr>
      <w:r>
        <w:rPr>
          <w:rFonts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C1183B" w:rsidRDefault="002D376B">
      <w:pPr>
        <w:pStyle w:val="a3"/>
        <w:spacing w:before="0" w:beforeAutospacing="0" w:after="0" w:afterAutospacing="0" w:line="400" w:lineRule="atLeast"/>
        <w:ind w:firstLine="360"/>
        <w:divId w:val="292370949"/>
      </w:pPr>
      <w:r>
        <w:rPr>
          <w:rFonts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p w:rsidR="00C1183B" w:rsidRDefault="002D376B">
      <w:pPr>
        <w:pStyle w:val="a3"/>
        <w:spacing w:before="0" w:beforeAutospacing="0" w:after="0" w:afterAutospacing="0" w:line="400" w:lineRule="atLeast"/>
        <w:ind w:firstLine="360"/>
        <w:jc w:val="both"/>
        <w:divId w:val="292370949"/>
      </w:pPr>
      <w:r>
        <w:rPr>
          <w:rFonts w:hint="eastAsia"/>
          <w:sz w:val="18"/>
          <w:szCs w:val="18"/>
        </w:rPr>
        <w:t>有限使用寿命的无形资产项目的使用寿命、确定依据及摊销方法如下：</w:t>
      </w:r>
    </w:p>
    <w:tbl>
      <w:tblPr>
        <w:tblW w:w="4851" w:type="pct"/>
        <w:tblCellMar>
          <w:left w:w="0" w:type="dxa"/>
          <w:right w:w="0" w:type="dxa"/>
        </w:tblCellMar>
        <w:tblLook w:val="04A0" w:firstRow="1" w:lastRow="0" w:firstColumn="1" w:lastColumn="0" w:noHBand="0" w:noVBand="1"/>
      </w:tblPr>
      <w:tblGrid>
        <w:gridCol w:w="2089"/>
        <w:gridCol w:w="4563"/>
        <w:gridCol w:w="2752"/>
      </w:tblGrid>
      <w:tr w:rsidR="00C1183B" w:rsidTr="00922E9A">
        <w:trPr>
          <w:divId w:val="292370949"/>
          <w:trHeight w:val="331"/>
          <w:tblHeader/>
        </w:trPr>
        <w:tc>
          <w:tcPr>
            <w:tcW w:w="1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lastRenderedPageBreak/>
              <w:t>项</w:t>
            </w:r>
            <w:r>
              <w:rPr>
                <w:rFonts w:ascii="Arial" w:hAnsi="Arial" w:cs="Arial"/>
                <w:sz w:val="18"/>
                <w:szCs w:val="18"/>
              </w:rPr>
              <w:t> </w:t>
            </w:r>
            <w:r w:rsidR="00922E9A">
              <w:rPr>
                <w:rFonts w:ascii="Arial" w:hAnsi="Arial" w:cs="Arial" w:hint="eastAsia"/>
                <w:sz w:val="18"/>
                <w:szCs w:val="18"/>
              </w:rPr>
              <w:t xml:space="preserve"> </w:t>
            </w:r>
            <w:r>
              <w:rPr>
                <w:rFonts w:ascii="Arial" w:hAnsi="Arial" w:cs="Arial"/>
                <w:sz w:val="18"/>
                <w:szCs w:val="18"/>
              </w:rPr>
              <w:t xml:space="preserve"> </w:t>
            </w:r>
            <w:r>
              <w:rPr>
                <w:rFonts w:hint="eastAsia"/>
                <w:sz w:val="18"/>
                <w:szCs w:val="18"/>
              </w:rPr>
              <w:t>目</w:t>
            </w:r>
          </w:p>
        </w:tc>
        <w:tc>
          <w:tcPr>
            <w:tcW w:w="242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使用寿命</w:t>
            </w:r>
          </w:p>
        </w:tc>
        <w:tc>
          <w:tcPr>
            <w:tcW w:w="14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摊销方法</w:t>
            </w:r>
          </w:p>
        </w:tc>
      </w:tr>
      <w:tr w:rsidR="00C1183B" w:rsidTr="00922E9A">
        <w:trPr>
          <w:divId w:val="292370949"/>
          <w:trHeight w:val="331"/>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pPr>
            <w:r>
              <w:rPr>
                <w:rFonts w:hint="eastAsia"/>
                <w:sz w:val="18"/>
                <w:szCs w:val="18"/>
              </w:rPr>
              <w:t>土地使用权</w:t>
            </w:r>
          </w:p>
        </w:tc>
        <w:tc>
          <w:tcPr>
            <w:tcW w:w="242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pPr>
            <w:r>
              <w:rPr>
                <w:rFonts w:hint="eastAsia"/>
                <w:sz w:val="18"/>
                <w:szCs w:val="18"/>
              </w:rPr>
              <w:t>受益年限</w:t>
            </w:r>
          </w:p>
        </w:tc>
        <w:tc>
          <w:tcPr>
            <w:tcW w:w="14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年限平均法</w:t>
            </w:r>
          </w:p>
        </w:tc>
      </w:tr>
      <w:tr w:rsidR="00C1183B" w:rsidTr="00922E9A">
        <w:trPr>
          <w:divId w:val="292370949"/>
          <w:trHeight w:val="331"/>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pPr>
            <w:r>
              <w:rPr>
                <w:rFonts w:hint="eastAsia"/>
                <w:sz w:val="18"/>
                <w:szCs w:val="18"/>
              </w:rPr>
              <w:t>软件使用权</w:t>
            </w:r>
          </w:p>
        </w:tc>
        <w:tc>
          <w:tcPr>
            <w:tcW w:w="242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pPr>
            <w:r>
              <w:rPr>
                <w:rFonts w:hint="eastAsia"/>
                <w:sz w:val="18"/>
                <w:szCs w:val="18"/>
              </w:rPr>
              <w:t>合同规定年限或收益年限（未规定按</w:t>
            </w:r>
            <w:r>
              <w:rPr>
                <w:rFonts w:ascii="Arial" w:hAnsi="Arial" w:cs="Arial"/>
                <w:sz w:val="18"/>
                <w:szCs w:val="18"/>
              </w:rPr>
              <w:t>3</w:t>
            </w:r>
            <w:r>
              <w:rPr>
                <w:rFonts w:ascii="Arial" w:hAnsi="Arial" w:cs="Arial"/>
                <w:sz w:val="18"/>
                <w:szCs w:val="18"/>
              </w:rPr>
              <w:t>年</w:t>
            </w:r>
            <w:r>
              <w:rPr>
                <w:rFonts w:hint="eastAsia"/>
                <w:sz w:val="18"/>
                <w:szCs w:val="18"/>
              </w:rPr>
              <w:t>或</w:t>
            </w:r>
            <w:r>
              <w:rPr>
                <w:rFonts w:ascii="Arial" w:hAnsi="Arial" w:cs="Arial"/>
                <w:sz w:val="18"/>
                <w:szCs w:val="18"/>
              </w:rPr>
              <w:t>5</w:t>
            </w:r>
            <w:r>
              <w:rPr>
                <w:rFonts w:hint="eastAsia"/>
                <w:sz w:val="18"/>
                <w:szCs w:val="18"/>
              </w:rPr>
              <w:t>年）</w:t>
            </w:r>
          </w:p>
        </w:tc>
        <w:tc>
          <w:tcPr>
            <w:tcW w:w="14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年限平均法</w:t>
            </w:r>
          </w:p>
        </w:tc>
      </w:tr>
      <w:tr w:rsidR="00C1183B" w:rsidTr="00922E9A">
        <w:trPr>
          <w:divId w:val="292370949"/>
          <w:trHeight w:val="331"/>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pPr>
            <w:r>
              <w:rPr>
                <w:rFonts w:hint="eastAsia"/>
                <w:sz w:val="18"/>
                <w:szCs w:val="18"/>
              </w:rPr>
              <w:t>其他无形资产</w:t>
            </w:r>
          </w:p>
        </w:tc>
        <w:tc>
          <w:tcPr>
            <w:tcW w:w="242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pPr>
            <w:r>
              <w:rPr>
                <w:rFonts w:hint="eastAsia"/>
                <w:sz w:val="18"/>
                <w:szCs w:val="18"/>
              </w:rPr>
              <w:t>合同规定年限或收益年限（未规定按</w:t>
            </w:r>
            <w:r>
              <w:rPr>
                <w:rFonts w:ascii="Arial" w:hAnsi="Arial" w:cs="Arial"/>
                <w:sz w:val="18"/>
                <w:szCs w:val="18"/>
              </w:rPr>
              <w:t>10</w:t>
            </w:r>
            <w:r>
              <w:rPr>
                <w:rFonts w:hint="eastAsia"/>
                <w:sz w:val="18"/>
                <w:szCs w:val="18"/>
              </w:rPr>
              <w:t>年）</w:t>
            </w:r>
          </w:p>
        </w:tc>
        <w:tc>
          <w:tcPr>
            <w:tcW w:w="14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年限平均法</w:t>
            </w:r>
          </w:p>
        </w:tc>
      </w:tr>
    </w:tbl>
    <w:p w:rsidR="00C1183B" w:rsidRDefault="002D376B">
      <w:pPr>
        <w:pStyle w:val="a3"/>
        <w:spacing w:before="0" w:beforeAutospacing="0" w:after="0" w:afterAutospacing="0" w:line="400" w:lineRule="atLeast"/>
        <w:ind w:firstLine="360"/>
        <w:divId w:val="292370949"/>
      </w:pPr>
      <w:r>
        <w:rPr>
          <w:rFonts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334CB7" w:rsidRDefault="002D376B">
      <w:pPr>
        <w:keepNext/>
        <w:keepLines/>
        <w:spacing w:before="300" w:after="300" w:line="280" w:lineRule="exact"/>
        <w:outlineLvl w:val="3"/>
        <w:rPr>
          <w:rFonts w:ascii="宋体" w:eastAsia="宋体" w:hAnsi="宋体" w:cs="宋体"/>
          <w:b/>
          <w:bCs/>
          <w:szCs w:val="21"/>
        </w:rPr>
      </w:pPr>
      <w:bookmarkStart w:id="127" w:name="_Toc989015"/>
      <w:r>
        <w:rPr>
          <w:rFonts w:ascii="宋体" w:eastAsia="宋体" w:hAnsi="宋体" w:cs="宋体"/>
          <w:b/>
          <w:bCs/>
          <w:szCs w:val="21"/>
        </w:rPr>
        <w:t>（2） 研发支出的归集范围及相关会计处理方法</w:t>
      </w:r>
      <w:bookmarkEnd w:id="127"/>
    </w:p>
    <w:p w:rsidR="00C1183B" w:rsidRDefault="002D376B">
      <w:pPr>
        <w:pStyle w:val="a3"/>
        <w:spacing w:before="0" w:beforeAutospacing="0" w:after="0" w:afterAutospacing="0" w:line="400" w:lineRule="atLeast"/>
        <w:ind w:firstLine="360"/>
        <w:divId w:val="1902209805"/>
      </w:pPr>
      <w:r>
        <w:rPr>
          <w:rFonts w:hint="eastAsia"/>
          <w:sz w:val="18"/>
          <w:szCs w:val="18"/>
        </w:rPr>
        <w:t>本公司内部研究开发项目的支出分为研究阶段支出与开发阶段支出。</w:t>
      </w:r>
    </w:p>
    <w:p w:rsidR="00C1183B" w:rsidRDefault="002D376B">
      <w:pPr>
        <w:pStyle w:val="a3"/>
        <w:spacing w:before="0" w:beforeAutospacing="0" w:after="0" w:afterAutospacing="0" w:line="400" w:lineRule="atLeast"/>
        <w:ind w:firstLine="360"/>
        <w:divId w:val="1902209805"/>
      </w:pPr>
      <w:r>
        <w:rPr>
          <w:rFonts w:hint="eastAsia"/>
          <w:sz w:val="18"/>
          <w:szCs w:val="18"/>
        </w:rPr>
        <w:t>研究阶段的支出，于发生时计入当期损益。</w:t>
      </w:r>
    </w:p>
    <w:p w:rsidR="00C1183B" w:rsidRDefault="002D376B">
      <w:pPr>
        <w:pStyle w:val="a3"/>
        <w:spacing w:before="0" w:beforeAutospacing="0" w:after="0" w:afterAutospacing="0" w:line="400" w:lineRule="atLeast"/>
        <w:ind w:firstLine="360"/>
        <w:divId w:val="1902209805"/>
      </w:pPr>
      <w:r>
        <w:rPr>
          <w:rFonts w:hint="eastAsia"/>
          <w:sz w:val="18"/>
          <w:szCs w:val="18"/>
        </w:rPr>
        <w:t>本公司研发支出归集范围包括研发领用的材料、人工及劳务成本、研发设备摊销、在开发过程中使用的其他无形资产及固定资产的摊销、水电等费用。</w:t>
      </w:r>
    </w:p>
    <w:p w:rsidR="00C1183B" w:rsidRDefault="002D376B">
      <w:pPr>
        <w:pStyle w:val="a3"/>
        <w:spacing w:before="0" w:beforeAutospacing="0" w:after="0" w:afterAutospacing="0" w:line="400" w:lineRule="atLeast"/>
        <w:ind w:firstLine="360"/>
        <w:divId w:val="1902209805"/>
      </w:pPr>
      <w:r>
        <w:rPr>
          <w:rFonts w:hint="eastAsia"/>
          <w:sz w:val="18"/>
          <w:szCs w:val="18"/>
        </w:rPr>
        <w:t>本公司划分内部研究开发项目研究阶段支出和开发阶段支出的具体标准：</w:t>
      </w:r>
    </w:p>
    <w:p w:rsidR="00C1183B" w:rsidRDefault="002D376B">
      <w:pPr>
        <w:pStyle w:val="a3"/>
        <w:spacing w:before="0" w:beforeAutospacing="0" w:after="0" w:afterAutospacing="0" w:line="400" w:lineRule="atLeast"/>
        <w:ind w:firstLine="360"/>
        <w:divId w:val="1902209805"/>
      </w:pPr>
      <w:r>
        <w:rPr>
          <w:rFonts w:hint="eastAsia"/>
          <w:sz w:val="18"/>
          <w:szCs w:val="18"/>
        </w:rPr>
        <w:t>研究阶段为获取并理解新的科学或技术知识等而进行的独创性的有计划调查、研究活动的阶段；开发阶段为在进行商业性生产或使用前，将研究成果或其他知识应用于某项计划或设计，以生产出新的或具有实质性改进的材料、装置、产品等活动的阶段。</w:t>
      </w:r>
    </w:p>
    <w:p w:rsidR="00C1183B" w:rsidRDefault="002D376B">
      <w:pPr>
        <w:pStyle w:val="a3"/>
        <w:spacing w:before="0" w:beforeAutospacing="0" w:after="0" w:afterAutospacing="0" w:line="400" w:lineRule="atLeast"/>
        <w:ind w:firstLine="360"/>
        <w:divId w:val="1902209805"/>
      </w:pPr>
      <w:r>
        <w:rPr>
          <w:rFonts w:hint="eastAsia"/>
          <w:sz w:val="18"/>
          <w:szCs w:val="18"/>
        </w:rPr>
        <w:t>开发阶段的支出同时满足下列条件的，确认为无形资产，不能满足下述条件的开发阶段的支出计入当期损益：</w:t>
      </w:r>
      <w:r>
        <w:rPr>
          <w:rFonts w:ascii="Arial" w:hAnsi="Arial" w:cs="Arial"/>
          <w:color w:val="0000FF"/>
          <w:sz w:val="18"/>
          <w:szCs w:val="18"/>
        </w:rPr>
        <w:t xml:space="preserve"> </w:t>
      </w:r>
    </w:p>
    <w:p w:rsidR="00C1183B" w:rsidRDefault="002D376B">
      <w:pPr>
        <w:pStyle w:val="a3"/>
        <w:spacing w:before="0" w:beforeAutospacing="0" w:after="0" w:afterAutospacing="0" w:line="400" w:lineRule="atLeast"/>
        <w:ind w:firstLine="360"/>
        <w:divId w:val="1902209805"/>
      </w:pPr>
      <w:r>
        <w:rPr>
          <w:rFonts w:hint="eastAsia"/>
          <w:sz w:val="18"/>
          <w:szCs w:val="18"/>
        </w:rPr>
        <w:t>①</w:t>
      </w:r>
      <w:r>
        <w:rPr>
          <w:rFonts w:ascii="Arial" w:hAnsi="Arial" w:cs="Arial"/>
          <w:sz w:val="18"/>
          <w:szCs w:val="18"/>
        </w:rPr>
        <w:t xml:space="preserve"> </w:t>
      </w:r>
      <w:r>
        <w:rPr>
          <w:rFonts w:hint="eastAsia"/>
          <w:sz w:val="18"/>
          <w:szCs w:val="18"/>
        </w:rPr>
        <w:t>完成该无形资产以使其能够使用或出售在技术上具有可行性；</w:t>
      </w:r>
    </w:p>
    <w:p w:rsidR="00C1183B" w:rsidRDefault="002D376B">
      <w:pPr>
        <w:pStyle w:val="a3"/>
        <w:spacing w:before="0" w:beforeAutospacing="0" w:after="0" w:afterAutospacing="0" w:line="400" w:lineRule="atLeast"/>
        <w:ind w:firstLine="360"/>
        <w:divId w:val="1902209805"/>
      </w:pPr>
      <w:r>
        <w:rPr>
          <w:rFonts w:hint="eastAsia"/>
          <w:sz w:val="18"/>
          <w:szCs w:val="18"/>
        </w:rPr>
        <w:t>②</w:t>
      </w:r>
      <w:r>
        <w:rPr>
          <w:rFonts w:ascii="Arial" w:hAnsi="Arial" w:cs="Arial"/>
          <w:sz w:val="18"/>
          <w:szCs w:val="18"/>
        </w:rPr>
        <w:t xml:space="preserve"> </w:t>
      </w:r>
      <w:r>
        <w:rPr>
          <w:rFonts w:hint="eastAsia"/>
          <w:sz w:val="18"/>
          <w:szCs w:val="18"/>
        </w:rPr>
        <w:t>具有完成该无形资产并使用或出售的意图；</w:t>
      </w:r>
    </w:p>
    <w:p w:rsidR="00C1183B" w:rsidRDefault="002D376B">
      <w:pPr>
        <w:pStyle w:val="a3"/>
        <w:spacing w:before="0" w:beforeAutospacing="0" w:after="0" w:afterAutospacing="0" w:line="400" w:lineRule="atLeast"/>
        <w:ind w:firstLine="360"/>
        <w:divId w:val="1902209805"/>
      </w:pPr>
      <w:r>
        <w:rPr>
          <w:rFonts w:hint="eastAsia"/>
          <w:sz w:val="18"/>
          <w:szCs w:val="18"/>
        </w:rPr>
        <w:t>③</w:t>
      </w:r>
      <w:r>
        <w:rPr>
          <w:rFonts w:ascii="Arial" w:hAnsi="Arial" w:cs="Arial"/>
          <w:sz w:val="18"/>
          <w:szCs w:val="18"/>
        </w:rPr>
        <w:t xml:space="preserve"> </w:t>
      </w:r>
      <w:r>
        <w:rPr>
          <w:rFonts w:hint="eastAsia"/>
          <w:sz w:val="18"/>
          <w:szCs w:val="18"/>
        </w:rPr>
        <w:t>无形资产产生经济利益的方式，包括能够证明运用该无形资产生产的产品存在市场或无形资产自身存在市场，无形资产将在内部使用的，能够证明其有用性；</w:t>
      </w:r>
    </w:p>
    <w:p w:rsidR="00C1183B" w:rsidRDefault="002D376B">
      <w:pPr>
        <w:pStyle w:val="a3"/>
        <w:spacing w:before="0" w:beforeAutospacing="0" w:after="0" w:afterAutospacing="0" w:line="400" w:lineRule="atLeast"/>
        <w:ind w:firstLine="360"/>
        <w:divId w:val="1902209805"/>
      </w:pPr>
      <w:r>
        <w:rPr>
          <w:rFonts w:hint="eastAsia"/>
          <w:sz w:val="18"/>
          <w:szCs w:val="18"/>
        </w:rPr>
        <w:t>④</w:t>
      </w:r>
      <w:r>
        <w:rPr>
          <w:rFonts w:ascii="Arial" w:hAnsi="Arial" w:cs="Arial"/>
          <w:sz w:val="18"/>
          <w:szCs w:val="18"/>
        </w:rPr>
        <w:t xml:space="preserve"> </w:t>
      </w:r>
      <w:r>
        <w:rPr>
          <w:rFonts w:hint="eastAsia"/>
          <w:sz w:val="18"/>
          <w:szCs w:val="18"/>
        </w:rPr>
        <w:t>有足够的技术、财务资源和其他资源支持，以完成该无形资产的开发，并有能力使用或出售该无形资产；</w:t>
      </w:r>
    </w:p>
    <w:p w:rsidR="00C1183B" w:rsidRDefault="002D376B">
      <w:pPr>
        <w:pStyle w:val="a3"/>
        <w:spacing w:before="0" w:beforeAutospacing="0" w:after="0" w:afterAutospacing="0" w:line="400" w:lineRule="atLeast"/>
        <w:ind w:firstLine="360"/>
        <w:divId w:val="1902209805"/>
      </w:pPr>
      <w:r>
        <w:rPr>
          <w:rFonts w:hint="eastAsia"/>
          <w:sz w:val="18"/>
          <w:szCs w:val="18"/>
        </w:rPr>
        <w:t>⑤</w:t>
      </w:r>
      <w:r>
        <w:rPr>
          <w:rFonts w:ascii="Arial" w:hAnsi="Arial" w:cs="Arial"/>
          <w:sz w:val="18"/>
          <w:szCs w:val="18"/>
        </w:rPr>
        <w:t xml:space="preserve"> </w:t>
      </w:r>
      <w:r>
        <w:rPr>
          <w:rFonts w:hint="eastAsia"/>
          <w:sz w:val="18"/>
          <w:szCs w:val="18"/>
        </w:rPr>
        <w:t>归属于该无形资产开发阶段的支出能够可靠地计量。</w:t>
      </w:r>
    </w:p>
    <w:p w:rsidR="00C1183B" w:rsidRDefault="002D376B">
      <w:pPr>
        <w:pStyle w:val="a3"/>
        <w:spacing w:before="0" w:beforeAutospacing="0" w:after="0" w:afterAutospacing="0" w:line="400" w:lineRule="atLeast"/>
        <w:ind w:firstLine="360"/>
        <w:divId w:val="1902209805"/>
      </w:pPr>
      <w:r>
        <w:rPr>
          <w:rFonts w:hint="eastAsia"/>
          <w:sz w:val="18"/>
          <w:szCs w:val="18"/>
        </w:rPr>
        <w:t>无法区分研究阶段支出和开发阶段支出的，将发生的研发支出全部计入当期损益。</w:t>
      </w:r>
    </w:p>
    <w:p w:rsidR="00C1183B" w:rsidRPr="00922E9A" w:rsidRDefault="002D376B" w:rsidP="00922E9A">
      <w:pPr>
        <w:keepNext/>
        <w:keepLines/>
        <w:spacing w:before="300" w:after="300" w:line="280" w:lineRule="exact"/>
        <w:outlineLvl w:val="3"/>
        <w:divId w:val="1902209805"/>
        <w:rPr>
          <w:rFonts w:ascii="宋体" w:eastAsia="宋体" w:hAnsi="宋体" w:cs="宋体"/>
          <w:b/>
          <w:bCs/>
          <w:szCs w:val="21"/>
        </w:rPr>
      </w:pPr>
      <w:r w:rsidRPr="00922E9A">
        <w:rPr>
          <w:rFonts w:ascii="宋体" w:eastAsia="宋体" w:hAnsi="宋体" w:cs="宋体" w:hint="eastAsia"/>
          <w:b/>
          <w:bCs/>
          <w:szCs w:val="21"/>
        </w:rPr>
        <w:t>（</w:t>
      </w:r>
      <w:r w:rsidRPr="00922E9A">
        <w:rPr>
          <w:rFonts w:ascii="宋体" w:eastAsia="宋体" w:hAnsi="宋体" w:cs="宋体"/>
          <w:b/>
          <w:bCs/>
          <w:szCs w:val="21"/>
        </w:rPr>
        <w:t>3</w:t>
      </w:r>
      <w:r w:rsidRPr="00922E9A">
        <w:rPr>
          <w:rFonts w:ascii="宋体" w:eastAsia="宋体" w:hAnsi="宋体" w:cs="宋体" w:hint="eastAsia"/>
          <w:b/>
          <w:bCs/>
          <w:szCs w:val="21"/>
        </w:rPr>
        <w:t>）无形资产的减值测试方法及减值准备计提方法</w:t>
      </w:r>
    </w:p>
    <w:p w:rsidR="00C1183B" w:rsidRDefault="002D376B">
      <w:pPr>
        <w:pStyle w:val="a3"/>
        <w:spacing w:before="0" w:beforeAutospacing="0" w:after="0" w:afterAutospacing="0" w:line="400" w:lineRule="atLeast"/>
        <w:ind w:firstLine="360"/>
        <w:divId w:val="1902209805"/>
      </w:pPr>
      <w:r>
        <w:rPr>
          <w:rFonts w:hint="eastAsia"/>
          <w:sz w:val="18"/>
          <w:szCs w:val="18"/>
        </w:rPr>
        <w:t>无形资产的减值测试方法和减值准备计提方</w:t>
      </w:r>
      <w:r>
        <w:rPr>
          <w:rFonts w:hint="eastAsia"/>
          <w:color w:val="000000"/>
          <w:sz w:val="18"/>
          <w:szCs w:val="18"/>
        </w:rPr>
        <w:t>法详见附注五、</w:t>
      </w:r>
      <w:r>
        <w:rPr>
          <w:rFonts w:ascii="Arial" w:hAnsi="Arial" w:cs="Arial"/>
          <w:color w:val="000000"/>
          <w:sz w:val="18"/>
          <w:szCs w:val="18"/>
        </w:rPr>
        <w:t xml:space="preserve">19 </w:t>
      </w:r>
      <w:r>
        <w:rPr>
          <w:rFonts w:hint="eastAsia"/>
          <w:color w:val="000000"/>
          <w:sz w:val="18"/>
          <w:szCs w:val="18"/>
        </w:rPr>
        <w:t>“长期资产减值”。</w:t>
      </w:r>
    </w:p>
    <w:p w:rsidR="00334CB7" w:rsidRDefault="002D376B">
      <w:pPr>
        <w:pStyle w:val="3"/>
        <w:spacing w:line="280" w:lineRule="exact"/>
        <w:jc w:val="left"/>
        <w:rPr>
          <w:rFonts w:ascii="宋体" w:hAnsi="宋体" w:cs="宋体"/>
          <w:b/>
          <w:bCs/>
        </w:rPr>
      </w:pPr>
      <w:bookmarkStart w:id="128" w:name="_Toc989016"/>
      <w:r>
        <w:rPr>
          <w:rFonts w:ascii="宋体" w:hAnsi="宋体" w:cs="宋体"/>
          <w:b/>
          <w:bCs/>
        </w:rPr>
        <w:t>19、长期资产减值</w:t>
      </w:r>
      <w:bookmarkEnd w:id="128"/>
    </w:p>
    <w:p w:rsidR="00C1183B" w:rsidRDefault="002D376B">
      <w:pPr>
        <w:pStyle w:val="a3"/>
        <w:spacing w:before="0" w:beforeAutospacing="0" w:after="0" w:afterAutospacing="0" w:line="400" w:lineRule="atLeast"/>
        <w:ind w:firstLine="360"/>
        <w:jc w:val="both"/>
        <w:divId w:val="1898517707"/>
        <w:rPr>
          <w:rFonts w:ascii="Times New Roman" w:hAnsi="Times New Roman" w:cs="Times New Roman"/>
          <w:sz w:val="21"/>
          <w:szCs w:val="21"/>
        </w:rPr>
      </w:pPr>
      <w:r>
        <w:rPr>
          <w:rFonts w:cs="Times New Roman" w:hint="eastAsia"/>
          <w:sz w:val="18"/>
          <w:szCs w:val="18"/>
        </w:rPr>
        <w:t>对于固定资产、在建工程、使用寿命有限的无形资产、使用权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C1183B" w:rsidRDefault="002D376B">
      <w:pPr>
        <w:pStyle w:val="a3"/>
        <w:spacing w:before="0" w:beforeAutospacing="0" w:after="0" w:afterAutospacing="0" w:line="400" w:lineRule="atLeast"/>
        <w:ind w:firstLine="360"/>
        <w:jc w:val="both"/>
        <w:divId w:val="1898517707"/>
        <w:rPr>
          <w:rFonts w:ascii="Times New Roman" w:hAnsi="Times New Roman" w:cs="Times New Roman"/>
          <w:sz w:val="21"/>
          <w:szCs w:val="21"/>
        </w:rPr>
      </w:pPr>
      <w:r>
        <w:rPr>
          <w:rFonts w:cs="Times New Roman" w:hint="eastAsia"/>
          <w:sz w:val="18"/>
          <w:szCs w:val="18"/>
        </w:rPr>
        <w:lastRenderedPageBreak/>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C1183B" w:rsidRDefault="002D376B">
      <w:pPr>
        <w:pStyle w:val="a3"/>
        <w:spacing w:before="0" w:beforeAutospacing="0" w:after="0" w:afterAutospacing="0" w:line="400" w:lineRule="atLeast"/>
        <w:ind w:firstLine="360"/>
        <w:jc w:val="both"/>
        <w:divId w:val="1898517707"/>
        <w:rPr>
          <w:rFonts w:ascii="Times New Roman" w:hAnsi="Times New Roman" w:cs="Times New Roman"/>
          <w:sz w:val="21"/>
          <w:szCs w:val="21"/>
        </w:rPr>
      </w:pPr>
      <w:r>
        <w:rPr>
          <w:rFonts w:cs="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C1183B" w:rsidRDefault="002D376B">
      <w:pPr>
        <w:pStyle w:val="a3"/>
        <w:spacing w:before="0" w:beforeAutospacing="0" w:after="0" w:afterAutospacing="0" w:line="400" w:lineRule="atLeast"/>
        <w:ind w:firstLine="360"/>
        <w:jc w:val="both"/>
        <w:divId w:val="1898517707"/>
      </w:pPr>
      <w:r>
        <w:rPr>
          <w:rFonts w:hint="eastAsia"/>
          <w:sz w:val="18"/>
          <w:szCs w:val="18"/>
        </w:rPr>
        <w:t>上述资产减值损失一经确认，以后期间不予转回价值得以恢复的部分。</w:t>
      </w:r>
      <w:r>
        <w:rPr>
          <w:rFonts w:hint="eastAsia"/>
        </w:rPr>
        <w:t xml:space="preserve"> </w:t>
      </w:r>
    </w:p>
    <w:p w:rsidR="00334CB7" w:rsidRDefault="002D376B">
      <w:pPr>
        <w:pStyle w:val="3"/>
        <w:spacing w:line="280" w:lineRule="exact"/>
        <w:jc w:val="left"/>
        <w:rPr>
          <w:rFonts w:ascii="宋体" w:hAnsi="宋体" w:cs="宋体"/>
          <w:b/>
          <w:bCs/>
        </w:rPr>
      </w:pPr>
      <w:bookmarkStart w:id="129" w:name="_Toc989017"/>
      <w:r>
        <w:rPr>
          <w:rFonts w:ascii="宋体" w:hAnsi="宋体" w:cs="宋体"/>
          <w:b/>
          <w:bCs/>
        </w:rPr>
        <w:t>20、长期待摊费用</w:t>
      </w:r>
      <w:bookmarkEnd w:id="129"/>
    </w:p>
    <w:p w:rsidR="00C1183B" w:rsidRDefault="002D376B">
      <w:pPr>
        <w:pStyle w:val="a3"/>
        <w:spacing w:before="0" w:beforeAutospacing="0" w:after="0" w:afterAutospacing="0" w:line="400" w:lineRule="atLeast"/>
        <w:ind w:firstLine="360"/>
        <w:divId w:val="828793337"/>
        <w:rPr>
          <w:rFonts w:ascii="Times New Roman" w:hAnsi="Times New Roman" w:cs="Times New Roman"/>
          <w:sz w:val="21"/>
          <w:szCs w:val="21"/>
        </w:rPr>
      </w:pPr>
      <w:r>
        <w:rPr>
          <w:rFonts w:cs="Times New Roman" w:hint="eastAsia"/>
          <w:sz w:val="18"/>
          <w:szCs w:val="18"/>
        </w:rPr>
        <w:t>长期待摊费用为已经发生但应由报告期和以后各期负担的分摊期限在一年以上的各项费用。长期待摊费用在预计受益期间按直线法摊销。</w:t>
      </w:r>
    </w:p>
    <w:p w:rsidR="00334CB7" w:rsidRDefault="002D376B">
      <w:pPr>
        <w:pStyle w:val="3"/>
        <w:spacing w:line="280" w:lineRule="exact"/>
        <w:jc w:val="left"/>
        <w:rPr>
          <w:rFonts w:ascii="宋体" w:hAnsi="宋体" w:cs="宋体"/>
          <w:b/>
          <w:bCs/>
        </w:rPr>
      </w:pPr>
      <w:bookmarkStart w:id="130" w:name="_Toc989018"/>
      <w:r>
        <w:rPr>
          <w:rFonts w:ascii="宋体" w:hAnsi="宋体" w:cs="宋体"/>
          <w:b/>
          <w:bCs/>
        </w:rPr>
        <w:t>21、合同负债</w:t>
      </w:r>
      <w:bookmarkEnd w:id="130"/>
    </w:p>
    <w:p w:rsidR="00C1183B" w:rsidRDefault="002D376B">
      <w:pPr>
        <w:pStyle w:val="a3"/>
        <w:spacing w:before="0" w:beforeAutospacing="0" w:after="0" w:afterAutospacing="0" w:line="400" w:lineRule="atLeast"/>
        <w:ind w:firstLine="360"/>
        <w:jc w:val="both"/>
        <w:divId w:val="734820308"/>
      </w:pPr>
      <w:r>
        <w:rPr>
          <w:rFonts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rsidR="00334CB7" w:rsidRDefault="002D376B">
      <w:pPr>
        <w:pStyle w:val="3"/>
        <w:spacing w:line="280" w:lineRule="exact"/>
        <w:jc w:val="left"/>
        <w:rPr>
          <w:rFonts w:ascii="宋体" w:hAnsi="宋体" w:cs="宋体"/>
          <w:b/>
          <w:bCs/>
        </w:rPr>
      </w:pPr>
      <w:bookmarkStart w:id="131" w:name="_Toc989019"/>
      <w:r>
        <w:rPr>
          <w:rFonts w:ascii="宋体" w:hAnsi="宋体" w:cs="宋体"/>
          <w:b/>
          <w:bCs/>
        </w:rPr>
        <w:t>22、职工薪酬</w:t>
      </w:r>
      <w:bookmarkEnd w:id="131"/>
    </w:p>
    <w:p w:rsidR="00334CB7" w:rsidRDefault="002D376B">
      <w:pPr>
        <w:keepNext/>
        <w:keepLines/>
        <w:spacing w:before="300" w:after="300" w:line="280" w:lineRule="exact"/>
        <w:outlineLvl w:val="3"/>
        <w:rPr>
          <w:rFonts w:ascii="宋体" w:eastAsia="宋体" w:hAnsi="宋体" w:cs="宋体"/>
          <w:b/>
          <w:bCs/>
          <w:szCs w:val="21"/>
        </w:rPr>
      </w:pPr>
      <w:bookmarkStart w:id="132" w:name="_Toc989020"/>
      <w:r>
        <w:rPr>
          <w:rFonts w:ascii="宋体" w:eastAsia="宋体" w:hAnsi="宋体" w:cs="宋体"/>
          <w:b/>
          <w:bCs/>
          <w:szCs w:val="21"/>
        </w:rPr>
        <w:t>（1） 短期薪酬的会计处理方法</w:t>
      </w:r>
      <w:bookmarkEnd w:id="132"/>
    </w:p>
    <w:p w:rsidR="00C1183B" w:rsidRDefault="002D376B">
      <w:pPr>
        <w:pStyle w:val="a3"/>
        <w:spacing w:before="0" w:beforeAutospacing="0" w:after="0" w:afterAutospacing="0" w:line="400" w:lineRule="atLeast"/>
        <w:ind w:firstLine="360"/>
        <w:jc w:val="both"/>
        <w:divId w:val="685864501"/>
      </w:pPr>
      <w:r>
        <w:rPr>
          <w:rFonts w:hint="eastAsia"/>
          <w:sz w:val="18"/>
          <w:szCs w:val="18"/>
        </w:rPr>
        <w:t>本公司职工薪酬主要包括短期职工薪酬、离职后福利、辞退福利。其中：短期薪酬主要包括工资、奖金、津贴和补贴、职工福利费、医疗保险费、生育保险费、工伤保险费、住房公积金、工会经费和职工教育经费、非货币性福利等。本公司在职工为本公司提供服务的会计期间将实际发生的短期职工薪酬确认为负债，并计入当期损益或相关资产成本。其中非货币性福利按公允价值计量。</w:t>
      </w:r>
    </w:p>
    <w:p w:rsidR="00334CB7" w:rsidRDefault="002D376B">
      <w:pPr>
        <w:keepNext/>
        <w:keepLines/>
        <w:spacing w:before="300" w:after="300" w:line="280" w:lineRule="exact"/>
        <w:outlineLvl w:val="3"/>
        <w:rPr>
          <w:rFonts w:ascii="宋体" w:eastAsia="宋体" w:hAnsi="宋体" w:cs="宋体"/>
          <w:b/>
          <w:bCs/>
          <w:szCs w:val="21"/>
        </w:rPr>
      </w:pPr>
      <w:bookmarkStart w:id="133" w:name="_Toc989021"/>
      <w:r>
        <w:rPr>
          <w:rFonts w:ascii="宋体" w:eastAsia="宋体" w:hAnsi="宋体" w:cs="宋体"/>
          <w:b/>
          <w:bCs/>
          <w:szCs w:val="21"/>
        </w:rPr>
        <w:lastRenderedPageBreak/>
        <w:t>（2） 离职后福利的会计处理方法</w:t>
      </w:r>
      <w:bookmarkEnd w:id="133"/>
    </w:p>
    <w:p w:rsidR="00C1183B" w:rsidRDefault="002D376B">
      <w:pPr>
        <w:pStyle w:val="a3"/>
        <w:spacing w:before="0" w:beforeAutospacing="0" w:after="0" w:afterAutospacing="0" w:line="400" w:lineRule="atLeast"/>
        <w:ind w:firstLine="360"/>
        <w:jc w:val="both"/>
        <w:divId w:val="1790004466"/>
        <w:rPr>
          <w:rFonts w:ascii="Times New Roman" w:hAnsi="Times New Roman" w:cs="Times New Roman"/>
          <w:sz w:val="21"/>
          <w:szCs w:val="21"/>
        </w:rPr>
      </w:pPr>
      <w:r>
        <w:rPr>
          <w:rFonts w:cs="Times New Roman" w:hint="eastAsia"/>
          <w:sz w:val="18"/>
          <w:szCs w:val="18"/>
        </w:rPr>
        <w:t>离职后福利主要包括基本养老保险、失业保险以及年金等。离职后福利计划包括设定提存计划。采用设定提存计划的，相应的应缴存金额于发生时计入相关资产成本或当期损益。</w:t>
      </w:r>
    </w:p>
    <w:p w:rsidR="00334CB7" w:rsidRDefault="002D376B">
      <w:pPr>
        <w:keepNext/>
        <w:keepLines/>
        <w:spacing w:before="300" w:after="300" w:line="280" w:lineRule="exact"/>
        <w:outlineLvl w:val="3"/>
        <w:rPr>
          <w:rFonts w:ascii="宋体" w:eastAsia="宋体" w:hAnsi="宋体" w:cs="宋体"/>
          <w:b/>
          <w:bCs/>
          <w:szCs w:val="21"/>
        </w:rPr>
      </w:pPr>
      <w:bookmarkStart w:id="134" w:name="_Toc989022"/>
      <w:r>
        <w:rPr>
          <w:rFonts w:ascii="宋体" w:eastAsia="宋体" w:hAnsi="宋体" w:cs="宋体"/>
          <w:b/>
          <w:bCs/>
          <w:szCs w:val="21"/>
        </w:rPr>
        <w:t>（3） 辞退福利的会计处理方法</w:t>
      </w:r>
      <w:bookmarkEnd w:id="134"/>
    </w:p>
    <w:p w:rsidR="00C1183B" w:rsidRDefault="002D376B">
      <w:pPr>
        <w:pStyle w:val="a3"/>
        <w:spacing w:before="0" w:beforeAutospacing="0" w:after="0" w:afterAutospacing="0" w:line="400" w:lineRule="atLeast"/>
        <w:ind w:firstLine="360"/>
        <w:jc w:val="both"/>
        <w:divId w:val="1897549084"/>
      </w:pPr>
      <w:r>
        <w:rPr>
          <w:rFonts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p w:rsidR="00C1183B" w:rsidRDefault="002D376B">
      <w:pPr>
        <w:pStyle w:val="a3"/>
        <w:spacing w:before="0" w:beforeAutospacing="0" w:after="0" w:afterAutospacing="0" w:line="400" w:lineRule="atLeast"/>
        <w:ind w:firstLine="360"/>
        <w:jc w:val="both"/>
        <w:divId w:val="1897549084"/>
      </w:pPr>
      <w:r>
        <w:rPr>
          <w:rFonts w:hint="eastAsia"/>
          <w:sz w:val="18"/>
          <w:szCs w:val="18"/>
        </w:rPr>
        <w:t>职工内部退休计划采用与上述辞退福利相同的原则处理。本公司将</w:t>
      </w:r>
      <w:proofErr w:type="gramStart"/>
      <w:r>
        <w:rPr>
          <w:rFonts w:hint="eastAsia"/>
          <w:sz w:val="18"/>
          <w:szCs w:val="18"/>
        </w:rPr>
        <w:t>自职工</w:t>
      </w:r>
      <w:proofErr w:type="gramEnd"/>
      <w:r>
        <w:rPr>
          <w:rFonts w:hint="eastAsia"/>
          <w:sz w:val="18"/>
          <w:szCs w:val="18"/>
        </w:rPr>
        <w:t>停止提供服务日至正常退休日的期间</w:t>
      </w:r>
      <w:proofErr w:type="gramStart"/>
      <w:r>
        <w:rPr>
          <w:rFonts w:hint="eastAsia"/>
          <w:sz w:val="18"/>
          <w:szCs w:val="18"/>
        </w:rPr>
        <w:t>拟支付</w:t>
      </w:r>
      <w:proofErr w:type="gramEnd"/>
      <w:r>
        <w:rPr>
          <w:rFonts w:hint="eastAsia"/>
          <w:sz w:val="18"/>
          <w:szCs w:val="18"/>
        </w:rPr>
        <w:t>的内退人员工资和缴纳的社会保险费等，在符合预计负债确认条件时，计入当期损益（辞退福利）。</w:t>
      </w:r>
    </w:p>
    <w:p w:rsidR="00334CB7" w:rsidRDefault="002D376B">
      <w:pPr>
        <w:keepNext/>
        <w:keepLines/>
        <w:spacing w:before="300" w:after="300" w:line="280" w:lineRule="exact"/>
        <w:outlineLvl w:val="3"/>
        <w:rPr>
          <w:rFonts w:ascii="宋体" w:eastAsia="宋体" w:hAnsi="宋体" w:cs="宋体"/>
          <w:b/>
          <w:bCs/>
          <w:szCs w:val="21"/>
        </w:rPr>
      </w:pPr>
      <w:bookmarkStart w:id="135" w:name="_Toc989023"/>
      <w:r>
        <w:rPr>
          <w:rFonts w:ascii="宋体" w:eastAsia="宋体" w:hAnsi="宋体" w:cs="宋体"/>
          <w:b/>
          <w:bCs/>
          <w:szCs w:val="21"/>
        </w:rPr>
        <w:t>（4） 其他长期职工福利的会计处理方法</w:t>
      </w:r>
      <w:bookmarkEnd w:id="135"/>
    </w:p>
    <w:p w:rsidR="00C1183B" w:rsidRDefault="002D376B">
      <w:pPr>
        <w:pStyle w:val="a3"/>
        <w:spacing w:before="0" w:beforeAutospacing="0" w:after="0" w:afterAutospacing="0" w:line="400" w:lineRule="atLeast"/>
        <w:ind w:firstLine="360"/>
        <w:jc w:val="both"/>
        <w:divId w:val="1508868065"/>
      </w:pPr>
      <w:r>
        <w:rPr>
          <w:rFonts w:hint="eastAsia"/>
          <w:sz w:val="18"/>
          <w:szCs w:val="18"/>
        </w:rPr>
        <w:t>本公司向职工提供的其他长期职工福利，符合设定提存计划的，按照设定提存计划进行会计处理，除此之外按照设定受益计划进行会计处理。</w:t>
      </w:r>
    </w:p>
    <w:p w:rsidR="00334CB7" w:rsidRDefault="002D376B">
      <w:pPr>
        <w:pStyle w:val="3"/>
        <w:spacing w:line="280" w:lineRule="exact"/>
        <w:jc w:val="left"/>
        <w:rPr>
          <w:rFonts w:ascii="宋体" w:hAnsi="宋体" w:cs="宋体"/>
          <w:b/>
          <w:bCs/>
        </w:rPr>
      </w:pPr>
      <w:bookmarkStart w:id="136" w:name="_Toc989024"/>
      <w:r>
        <w:rPr>
          <w:rFonts w:ascii="宋体" w:hAnsi="宋体" w:cs="宋体"/>
          <w:b/>
          <w:bCs/>
        </w:rPr>
        <w:t>23、预计负债</w:t>
      </w:r>
      <w:bookmarkEnd w:id="136"/>
    </w:p>
    <w:p w:rsidR="00C1183B" w:rsidRDefault="002D376B">
      <w:pPr>
        <w:pStyle w:val="a3"/>
        <w:spacing w:before="0" w:beforeAutospacing="0" w:after="0" w:afterAutospacing="0" w:line="400" w:lineRule="atLeast"/>
        <w:ind w:firstLine="360"/>
        <w:divId w:val="250745547"/>
      </w:pPr>
      <w:r>
        <w:rPr>
          <w:rFonts w:hint="eastAsia"/>
          <w:sz w:val="18"/>
          <w:szCs w:val="18"/>
        </w:rPr>
        <w:t>因对外提供担保、诉讼事项、产品质量保证、亏损合同等或有事项形成的义务成为本公司承担的现时义务，履行该义务很可能导致经济利益流出本公司，且该义务的金额能够可靠的计量时，本公司将该项义务确认为预计负债。</w:t>
      </w:r>
    </w:p>
    <w:p w:rsidR="00C1183B" w:rsidRDefault="002D376B">
      <w:pPr>
        <w:pStyle w:val="a3"/>
        <w:spacing w:before="0" w:beforeAutospacing="0" w:after="0" w:afterAutospacing="0" w:line="400" w:lineRule="atLeast"/>
        <w:ind w:firstLine="360"/>
        <w:divId w:val="250745547"/>
      </w:pPr>
      <w:r>
        <w:rPr>
          <w:rFonts w:hint="eastAsia"/>
          <w:sz w:val="18"/>
          <w:szCs w:val="18"/>
        </w:rPr>
        <w:t>本公司按照履行相关现时义务所需支出的最佳估计数对预计负债进行初始计量，并在资产负债表日对预计负债的账面价值进行复核。</w:t>
      </w:r>
    </w:p>
    <w:p w:rsidR="00C1183B" w:rsidRDefault="002D376B">
      <w:pPr>
        <w:pStyle w:val="a3"/>
        <w:spacing w:before="0" w:beforeAutospacing="0" w:after="0" w:afterAutospacing="0" w:line="400" w:lineRule="atLeast"/>
        <w:ind w:firstLine="360"/>
        <w:divId w:val="250745547"/>
      </w:pPr>
      <w:r>
        <w:rPr>
          <w:rFonts w:hint="eastAsia"/>
          <w:sz w:val="18"/>
          <w:szCs w:val="18"/>
        </w:rPr>
        <w:t>如果清偿预计负债所需支出全部或部分预期由第三方补偿的，补偿金额在基本确定能够收到时，作为资产单独确认，且确认的补偿金额不超过预计负债的账面价值。</w:t>
      </w:r>
    </w:p>
    <w:p w:rsidR="00334CB7" w:rsidRDefault="002D376B">
      <w:pPr>
        <w:pStyle w:val="3"/>
        <w:spacing w:line="280" w:lineRule="exact"/>
        <w:jc w:val="left"/>
        <w:rPr>
          <w:rFonts w:ascii="宋体" w:hAnsi="宋体" w:cs="宋体"/>
          <w:b/>
          <w:bCs/>
        </w:rPr>
      </w:pPr>
      <w:bookmarkStart w:id="137" w:name="_Toc989025"/>
      <w:r>
        <w:rPr>
          <w:rFonts w:ascii="宋体" w:hAnsi="宋体" w:cs="宋体"/>
          <w:b/>
          <w:bCs/>
        </w:rPr>
        <w:t>24、股份支付</w:t>
      </w:r>
      <w:bookmarkEnd w:id="137"/>
    </w:p>
    <w:p w:rsidR="00C1183B" w:rsidRDefault="002D376B">
      <w:pPr>
        <w:pStyle w:val="a3"/>
        <w:spacing w:before="0" w:beforeAutospacing="0" w:after="0" w:afterAutospacing="0" w:line="400" w:lineRule="atLeast"/>
        <w:ind w:firstLine="360"/>
        <w:divId w:val="192576353"/>
      </w:pPr>
      <w:r>
        <w:rPr>
          <w:rFonts w:hint="eastAsia"/>
          <w:sz w:val="18"/>
          <w:szCs w:val="18"/>
        </w:rPr>
        <w:t>（</w:t>
      </w:r>
      <w:r>
        <w:rPr>
          <w:rFonts w:ascii="Arial" w:hAnsi="Arial" w:cs="Arial"/>
          <w:sz w:val="18"/>
          <w:szCs w:val="18"/>
        </w:rPr>
        <w:t>1</w:t>
      </w:r>
      <w:r>
        <w:rPr>
          <w:rFonts w:hint="eastAsia"/>
          <w:sz w:val="18"/>
          <w:szCs w:val="18"/>
        </w:rPr>
        <w:t>）股份支付的会计处理方法</w:t>
      </w:r>
    </w:p>
    <w:p w:rsidR="00C1183B" w:rsidRDefault="002D376B">
      <w:pPr>
        <w:pStyle w:val="a3"/>
        <w:spacing w:before="0" w:beforeAutospacing="0" w:after="0" w:afterAutospacing="0" w:line="400" w:lineRule="atLeast"/>
        <w:ind w:firstLine="360"/>
        <w:divId w:val="192576353"/>
      </w:pPr>
      <w:r>
        <w:rPr>
          <w:rFonts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C1183B" w:rsidRDefault="002D376B">
      <w:pPr>
        <w:pStyle w:val="a3"/>
        <w:spacing w:before="0" w:beforeAutospacing="0" w:after="0" w:afterAutospacing="0" w:line="400" w:lineRule="atLeast"/>
        <w:ind w:firstLine="360"/>
        <w:divId w:val="192576353"/>
      </w:pPr>
      <w:r>
        <w:rPr>
          <w:rFonts w:hint="eastAsia"/>
          <w:sz w:val="18"/>
          <w:szCs w:val="18"/>
        </w:rPr>
        <w:t>①</w:t>
      </w:r>
      <w:r>
        <w:rPr>
          <w:rFonts w:ascii="Arial" w:hAnsi="Arial" w:cs="Arial"/>
          <w:sz w:val="18"/>
          <w:szCs w:val="18"/>
        </w:rPr>
        <w:t xml:space="preserve"> </w:t>
      </w:r>
      <w:r>
        <w:rPr>
          <w:rFonts w:hint="eastAsia"/>
          <w:sz w:val="18"/>
          <w:szCs w:val="18"/>
        </w:rPr>
        <w:t>以权益结算的股份支付</w:t>
      </w:r>
    </w:p>
    <w:p w:rsidR="00C1183B" w:rsidRDefault="002D376B">
      <w:pPr>
        <w:pStyle w:val="a3"/>
        <w:spacing w:before="0" w:beforeAutospacing="0" w:after="0" w:afterAutospacing="0" w:line="400" w:lineRule="atLeast"/>
        <w:ind w:firstLine="360"/>
        <w:divId w:val="192576353"/>
      </w:pPr>
      <w:r>
        <w:rPr>
          <w:rFonts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rFonts w:ascii="Arial" w:hAnsi="Arial" w:cs="Arial"/>
          <w:sz w:val="18"/>
          <w:szCs w:val="18"/>
        </w:rPr>
        <w:t>/</w:t>
      </w:r>
      <w:r>
        <w:rPr>
          <w:rFonts w:hint="eastAsia"/>
          <w:sz w:val="18"/>
          <w:szCs w:val="18"/>
        </w:rPr>
        <w:t>在授予后立即可行权时，在授予日计入相关成本或费用，相应增加资本公积。</w:t>
      </w:r>
    </w:p>
    <w:p w:rsidR="00C1183B" w:rsidRDefault="002D376B">
      <w:pPr>
        <w:pStyle w:val="a3"/>
        <w:spacing w:before="0" w:beforeAutospacing="0" w:after="0" w:afterAutospacing="0" w:line="400" w:lineRule="atLeast"/>
        <w:ind w:firstLine="360"/>
        <w:divId w:val="192576353"/>
      </w:pPr>
      <w:r>
        <w:rPr>
          <w:rFonts w:hint="eastAsia"/>
          <w:sz w:val="18"/>
          <w:szCs w:val="18"/>
        </w:rPr>
        <w:lastRenderedPageBreak/>
        <w:t>在等待期内每个资产负债表日，本公司根据最新取得的可行</w:t>
      </w:r>
      <w:proofErr w:type="gramStart"/>
      <w:r>
        <w:rPr>
          <w:rFonts w:hint="eastAsia"/>
          <w:sz w:val="18"/>
          <w:szCs w:val="18"/>
        </w:rPr>
        <w:t>权职工</w:t>
      </w:r>
      <w:proofErr w:type="gramEnd"/>
      <w:r>
        <w:rPr>
          <w:rFonts w:hint="eastAsia"/>
          <w:sz w:val="18"/>
          <w:szCs w:val="18"/>
        </w:rPr>
        <w:t>人数变动等后续信息做出最佳估计，修正预计可行权的权益工具数量。上述估计的影响计入当期相关成本或费用，并相应调整资本公积。</w:t>
      </w:r>
    </w:p>
    <w:p w:rsidR="00C1183B" w:rsidRDefault="002D376B">
      <w:pPr>
        <w:pStyle w:val="a3"/>
        <w:spacing w:before="0" w:beforeAutospacing="0" w:after="0" w:afterAutospacing="0" w:line="400" w:lineRule="atLeast"/>
        <w:ind w:firstLine="360"/>
        <w:divId w:val="192576353"/>
      </w:pPr>
      <w:r>
        <w:rPr>
          <w:rFonts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C1183B" w:rsidRDefault="002D376B">
      <w:pPr>
        <w:pStyle w:val="a3"/>
        <w:spacing w:before="0" w:beforeAutospacing="0" w:after="0" w:afterAutospacing="0" w:line="400" w:lineRule="atLeast"/>
        <w:ind w:firstLine="360"/>
        <w:divId w:val="192576353"/>
      </w:pPr>
      <w:r>
        <w:rPr>
          <w:rFonts w:hint="eastAsia"/>
          <w:sz w:val="18"/>
          <w:szCs w:val="18"/>
        </w:rPr>
        <w:t>②</w:t>
      </w:r>
      <w:r>
        <w:rPr>
          <w:rFonts w:ascii="Arial" w:hAnsi="Arial" w:cs="Arial"/>
          <w:sz w:val="18"/>
          <w:szCs w:val="18"/>
        </w:rPr>
        <w:t xml:space="preserve"> </w:t>
      </w:r>
      <w:r>
        <w:rPr>
          <w:rFonts w:hint="eastAsia"/>
          <w:sz w:val="18"/>
          <w:szCs w:val="18"/>
        </w:rPr>
        <w:t>以现金结算的股份支付</w:t>
      </w:r>
    </w:p>
    <w:p w:rsidR="00C1183B" w:rsidRDefault="002D376B">
      <w:pPr>
        <w:pStyle w:val="a3"/>
        <w:spacing w:before="0" w:beforeAutospacing="0" w:after="0" w:afterAutospacing="0" w:line="400" w:lineRule="atLeast"/>
        <w:ind w:firstLine="360"/>
        <w:divId w:val="192576353"/>
      </w:pPr>
      <w:r>
        <w:rPr>
          <w:rFonts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w:t>
      </w:r>
      <w:proofErr w:type="gramStart"/>
      <w:r>
        <w:rPr>
          <w:rFonts w:hint="eastAsia"/>
          <w:sz w:val="18"/>
          <w:szCs w:val="18"/>
        </w:rPr>
        <w:t>权情况</w:t>
      </w:r>
      <w:proofErr w:type="gramEnd"/>
      <w:r>
        <w:rPr>
          <w:rFonts w:hint="eastAsia"/>
          <w:sz w:val="18"/>
          <w:szCs w:val="18"/>
        </w:rPr>
        <w:t>的最佳估计为基础，按照本公司承担负债的公允价值金额，将当期取得的服务计入成本或费用，相应增加负债。</w:t>
      </w:r>
    </w:p>
    <w:p w:rsidR="00C1183B" w:rsidRDefault="002D376B">
      <w:pPr>
        <w:pStyle w:val="a3"/>
        <w:spacing w:before="0" w:beforeAutospacing="0" w:after="0" w:afterAutospacing="0" w:line="400" w:lineRule="atLeast"/>
        <w:ind w:firstLine="360"/>
        <w:divId w:val="192576353"/>
      </w:pPr>
      <w:r>
        <w:rPr>
          <w:rFonts w:hint="eastAsia"/>
          <w:sz w:val="18"/>
          <w:szCs w:val="18"/>
        </w:rPr>
        <w:t>在相关负债结算前的每个资产负债表日以及结算日，对负债的公允价值重新计量，其变动计入当期损益。</w:t>
      </w:r>
    </w:p>
    <w:p w:rsidR="00C1183B" w:rsidRDefault="002D376B">
      <w:pPr>
        <w:pStyle w:val="a3"/>
        <w:spacing w:before="0" w:beforeAutospacing="0" w:after="0" w:afterAutospacing="0" w:line="400" w:lineRule="atLeast"/>
        <w:ind w:firstLine="360"/>
        <w:divId w:val="192576353"/>
      </w:pPr>
      <w:r>
        <w:rPr>
          <w:rFonts w:hint="eastAsia"/>
          <w:sz w:val="18"/>
          <w:szCs w:val="18"/>
        </w:rPr>
        <w:t>（</w:t>
      </w:r>
      <w:r>
        <w:rPr>
          <w:rFonts w:ascii="Arial" w:hAnsi="Arial" w:cs="Arial"/>
          <w:sz w:val="18"/>
          <w:szCs w:val="18"/>
        </w:rPr>
        <w:t>2</w:t>
      </w:r>
      <w:r>
        <w:rPr>
          <w:rFonts w:hint="eastAsia"/>
          <w:sz w:val="18"/>
          <w:szCs w:val="18"/>
        </w:rPr>
        <w:t>）修改、终止股份支付计划的相关会计处理</w:t>
      </w:r>
    </w:p>
    <w:p w:rsidR="00C1183B" w:rsidRDefault="002D376B">
      <w:pPr>
        <w:pStyle w:val="a3"/>
        <w:spacing w:before="0" w:beforeAutospacing="0" w:after="0" w:afterAutospacing="0" w:line="400" w:lineRule="atLeast"/>
        <w:ind w:firstLine="360"/>
        <w:divId w:val="192576353"/>
      </w:pPr>
      <w:r>
        <w:rPr>
          <w:rFonts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C1183B" w:rsidRDefault="002D376B">
      <w:pPr>
        <w:pStyle w:val="a3"/>
        <w:spacing w:before="0" w:beforeAutospacing="0" w:after="0" w:afterAutospacing="0" w:line="400" w:lineRule="atLeast"/>
        <w:ind w:firstLine="360"/>
        <w:divId w:val="192576353"/>
      </w:pPr>
      <w:r>
        <w:rPr>
          <w:rFonts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Pr>
          <w:rFonts w:hint="eastAsia"/>
          <w:sz w:val="18"/>
          <w:szCs w:val="18"/>
        </w:rPr>
        <w:t>权条件</w:t>
      </w:r>
      <w:proofErr w:type="gramEnd"/>
      <w:r>
        <w:rPr>
          <w:rFonts w:hint="eastAsia"/>
          <w:sz w:val="18"/>
          <w:szCs w:val="18"/>
        </w:rPr>
        <w:t>但在等待期内未满足的，本公司将其作为授予权益工具的取消处理。</w:t>
      </w:r>
    </w:p>
    <w:p w:rsidR="00C1183B" w:rsidRDefault="002D376B">
      <w:pPr>
        <w:pStyle w:val="a3"/>
        <w:spacing w:before="0" w:beforeAutospacing="0" w:after="0" w:afterAutospacing="0" w:line="400" w:lineRule="atLeast"/>
        <w:ind w:firstLine="360"/>
        <w:divId w:val="192576353"/>
      </w:pPr>
      <w:r>
        <w:rPr>
          <w:rFonts w:hint="eastAsia"/>
          <w:sz w:val="18"/>
          <w:szCs w:val="18"/>
        </w:rPr>
        <w:t>（</w:t>
      </w:r>
      <w:r>
        <w:rPr>
          <w:rFonts w:ascii="Arial" w:hAnsi="Arial" w:cs="Arial"/>
          <w:sz w:val="18"/>
          <w:szCs w:val="18"/>
        </w:rPr>
        <w:t>3</w:t>
      </w:r>
      <w:r>
        <w:rPr>
          <w:rFonts w:hint="eastAsia"/>
          <w:sz w:val="18"/>
          <w:szCs w:val="18"/>
        </w:rPr>
        <w:t>）涉及本公司与本公司股东或实际控制人的股份支付交易的会计处理</w:t>
      </w:r>
    </w:p>
    <w:p w:rsidR="00C1183B" w:rsidRDefault="002D376B">
      <w:pPr>
        <w:pStyle w:val="a3"/>
        <w:spacing w:before="0" w:beforeAutospacing="0" w:after="0" w:afterAutospacing="0" w:line="400" w:lineRule="atLeast"/>
        <w:ind w:firstLine="360"/>
        <w:divId w:val="192576353"/>
      </w:pPr>
      <w:r>
        <w:rPr>
          <w:rFonts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rsidR="00C1183B" w:rsidRDefault="002D376B">
      <w:pPr>
        <w:pStyle w:val="a3"/>
        <w:spacing w:before="0" w:beforeAutospacing="0" w:after="0" w:afterAutospacing="0" w:line="400" w:lineRule="atLeast"/>
        <w:ind w:firstLine="360"/>
        <w:divId w:val="192576353"/>
      </w:pPr>
      <w:r>
        <w:rPr>
          <w:rFonts w:hint="eastAsia"/>
          <w:sz w:val="18"/>
          <w:szCs w:val="18"/>
        </w:rPr>
        <w:t>①</w:t>
      </w:r>
      <w:r>
        <w:rPr>
          <w:rFonts w:ascii="Arial" w:hAnsi="Arial" w:cs="Arial"/>
          <w:sz w:val="18"/>
          <w:szCs w:val="18"/>
        </w:rPr>
        <w:t xml:space="preserve"> </w:t>
      </w:r>
      <w:r>
        <w:rPr>
          <w:rFonts w:hint="eastAsia"/>
          <w:sz w:val="18"/>
          <w:szCs w:val="18"/>
        </w:rPr>
        <w:t>结算企业以其本身权益工具结算的，将该股份支付交易作为权益结算的股份支付处理；除此之外，作为现金结算的股份支付处理。</w:t>
      </w:r>
    </w:p>
    <w:p w:rsidR="00C1183B" w:rsidRDefault="002D376B">
      <w:pPr>
        <w:pStyle w:val="a3"/>
        <w:spacing w:before="0" w:beforeAutospacing="0" w:after="0" w:afterAutospacing="0" w:line="400" w:lineRule="atLeast"/>
        <w:ind w:firstLine="360"/>
        <w:divId w:val="192576353"/>
      </w:pPr>
      <w:r>
        <w:rPr>
          <w:rFonts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C1183B" w:rsidRDefault="002D376B">
      <w:pPr>
        <w:pStyle w:val="a3"/>
        <w:spacing w:before="0" w:beforeAutospacing="0" w:after="0" w:afterAutospacing="0" w:line="400" w:lineRule="atLeast"/>
        <w:ind w:firstLine="360"/>
        <w:divId w:val="192576353"/>
      </w:pPr>
      <w:r>
        <w:rPr>
          <w:rFonts w:hint="eastAsia"/>
          <w:sz w:val="18"/>
          <w:szCs w:val="18"/>
        </w:rPr>
        <w:t>②</w:t>
      </w:r>
      <w:r>
        <w:rPr>
          <w:rFonts w:ascii="Arial" w:hAnsi="Arial" w:cs="Arial"/>
          <w:sz w:val="18"/>
          <w:szCs w:val="18"/>
        </w:rPr>
        <w:t xml:space="preserve"> </w:t>
      </w:r>
      <w:r>
        <w:rPr>
          <w:rFonts w:hint="eastAsia"/>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C1183B" w:rsidRDefault="002D376B">
      <w:pPr>
        <w:pStyle w:val="a3"/>
        <w:spacing w:before="0" w:beforeAutospacing="0" w:after="0" w:afterAutospacing="0" w:line="400" w:lineRule="atLeast"/>
        <w:ind w:firstLine="360"/>
        <w:divId w:val="192576353"/>
      </w:pPr>
      <w:r>
        <w:rPr>
          <w:rFonts w:hint="eastAsia"/>
          <w:sz w:val="18"/>
          <w:szCs w:val="18"/>
        </w:rPr>
        <w:t>本公司合并范围内各企业之间发生的股份支付交易，接受服务企业和结算企业不是同一企业的，在接受服务企业和结算企业各自的个别财务报表中对该股份支付交易的确认和计量，比照上述原则处理。</w:t>
      </w:r>
    </w:p>
    <w:p w:rsidR="00334CB7" w:rsidRDefault="002D376B">
      <w:pPr>
        <w:pStyle w:val="3"/>
        <w:spacing w:line="280" w:lineRule="exact"/>
        <w:jc w:val="left"/>
        <w:rPr>
          <w:rFonts w:ascii="宋体" w:hAnsi="宋体" w:cs="宋体"/>
          <w:b/>
          <w:bCs/>
        </w:rPr>
      </w:pPr>
      <w:bookmarkStart w:id="138" w:name="_Toc989026"/>
      <w:r>
        <w:rPr>
          <w:rFonts w:ascii="宋体" w:hAnsi="宋体" w:cs="宋体"/>
          <w:b/>
          <w:bCs/>
        </w:rPr>
        <w:t>25、优先股、永续债等其他金融工具</w:t>
      </w:r>
      <w:bookmarkEnd w:id="138"/>
    </w:p>
    <w:p w:rsidR="00C1183B" w:rsidRDefault="002D376B">
      <w:pPr>
        <w:pStyle w:val="a3"/>
        <w:spacing w:before="0" w:beforeAutospacing="0" w:after="0" w:afterAutospacing="0" w:line="400" w:lineRule="atLeast"/>
        <w:ind w:firstLine="360"/>
        <w:divId w:val="1666515335"/>
      </w:pPr>
      <w:r>
        <w:rPr>
          <w:rFonts w:hint="eastAsia"/>
          <w:sz w:val="18"/>
          <w:szCs w:val="18"/>
        </w:rPr>
        <w:t>（</w:t>
      </w:r>
      <w:r>
        <w:rPr>
          <w:rFonts w:ascii="Arial" w:hAnsi="Arial" w:cs="Arial"/>
          <w:sz w:val="18"/>
          <w:szCs w:val="18"/>
        </w:rPr>
        <w:t>1</w:t>
      </w:r>
      <w:r>
        <w:rPr>
          <w:rFonts w:hint="eastAsia"/>
          <w:sz w:val="18"/>
          <w:szCs w:val="18"/>
        </w:rPr>
        <w:t>）永续债和优先股等的区分</w:t>
      </w:r>
    </w:p>
    <w:p w:rsidR="00C1183B" w:rsidRDefault="002D376B">
      <w:pPr>
        <w:pStyle w:val="a3"/>
        <w:spacing w:before="0" w:beforeAutospacing="0" w:after="0" w:afterAutospacing="0" w:line="400" w:lineRule="atLeast"/>
        <w:ind w:firstLine="360"/>
        <w:divId w:val="1666515335"/>
      </w:pPr>
      <w:r>
        <w:rPr>
          <w:rFonts w:hint="eastAsia"/>
          <w:sz w:val="18"/>
          <w:szCs w:val="18"/>
        </w:rPr>
        <w:lastRenderedPageBreak/>
        <w:t>本公司发行的永续债和优先股等金融工具，同时符合以下条件的，作为权益工具：</w:t>
      </w:r>
    </w:p>
    <w:p w:rsidR="00C1183B" w:rsidRDefault="002D376B">
      <w:pPr>
        <w:pStyle w:val="a3"/>
        <w:spacing w:before="0" w:beforeAutospacing="0" w:after="0" w:afterAutospacing="0" w:line="400" w:lineRule="atLeast"/>
        <w:ind w:firstLine="360"/>
        <w:divId w:val="1666515335"/>
      </w:pPr>
      <w:r>
        <w:rPr>
          <w:rFonts w:hint="eastAsia"/>
          <w:sz w:val="18"/>
          <w:szCs w:val="18"/>
        </w:rPr>
        <w:t>①该金融工具不包括交付现金或其他金融资产给其他方，或在潜在不利条件下与其他方交换金融资产或金融负债的合同义务；</w:t>
      </w:r>
    </w:p>
    <w:p w:rsidR="00C1183B" w:rsidRDefault="002D376B">
      <w:pPr>
        <w:pStyle w:val="a3"/>
        <w:spacing w:before="0" w:beforeAutospacing="0" w:after="0" w:afterAutospacing="0" w:line="400" w:lineRule="atLeast"/>
        <w:ind w:firstLine="360"/>
        <w:divId w:val="1666515335"/>
      </w:pPr>
      <w:r>
        <w:rPr>
          <w:rFonts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C1183B" w:rsidRDefault="002D376B">
      <w:pPr>
        <w:pStyle w:val="a3"/>
        <w:spacing w:before="0" w:beforeAutospacing="0" w:after="0" w:afterAutospacing="0" w:line="400" w:lineRule="atLeast"/>
        <w:ind w:firstLine="360"/>
        <w:divId w:val="1666515335"/>
      </w:pPr>
      <w:r>
        <w:rPr>
          <w:rFonts w:hint="eastAsia"/>
          <w:sz w:val="18"/>
          <w:szCs w:val="18"/>
        </w:rPr>
        <w:t>除按上述条件可归类为权益工具的金融工具以外，本公司发行的其他金融工具应归类为金融负债。</w:t>
      </w:r>
    </w:p>
    <w:p w:rsidR="00C1183B" w:rsidRDefault="002D376B">
      <w:pPr>
        <w:pStyle w:val="a3"/>
        <w:spacing w:before="0" w:beforeAutospacing="0" w:after="0" w:afterAutospacing="0" w:line="400" w:lineRule="atLeast"/>
        <w:ind w:firstLine="360"/>
        <w:divId w:val="1666515335"/>
      </w:pPr>
      <w:r>
        <w:rPr>
          <w:rFonts w:hint="eastAsia"/>
          <w:sz w:val="18"/>
          <w:szCs w:val="18"/>
        </w:rPr>
        <w:t>本公司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rsidR="00C1183B" w:rsidRDefault="002D376B">
      <w:pPr>
        <w:pStyle w:val="a3"/>
        <w:spacing w:before="0" w:beforeAutospacing="0" w:after="0" w:afterAutospacing="0" w:line="400" w:lineRule="atLeast"/>
        <w:ind w:firstLine="360"/>
        <w:divId w:val="1666515335"/>
      </w:pPr>
      <w:r>
        <w:rPr>
          <w:rFonts w:hint="eastAsia"/>
          <w:sz w:val="18"/>
          <w:szCs w:val="18"/>
        </w:rPr>
        <w:t>（</w:t>
      </w:r>
      <w:r>
        <w:rPr>
          <w:rFonts w:ascii="Arial" w:hAnsi="Arial" w:cs="Arial"/>
          <w:sz w:val="18"/>
          <w:szCs w:val="18"/>
        </w:rPr>
        <w:t>2</w:t>
      </w:r>
      <w:r>
        <w:rPr>
          <w:rFonts w:hint="eastAsia"/>
          <w:sz w:val="18"/>
          <w:szCs w:val="18"/>
        </w:rPr>
        <w:t>）永续债和优先股等的会计处理方法</w:t>
      </w:r>
    </w:p>
    <w:p w:rsidR="00C1183B" w:rsidRDefault="002D376B">
      <w:pPr>
        <w:pStyle w:val="a3"/>
        <w:spacing w:before="0" w:beforeAutospacing="0" w:after="0" w:afterAutospacing="0" w:line="400" w:lineRule="atLeast"/>
        <w:ind w:firstLine="360"/>
        <w:divId w:val="1666515335"/>
      </w:pPr>
      <w:r>
        <w:rPr>
          <w:rFonts w:hint="eastAsia"/>
          <w:sz w:val="18"/>
          <w:szCs w:val="18"/>
        </w:rPr>
        <w:t>归类为金融负债的永续债和优先股等金融工具，其相关利息、股利（或股息）、利得或损失，以及赎回或再融资产生的利得或损失等，除符合资本化条件的借款费用（参见</w:t>
      </w:r>
      <w:r>
        <w:rPr>
          <w:rFonts w:hint="eastAsia"/>
          <w:color w:val="000000"/>
          <w:sz w:val="18"/>
          <w:szCs w:val="18"/>
        </w:rPr>
        <w:t>本附注五、</w:t>
      </w:r>
      <w:r>
        <w:rPr>
          <w:rFonts w:ascii="Arial" w:hAnsi="Arial" w:cs="Arial"/>
          <w:color w:val="000000"/>
          <w:sz w:val="18"/>
          <w:szCs w:val="18"/>
        </w:rPr>
        <w:t xml:space="preserve">17 </w:t>
      </w:r>
      <w:r>
        <w:rPr>
          <w:rFonts w:hint="eastAsia"/>
          <w:color w:val="000000"/>
          <w:sz w:val="18"/>
          <w:szCs w:val="18"/>
        </w:rPr>
        <w:t>“借款费用”</w:t>
      </w:r>
      <w:r>
        <w:rPr>
          <w:rFonts w:ascii="Arial" w:hAnsi="Arial" w:cs="Arial"/>
          <w:color w:val="000000"/>
          <w:sz w:val="18"/>
          <w:szCs w:val="18"/>
        </w:rPr>
        <w:t xml:space="preserve"> </w:t>
      </w:r>
      <w:r>
        <w:rPr>
          <w:rFonts w:hint="eastAsia"/>
          <w:color w:val="000000"/>
          <w:sz w:val="18"/>
          <w:szCs w:val="18"/>
        </w:rPr>
        <w:t>）以外，均计入当期损益。</w:t>
      </w:r>
    </w:p>
    <w:p w:rsidR="00C1183B" w:rsidRDefault="002D376B">
      <w:pPr>
        <w:pStyle w:val="a3"/>
        <w:spacing w:before="0" w:beforeAutospacing="0" w:after="0" w:afterAutospacing="0" w:line="400" w:lineRule="atLeast"/>
        <w:ind w:firstLine="360"/>
        <w:divId w:val="1666515335"/>
      </w:pPr>
      <w:r>
        <w:rPr>
          <w:rFonts w:hint="eastAsia"/>
          <w:color w:val="000000"/>
          <w:sz w:val="18"/>
          <w:szCs w:val="18"/>
        </w:rPr>
        <w:t>归类为权益工具的永续债和优先股等金融工具，其发行（</w:t>
      </w:r>
      <w:proofErr w:type="gramStart"/>
      <w:r>
        <w:rPr>
          <w:rFonts w:hint="eastAsia"/>
          <w:color w:val="000000"/>
          <w:sz w:val="18"/>
          <w:szCs w:val="18"/>
        </w:rPr>
        <w:t>含再融资</w:t>
      </w:r>
      <w:proofErr w:type="gramEnd"/>
      <w:r>
        <w:rPr>
          <w:rFonts w:hint="eastAsia"/>
          <w:color w:val="000000"/>
          <w:sz w:val="18"/>
          <w:szCs w:val="18"/>
        </w:rPr>
        <w:t>）、回购、</w:t>
      </w:r>
      <w:r>
        <w:rPr>
          <w:rFonts w:hint="eastAsia"/>
          <w:sz w:val="18"/>
          <w:szCs w:val="18"/>
        </w:rPr>
        <w:t>出售或注销时，本公司作为权益的变动处理，相关交易费用亦从权益中扣减。本公司对权益工具持有方的分配作为利润分配处理。</w:t>
      </w:r>
    </w:p>
    <w:p w:rsidR="00C1183B" w:rsidRDefault="002D376B">
      <w:pPr>
        <w:pStyle w:val="a3"/>
        <w:spacing w:before="0" w:beforeAutospacing="0" w:after="0" w:afterAutospacing="0" w:line="400" w:lineRule="atLeast"/>
        <w:ind w:firstLine="360"/>
        <w:divId w:val="1666515335"/>
      </w:pPr>
      <w:r>
        <w:rPr>
          <w:rFonts w:hint="eastAsia"/>
          <w:sz w:val="18"/>
          <w:szCs w:val="18"/>
        </w:rPr>
        <w:t>本公司不确认权益工具的公允价值变动。</w:t>
      </w:r>
    </w:p>
    <w:p w:rsidR="00334CB7" w:rsidRDefault="002D376B">
      <w:pPr>
        <w:pStyle w:val="3"/>
        <w:spacing w:line="280" w:lineRule="exact"/>
        <w:jc w:val="left"/>
        <w:rPr>
          <w:rFonts w:ascii="宋体" w:hAnsi="宋体" w:cs="宋体"/>
          <w:b/>
          <w:bCs/>
        </w:rPr>
      </w:pPr>
      <w:bookmarkStart w:id="139" w:name="_Toc989027"/>
      <w:r>
        <w:rPr>
          <w:rFonts w:ascii="宋体" w:hAnsi="宋体" w:cs="宋体"/>
          <w:b/>
          <w:bCs/>
        </w:rPr>
        <w:t>26、收入</w:t>
      </w:r>
      <w:bookmarkEnd w:id="139"/>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按照业务类型披露收入确认和计量所采用的会计政策</w:t>
      </w:r>
    </w:p>
    <w:p w:rsidR="00C1183B" w:rsidRDefault="002D376B">
      <w:pPr>
        <w:pStyle w:val="a3"/>
        <w:spacing w:before="0" w:beforeAutospacing="0" w:after="0" w:afterAutospacing="0" w:line="400" w:lineRule="atLeast"/>
        <w:ind w:firstLine="360"/>
        <w:divId w:val="566765246"/>
        <w:rPr>
          <w:rFonts w:ascii="Times New Roman" w:hAnsi="Times New Roman" w:cs="Times New Roman"/>
          <w:sz w:val="21"/>
          <w:szCs w:val="21"/>
        </w:rPr>
      </w:pPr>
      <w:r>
        <w:rPr>
          <w:rFonts w:cs="Times New Roman"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C1183B" w:rsidRDefault="002D376B">
      <w:pPr>
        <w:pStyle w:val="a3"/>
        <w:spacing w:before="0" w:beforeAutospacing="0" w:after="0" w:afterAutospacing="0" w:line="400" w:lineRule="atLeast"/>
        <w:ind w:firstLine="360"/>
        <w:divId w:val="566765246"/>
        <w:rPr>
          <w:rFonts w:ascii="Times New Roman" w:hAnsi="Times New Roman" w:cs="Times New Roman"/>
          <w:sz w:val="21"/>
          <w:szCs w:val="21"/>
        </w:rPr>
      </w:pPr>
      <w:r>
        <w:rPr>
          <w:rFonts w:cs="Times New Roman"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C1183B" w:rsidRDefault="002D376B">
      <w:pPr>
        <w:pStyle w:val="a3"/>
        <w:spacing w:before="0" w:beforeAutospacing="0" w:after="0" w:afterAutospacing="0" w:line="400" w:lineRule="atLeast"/>
        <w:ind w:firstLine="360"/>
        <w:divId w:val="566765246"/>
        <w:rPr>
          <w:rFonts w:ascii="Times New Roman" w:hAnsi="Times New Roman" w:cs="Times New Roman"/>
          <w:sz w:val="21"/>
          <w:szCs w:val="21"/>
        </w:rPr>
      </w:pPr>
      <w:r>
        <w:rPr>
          <w:rFonts w:cs="Times New Roman"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C1183B" w:rsidRDefault="002D376B">
      <w:pPr>
        <w:pStyle w:val="a3"/>
        <w:spacing w:before="0" w:beforeAutospacing="0" w:after="0" w:afterAutospacing="0" w:line="400" w:lineRule="atLeast"/>
        <w:ind w:firstLine="360"/>
        <w:divId w:val="566765246"/>
        <w:rPr>
          <w:rFonts w:ascii="Times New Roman" w:hAnsi="Times New Roman" w:cs="Times New Roman"/>
          <w:sz w:val="21"/>
          <w:szCs w:val="21"/>
        </w:rPr>
      </w:pPr>
      <w:r>
        <w:rPr>
          <w:rFonts w:cs="Times New Roman"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w:t>
      </w:r>
      <w:r>
        <w:rPr>
          <w:rFonts w:cs="Times New Roman" w:hint="eastAsia"/>
          <w:sz w:val="18"/>
          <w:szCs w:val="18"/>
        </w:rPr>
        <w:lastRenderedPageBreak/>
        <w:t>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同类业务采用不同经营模式涉及不同收入确认方式及计量方法的情况</w:t>
      </w:r>
    </w:p>
    <w:p w:rsidR="00C1183B" w:rsidRDefault="002D376B">
      <w:pPr>
        <w:pStyle w:val="a3"/>
        <w:divId w:val="1553809532"/>
        <w:rPr>
          <w:sz w:val="18"/>
          <w:szCs w:val="18"/>
        </w:rPr>
      </w:pPr>
      <w:r>
        <w:rPr>
          <w:rFonts w:hint="eastAsia"/>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公司需遵守《深圳证券交易所上市公司自律监管指引第3号——行业信息披露》中的“化工行业相关业务”的披露要求</w:t>
      </w:r>
    </w:p>
    <w:p w:rsidR="00C1183B" w:rsidRDefault="002D376B">
      <w:pPr>
        <w:pStyle w:val="a3"/>
        <w:spacing w:before="0" w:beforeAutospacing="0" w:after="0" w:afterAutospacing="0" w:line="400" w:lineRule="atLeast"/>
        <w:ind w:firstLine="360"/>
        <w:jc w:val="both"/>
        <w:divId w:val="1864128259"/>
      </w:pPr>
      <w:r>
        <w:rPr>
          <w:rFonts w:hint="eastAsia"/>
          <w:sz w:val="18"/>
          <w:szCs w:val="18"/>
        </w:rPr>
        <w:t>本公司收入主要来源于销售商品和码头仓储服务。销售商品属于在某一时</w:t>
      </w:r>
      <w:proofErr w:type="gramStart"/>
      <w:r>
        <w:rPr>
          <w:rFonts w:hint="eastAsia"/>
          <w:sz w:val="18"/>
          <w:szCs w:val="18"/>
        </w:rPr>
        <w:t>点履行</w:t>
      </w:r>
      <w:proofErr w:type="gramEnd"/>
      <w:r>
        <w:rPr>
          <w:rFonts w:hint="eastAsia"/>
          <w:sz w:val="18"/>
          <w:szCs w:val="18"/>
        </w:rPr>
        <w:t>履约义务，商品销售收入确认的具体政策：①国内销售收入确认需满足以下条件：公司已根据合同约定将产品交付给客户且客户已接受该商品，己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334CB7" w:rsidRDefault="002D376B">
      <w:pPr>
        <w:pStyle w:val="3"/>
        <w:spacing w:line="280" w:lineRule="exact"/>
        <w:jc w:val="left"/>
        <w:rPr>
          <w:rFonts w:ascii="宋体" w:hAnsi="宋体" w:cs="宋体"/>
          <w:b/>
          <w:bCs/>
        </w:rPr>
      </w:pPr>
      <w:bookmarkStart w:id="140" w:name="_Toc989028"/>
      <w:r>
        <w:rPr>
          <w:rFonts w:ascii="宋体" w:hAnsi="宋体" w:cs="宋体"/>
          <w:b/>
          <w:bCs/>
        </w:rPr>
        <w:t>27、合同成本</w:t>
      </w:r>
      <w:bookmarkEnd w:id="140"/>
    </w:p>
    <w:p w:rsidR="00C1183B" w:rsidRDefault="002D376B">
      <w:pPr>
        <w:pStyle w:val="a3"/>
        <w:spacing w:before="0" w:beforeAutospacing="0" w:after="0" w:afterAutospacing="0" w:line="400" w:lineRule="atLeast"/>
        <w:ind w:firstLine="360"/>
        <w:jc w:val="both"/>
        <w:divId w:val="818692588"/>
      </w:pPr>
      <w:r>
        <w:rPr>
          <w:rFonts w:hint="eastAsia"/>
          <w:sz w:val="18"/>
          <w:szCs w:val="18"/>
        </w:rPr>
        <w:t>合同成本分为合同履约成本与合同取得成本。</w:t>
      </w:r>
    </w:p>
    <w:p w:rsidR="00C1183B" w:rsidRDefault="002D376B">
      <w:pPr>
        <w:pStyle w:val="a3"/>
        <w:spacing w:before="0" w:beforeAutospacing="0" w:after="0" w:afterAutospacing="0" w:line="400" w:lineRule="atLeast"/>
        <w:ind w:firstLine="360"/>
        <w:jc w:val="both"/>
        <w:divId w:val="818692588"/>
      </w:pPr>
      <w:r>
        <w:rPr>
          <w:rFonts w:hint="eastAsia"/>
          <w:sz w:val="18"/>
          <w:szCs w:val="18"/>
        </w:rPr>
        <w:t>本公司企业为履行合同发生的成本同时满足下列条件的，作为合同履约成本确认为一项资产：</w:t>
      </w:r>
    </w:p>
    <w:p w:rsidR="00C1183B" w:rsidRDefault="002D376B">
      <w:pPr>
        <w:pStyle w:val="a3"/>
        <w:spacing w:before="0" w:beforeAutospacing="0" w:after="0" w:afterAutospacing="0" w:line="400" w:lineRule="atLeast"/>
        <w:ind w:firstLine="360"/>
        <w:jc w:val="both"/>
        <w:divId w:val="818692588"/>
      </w:pPr>
      <w:r>
        <w:rPr>
          <w:rFonts w:hint="eastAsia"/>
          <w:sz w:val="18"/>
          <w:szCs w:val="18"/>
        </w:rPr>
        <w:t>（</w:t>
      </w:r>
      <w:r>
        <w:rPr>
          <w:rFonts w:ascii="Arial" w:hAnsi="Arial" w:cs="Arial"/>
          <w:sz w:val="18"/>
          <w:szCs w:val="18"/>
        </w:rPr>
        <w:t>1</w:t>
      </w:r>
      <w:r>
        <w:rPr>
          <w:rFonts w:hint="eastAsia"/>
          <w:sz w:val="18"/>
          <w:szCs w:val="18"/>
        </w:rPr>
        <w:t>）该成本与一份当前或预期取得的合同直接相关，包括直接人工、直接材料、制造费用（或类似费用）、明确由客户承担的成本以及仅因该合同而发生的其他成本；</w:t>
      </w:r>
    </w:p>
    <w:p w:rsidR="00C1183B" w:rsidRDefault="002D376B">
      <w:pPr>
        <w:pStyle w:val="a3"/>
        <w:spacing w:before="0" w:beforeAutospacing="0" w:after="0" w:afterAutospacing="0" w:line="400" w:lineRule="atLeast"/>
        <w:ind w:firstLine="360"/>
        <w:jc w:val="both"/>
        <w:divId w:val="818692588"/>
      </w:pPr>
      <w:r>
        <w:rPr>
          <w:rFonts w:hint="eastAsia"/>
          <w:sz w:val="18"/>
          <w:szCs w:val="18"/>
        </w:rPr>
        <w:t>（</w:t>
      </w:r>
      <w:r>
        <w:rPr>
          <w:rFonts w:ascii="Arial" w:hAnsi="Arial" w:cs="Arial"/>
          <w:sz w:val="18"/>
          <w:szCs w:val="18"/>
        </w:rPr>
        <w:t>2</w:t>
      </w:r>
      <w:r>
        <w:rPr>
          <w:rFonts w:hint="eastAsia"/>
          <w:sz w:val="18"/>
          <w:szCs w:val="18"/>
        </w:rPr>
        <w:t>）该成本增加了企业未来用于履行履约义务的资源；</w:t>
      </w:r>
    </w:p>
    <w:p w:rsidR="00C1183B" w:rsidRDefault="002D376B">
      <w:pPr>
        <w:pStyle w:val="a3"/>
        <w:spacing w:before="0" w:beforeAutospacing="0" w:after="0" w:afterAutospacing="0" w:line="400" w:lineRule="atLeast"/>
        <w:ind w:firstLine="360"/>
        <w:jc w:val="both"/>
        <w:divId w:val="818692588"/>
      </w:pPr>
      <w:r>
        <w:rPr>
          <w:rFonts w:hint="eastAsia"/>
          <w:sz w:val="18"/>
          <w:szCs w:val="18"/>
        </w:rPr>
        <w:t>（</w:t>
      </w:r>
      <w:r>
        <w:rPr>
          <w:rFonts w:ascii="Arial" w:hAnsi="Arial" w:cs="Arial"/>
          <w:sz w:val="18"/>
          <w:szCs w:val="18"/>
        </w:rPr>
        <w:t>3</w:t>
      </w:r>
      <w:r>
        <w:rPr>
          <w:rFonts w:hint="eastAsia"/>
          <w:sz w:val="18"/>
          <w:szCs w:val="18"/>
        </w:rPr>
        <w:t>）该成本预期能够收回。</w:t>
      </w:r>
    </w:p>
    <w:p w:rsidR="00C1183B" w:rsidRDefault="002D376B">
      <w:pPr>
        <w:pStyle w:val="a3"/>
        <w:spacing w:before="0" w:beforeAutospacing="0" w:after="0" w:afterAutospacing="0" w:line="400" w:lineRule="atLeast"/>
        <w:ind w:firstLine="360"/>
        <w:jc w:val="both"/>
        <w:divId w:val="818692588"/>
      </w:pPr>
      <w:r>
        <w:rPr>
          <w:rFonts w:hint="eastAsia"/>
          <w:sz w:val="18"/>
          <w:szCs w:val="18"/>
        </w:rPr>
        <w:t>本公司为取得合同发生的增量成本预期能够收回的，作为合同取得成本确认为一项资产；但是，该资产摊销不超过一年的可以在发生时计入当期损益。</w:t>
      </w:r>
    </w:p>
    <w:p w:rsidR="00C1183B" w:rsidRDefault="002D376B">
      <w:pPr>
        <w:pStyle w:val="a3"/>
        <w:spacing w:before="0" w:beforeAutospacing="0" w:after="0" w:afterAutospacing="0" w:line="400" w:lineRule="atLeast"/>
        <w:ind w:firstLine="360"/>
        <w:jc w:val="both"/>
        <w:divId w:val="818692588"/>
      </w:pPr>
      <w:r>
        <w:rPr>
          <w:rFonts w:hint="eastAsia"/>
          <w:sz w:val="18"/>
          <w:szCs w:val="18"/>
        </w:rPr>
        <w:t>与合同成本有关的资产采用与该资产相关的商品或服务收入确认相同的基础进行摊销。</w:t>
      </w:r>
    </w:p>
    <w:p w:rsidR="00C1183B" w:rsidRDefault="002D376B">
      <w:pPr>
        <w:pStyle w:val="a3"/>
        <w:spacing w:before="0" w:beforeAutospacing="0" w:after="0" w:afterAutospacing="0" w:line="400" w:lineRule="atLeast"/>
        <w:ind w:firstLine="360"/>
        <w:jc w:val="both"/>
        <w:divId w:val="818692588"/>
      </w:pPr>
      <w:r>
        <w:rPr>
          <w:rFonts w:hint="eastAsia"/>
          <w:sz w:val="18"/>
          <w:szCs w:val="18"/>
        </w:rPr>
        <w:t>与合同成本有关的资产，其账面价值高于下列两项的差额的，本公司将对于超出部分计提减值准备，并确认为资产减值损失：</w:t>
      </w:r>
    </w:p>
    <w:p w:rsidR="00C1183B" w:rsidRDefault="002D376B">
      <w:pPr>
        <w:pStyle w:val="a3"/>
        <w:spacing w:before="0" w:beforeAutospacing="0" w:after="0" w:afterAutospacing="0" w:line="400" w:lineRule="atLeast"/>
        <w:ind w:firstLine="360"/>
        <w:jc w:val="both"/>
        <w:divId w:val="818692588"/>
      </w:pPr>
      <w:r>
        <w:rPr>
          <w:rFonts w:hint="eastAsia"/>
          <w:sz w:val="18"/>
          <w:szCs w:val="18"/>
        </w:rPr>
        <w:t>（</w:t>
      </w:r>
      <w:r>
        <w:rPr>
          <w:rFonts w:ascii="Arial" w:hAnsi="Arial" w:cs="Arial"/>
          <w:sz w:val="18"/>
          <w:szCs w:val="18"/>
        </w:rPr>
        <w:t>1</w:t>
      </w:r>
      <w:r>
        <w:rPr>
          <w:rFonts w:hint="eastAsia"/>
          <w:sz w:val="18"/>
          <w:szCs w:val="18"/>
        </w:rPr>
        <w:t>）因转让与该资产相关的商品或服务预期能够取得的剩余对价；</w:t>
      </w:r>
    </w:p>
    <w:p w:rsidR="00C1183B" w:rsidRDefault="002D376B">
      <w:pPr>
        <w:pStyle w:val="a3"/>
        <w:spacing w:before="0" w:beforeAutospacing="0" w:after="0" w:afterAutospacing="0" w:line="400" w:lineRule="atLeast"/>
        <w:ind w:firstLine="360"/>
        <w:jc w:val="both"/>
        <w:divId w:val="818692588"/>
      </w:pPr>
      <w:r>
        <w:rPr>
          <w:rFonts w:hint="eastAsia"/>
          <w:sz w:val="18"/>
          <w:szCs w:val="18"/>
        </w:rPr>
        <w:t>（</w:t>
      </w:r>
      <w:r>
        <w:rPr>
          <w:rFonts w:ascii="Arial" w:hAnsi="Arial" w:cs="Arial"/>
          <w:sz w:val="18"/>
          <w:szCs w:val="18"/>
        </w:rPr>
        <w:t>2</w:t>
      </w:r>
      <w:r>
        <w:rPr>
          <w:rFonts w:hint="eastAsia"/>
          <w:sz w:val="18"/>
          <w:szCs w:val="18"/>
        </w:rPr>
        <w:t>）为转让</w:t>
      </w:r>
      <w:proofErr w:type="gramStart"/>
      <w:r>
        <w:rPr>
          <w:rFonts w:hint="eastAsia"/>
          <w:sz w:val="18"/>
          <w:szCs w:val="18"/>
        </w:rPr>
        <w:t>该相关</w:t>
      </w:r>
      <w:proofErr w:type="gramEnd"/>
      <w:r>
        <w:rPr>
          <w:rFonts w:hint="eastAsia"/>
          <w:sz w:val="18"/>
          <w:szCs w:val="18"/>
        </w:rPr>
        <w:t>商品或服务估计将要发生的成本。</w:t>
      </w:r>
    </w:p>
    <w:p w:rsidR="00C1183B" w:rsidRDefault="002D376B">
      <w:pPr>
        <w:pStyle w:val="a3"/>
        <w:spacing w:before="0" w:beforeAutospacing="0" w:after="0" w:afterAutospacing="0" w:line="400" w:lineRule="atLeast"/>
        <w:ind w:firstLine="360"/>
        <w:jc w:val="both"/>
        <w:divId w:val="818692588"/>
      </w:pPr>
      <w:r>
        <w:rPr>
          <w:rFonts w:hint="eastAsia"/>
          <w:sz w:val="18"/>
          <w:szCs w:val="18"/>
        </w:rPr>
        <w:t>上述资产减值准备后续发生转回的，转回后的资产账面价值不超过假定不计提减值准备情况下该资产在</w:t>
      </w:r>
      <w:proofErr w:type="gramStart"/>
      <w:r>
        <w:rPr>
          <w:rFonts w:hint="eastAsia"/>
          <w:sz w:val="18"/>
          <w:szCs w:val="18"/>
        </w:rPr>
        <w:t>转回日</w:t>
      </w:r>
      <w:proofErr w:type="gramEnd"/>
      <w:r>
        <w:rPr>
          <w:rFonts w:hint="eastAsia"/>
          <w:sz w:val="18"/>
          <w:szCs w:val="18"/>
        </w:rPr>
        <w:t>的账面价值。</w:t>
      </w:r>
    </w:p>
    <w:p w:rsidR="00334CB7" w:rsidRDefault="002D376B">
      <w:pPr>
        <w:pStyle w:val="3"/>
        <w:spacing w:line="280" w:lineRule="exact"/>
        <w:jc w:val="left"/>
        <w:rPr>
          <w:rFonts w:ascii="宋体" w:hAnsi="宋体" w:cs="宋体"/>
          <w:b/>
          <w:bCs/>
        </w:rPr>
      </w:pPr>
      <w:bookmarkStart w:id="141" w:name="_Toc989029"/>
      <w:r>
        <w:rPr>
          <w:rFonts w:ascii="宋体" w:hAnsi="宋体" w:cs="宋体"/>
          <w:b/>
          <w:bCs/>
        </w:rPr>
        <w:t>28、政府补助</w:t>
      </w:r>
      <w:bookmarkEnd w:id="141"/>
    </w:p>
    <w:p w:rsidR="00C1183B" w:rsidRDefault="002D376B">
      <w:pPr>
        <w:pStyle w:val="a3"/>
        <w:spacing w:before="0" w:beforeAutospacing="0" w:after="0" w:afterAutospacing="0" w:line="400" w:lineRule="atLeast"/>
        <w:ind w:firstLine="360"/>
        <w:divId w:val="370693018"/>
      </w:pPr>
      <w:r>
        <w:rPr>
          <w:rFonts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w:t>
      </w:r>
      <w:r>
        <w:rPr>
          <w:rFonts w:hint="eastAsia"/>
          <w:sz w:val="18"/>
          <w:szCs w:val="18"/>
        </w:rPr>
        <w:lastRenderedPageBreak/>
        <w:t>式形成长期资产的政府补助界定为与资产相关的政府补助；</w:t>
      </w:r>
      <w:proofErr w:type="gramStart"/>
      <w:r>
        <w:rPr>
          <w:rFonts w:hint="eastAsia"/>
          <w:sz w:val="18"/>
          <w:szCs w:val="18"/>
        </w:rPr>
        <w:t>其余政府</w:t>
      </w:r>
      <w:proofErr w:type="gramEnd"/>
      <w:r>
        <w:rPr>
          <w:rFonts w:hint="eastAsia"/>
          <w:sz w:val="18"/>
          <w:szCs w:val="18"/>
        </w:rPr>
        <w:t>补助界定为与收益相关的政府补助。若政府文件未明确规定补助对象，则采用以下方式将补助款划分为与收益相关的政府补助和与资产相关的政府补助：（</w:t>
      </w:r>
      <w:r>
        <w:rPr>
          <w:rFonts w:ascii="Arial" w:hAnsi="Arial" w:cs="Arial"/>
          <w:sz w:val="18"/>
          <w:szCs w:val="18"/>
        </w:rPr>
        <w:t>1</w:t>
      </w:r>
      <w:r>
        <w:rPr>
          <w:rFonts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Arial" w:hAnsi="Arial" w:cs="Arial"/>
          <w:sz w:val="18"/>
          <w:szCs w:val="18"/>
        </w:rPr>
        <w:t>2</w:t>
      </w:r>
      <w:r>
        <w:rPr>
          <w:rFonts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C1183B" w:rsidRDefault="002D376B">
      <w:pPr>
        <w:pStyle w:val="a3"/>
        <w:spacing w:before="0" w:beforeAutospacing="0" w:after="0" w:afterAutospacing="0" w:line="400" w:lineRule="atLeast"/>
        <w:ind w:firstLine="360"/>
        <w:divId w:val="370693018"/>
      </w:pPr>
      <w:r>
        <w:rPr>
          <w:rFonts w:hint="eastAsia"/>
          <w:sz w:val="18"/>
          <w:szCs w:val="18"/>
        </w:rPr>
        <w:t>本公司对于政府补助通常在实际收到时，按照实</w:t>
      </w:r>
      <w:proofErr w:type="gramStart"/>
      <w:r>
        <w:rPr>
          <w:rFonts w:hint="eastAsia"/>
          <w:sz w:val="18"/>
          <w:szCs w:val="18"/>
        </w:rPr>
        <w:t>收金额</w:t>
      </w:r>
      <w:proofErr w:type="gramEnd"/>
      <w:r>
        <w:rPr>
          <w:rFonts w:hint="eastAsia"/>
          <w:sz w:val="18"/>
          <w:szCs w:val="18"/>
        </w:rPr>
        <w:t>予以确认和计量。但对于期末有确凿证据表明能够符合财政扶持政策规定的相关条件预计能够收到财政扶持资金，按照应收的金额计量。按照应收金额计量的政府补助应同时符合以下条件：（</w:t>
      </w:r>
      <w:r>
        <w:rPr>
          <w:rFonts w:ascii="Arial" w:hAnsi="Arial" w:cs="Arial"/>
          <w:sz w:val="18"/>
          <w:szCs w:val="18"/>
        </w:rPr>
        <w:t>1</w:t>
      </w:r>
      <w:r>
        <w:rPr>
          <w:rFonts w:hint="eastAsia"/>
          <w:sz w:val="18"/>
          <w:szCs w:val="18"/>
        </w:rPr>
        <w:t>）应收补助款的金额已经过有权政府部门发文确认，或者可根据正式发布的财政资金管理办法的有关规定自行合理测算，且预计其金额不存在重大不确定性；（</w:t>
      </w:r>
      <w:r>
        <w:rPr>
          <w:rFonts w:ascii="Arial" w:hAnsi="Arial" w:cs="Arial"/>
          <w:sz w:val="18"/>
          <w:szCs w:val="18"/>
        </w:rPr>
        <w:t>2</w:t>
      </w:r>
      <w:r>
        <w:rPr>
          <w:rFonts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Arial" w:hAnsi="Arial" w:cs="Arial"/>
          <w:sz w:val="18"/>
          <w:szCs w:val="18"/>
        </w:rPr>
        <w:t>3</w:t>
      </w:r>
      <w:r>
        <w:rPr>
          <w:rFonts w:hint="eastAsia"/>
          <w:sz w:val="18"/>
          <w:szCs w:val="18"/>
        </w:rPr>
        <w:t>）相关的补助款批文中已明确承诺了拨付期限，且该款项的拨付是有相应财政预算作为保障的，因而可以合理保证其可在规定期限内收到；（</w:t>
      </w:r>
      <w:r>
        <w:rPr>
          <w:rFonts w:ascii="Arial" w:hAnsi="Arial" w:cs="Arial"/>
          <w:sz w:val="18"/>
          <w:szCs w:val="18"/>
        </w:rPr>
        <w:t>4</w:t>
      </w:r>
      <w:r>
        <w:rPr>
          <w:rFonts w:hint="eastAsia"/>
          <w:sz w:val="18"/>
          <w:szCs w:val="18"/>
        </w:rPr>
        <w:t>）根据本公司和该补助事项的具体情况，应满足的其他相关条件（如有）。</w:t>
      </w:r>
    </w:p>
    <w:p w:rsidR="00C1183B" w:rsidRDefault="002D376B">
      <w:pPr>
        <w:pStyle w:val="a3"/>
        <w:spacing w:before="0" w:beforeAutospacing="0" w:after="0" w:afterAutospacing="0" w:line="400" w:lineRule="atLeast"/>
        <w:ind w:firstLine="360"/>
        <w:divId w:val="370693018"/>
      </w:pPr>
      <w:r>
        <w:rPr>
          <w:rFonts w:hint="eastAsia"/>
          <w:sz w:val="18"/>
          <w:szCs w:val="18"/>
        </w:rPr>
        <w:t>与资产相关的政府补助，</w:t>
      </w:r>
      <w:proofErr w:type="gramStart"/>
      <w:r>
        <w:rPr>
          <w:rFonts w:hint="eastAsia"/>
          <w:sz w:val="18"/>
          <w:szCs w:val="18"/>
        </w:rPr>
        <w:t>确认为递延</w:t>
      </w:r>
      <w:proofErr w:type="gramEnd"/>
      <w:r>
        <w:rPr>
          <w:rFonts w:hint="eastAsia"/>
          <w:sz w:val="18"/>
          <w:szCs w:val="18"/>
        </w:rPr>
        <w:t>收益，并在相关资产的使用寿命内按照合理、系统的方法分期计入当期损益。与收益相关的政府补助，用于补偿以后期间的相关成本费用或损失的，</w:t>
      </w:r>
      <w:proofErr w:type="gramStart"/>
      <w:r>
        <w:rPr>
          <w:rFonts w:hint="eastAsia"/>
          <w:sz w:val="18"/>
          <w:szCs w:val="18"/>
        </w:rPr>
        <w:t>确认为递延</w:t>
      </w:r>
      <w:proofErr w:type="gramEnd"/>
      <w:r>
        <w:rPr>
          <w:rFonts w:hint="eastAsia"/>
          <w:sz w:val="18"/>
          <w:szCs w:val="18"/>
        </w:rPr>
        <w:t>收益，并在确认相关成本费用或损失的期间计入当期损益；用于补偿已经发生的相关成本费用或损失的，直接计入当期损益。</w:t>
      </w:r>
    </w:p>
    <w:p w:rsidR="00C1183B" w:rsidRDefault="002D376B">
      <w:pPr>
        <w:pStyle w:val="a3"/>
        <w:spacing w:before="0" w:beforeAutospacing="0" w:after="0" w:afterAutospacing="0" w:line="400" w:lineRule="atLeast"/>
        <w:ind w:firstLine="360"/>
        <w:divId w:val="370693018"/>
      </w:pPr>
      <w:r>
        <w:rPr>
          <w:rFonts w:hint="eastAsia"/>
          <w:sz w:val="18"/>
          <w:szCs w:val="18"/>
        </w:rPr>
        <w:t>同时包含与资产相关部分和与收益相关部分的政府补助，区分不同部分分别进行会计处理；难以区分的，将其整体归类为与收益相关的政府补助。</w:t>
      </w:r>
    </w:p>
    <w:p w:rsidR="00C1183B" w:rsidRDefault="002D376B">
      <w:pPr>
        <w:pStyle w:val="a3"/>
        <w:spacing w:before="0" w:beforeAutospacing="0" w:after="0" w:afterAutospacing="0" w:line="400" w:lineRule="atLeast"/>
        <w:ind w:firstLine="360"/>
        <w:divId w:val="370693018"/>
      </w:pPr>
      <w:r>
        <w:rPr>
          <w:rFonts w:hint="eastAsia"/>
          <w:sz w:val="18"/>
          <w:szCs w:val="18"/>
        </w:rPr>
        <w:t>与本公司日常活动相关的政府补助，按照经济业务的实质，计入其他收益或冲减相关成本费用；与日常活动无关的政府补助，计入营业外收支。</w:t>
      </w:r>
    </w:p>
    <w:p w:rsidR="00C1183B" w:rsidRDefault="002D376B">
      <w:pPr>
        <w:pStyle w:val="a3"/>
        <w:spacing w:before="0" w:beforeAutospacing="0" w:after="0" w:afterAutospacing="0" w:line="400" w:lineRule="atLeast"/>
        <w:ind w:firstLine="360"/>
        <w:divId w:val="370693018"/>
      </w:pPr>
      <w:r>
        <w:rPr>
          <w:rFonts w:hint="eastAsia"/>
          <w:sz w:val="18"/>
          <w:szCs w:val="18"/>
        </w:rPr>
        <w:t>已确认的政府补助需要退回时，存在相关递延收益余额的，冲减相关递延收益账面余额，超出部分计入当期损益；属于其他情况的，直接计入当期损益。</w:t>
      </w:r>
    </w:p>
    <w:p w:rsidR="00334CB7" w:rsidRDefault="002D376B">
      <w:pPr>
        <w:pStyle w:val="3"/>
        <w:spacing w:line="280" w:lineRule="exact"/>
        <w:jc w:val="left"/>
        <w:rPr>
          <w:rFonts w:ascii="宋体" w:hAnsi="宋体" w:cs="宋体"/>
          <w:b/>
          <w:bCs/>
        </w:rPr>
      </w:pPr>
      <w:bookmarkStart w:id="142" w:name="_Toc989030"/>
      <w:r>
        <w:rPr>
          <w:rFonts w:ascii="宋体" w:hAnsi="宋体" w:cs="宋体"/>
          <w:b/>
          <w:bCs/>
        </w:rPr>
        <w:t>29、递延所得税资产/递延所得税负债</w:t>
      </w:r>
      <w:bookmarkEnd w:id="142"/>
    </w:p>
    <w:p w:rsidR="00C1183B" w:rsidRDefault="002D376B">
      <w:pPr>
        <w:pStyle w:val="a3"/>
        <w:spacing w:before="0" w:beforeAutospacing="0" w:after="0" w:afterAutospacing="0" w:line="400" w:lineRule="atLeast"/>
        <w:ind w:firstLine="360"/>
        <w:divId w:val="1756168664"/>
      </w:pPr>
      <w:r>
        <w:rPr>
          <w:rFonts w:hint="eastAsia"/>
          <w:sz w:val="18"/>
          <w:szCs w:val="18"/>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r>
        <w:rPr>
          <w:rFonts w:ascii="Arial" w:hAnsi="Arial" w:cs="Arial"/>
          <w:sz w:val="18"/>
          <w:szCs w:val="18"/>
        </w:rPr>
        <w:t xml:space="preserve"> </w:t>
      </w:r>
    </w:p>
    <w:p w:rsidR="00C1183B" w:rsidRDefault="002D376B">
      <w:pPr>
        <w:pStyle w:val="a3"/>
        <w:spacing w:before="0" w:beforeAutospacing="0" w:after="0" w:afterAutospacing="0" w:line="400" w:lineRule="atLeast"/>
        <w:ind w:firstLine="360"/>
        <w:divId w:val="1756168664"/>
      </w:pPr>
      <w:r>
        <w:rPr>
          <w:rFonts w:hint="eastAsia"/>
          <w:sz w:val="18"/>
          <w:szCs w:val="18"/>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r>
        <w:rPr>
          <w:rFonts w:ascii="Arial" w:hAnsi="Arial" w:cs="Arial"/>
          <w:sz w:val="18"/>
          <w:szCs w:val="18"/>
        </w:rPr>
        <w:t xml:space="preserve"> </w:t>
      </w:r>
    </w:p>
    <w:p w:rsidR="00C1183B" w:rsidRDefault="002D376B">
      <w:pPr>
        <w:pStyle w:val="a3"/>
        <w:spacing w:before="0" w:beforeAutospacing="0" w:after="0" w:afterAutospacing="0" w:line="400" w:lineRule="atLeast"/>
        <w:ind w:firstLine="360"/>
        <w:divId w:val="1756168664"/>
      </w:pPr>
      <w:r>
        <w:rPr>
          <w:rFonts w:hint="eastAsia"/>
          <w:sz w:val="18"/>
          <w:szCs w:val="18"/>
        </w:rPr>
        <w:t>资产负债表日，对递延所得税资产的账面价值进行复核，如果未来期间很可能无法获得足够的应纳税所得额用以抵扣递延所得税资产的利益，则</w:t>
      </w:r>
      <w:proofErr w:type="gramStart"/>
      <w:r>
        <w:rPr>
          <w:rFonts w:hint="eastAsia"/>
          <w:sz w:val="18"/>
          <w:szCs w:val="18"/>
        </w:rPr>
        <w:t>减记递</w:t>
      </w:r>
      <w:proofErr w:type="gramEnd"/>
      <w:r>
        <w:rPr>
          <w:rFonts w:hint="eastAsia"/>
          <w:sz w:val="18"/>
          <w:szCs w:val="18"/>
        </w:rPr>
        <w:t>延所得税资产的账面价值。在很可能获得足够的应纳税所得额时，</w:t>
      </w:r>
      <w:proofErr w:type="gramStart"/>
      <w:r>
        <w:rPr>
          <w:rFonts w:hint="eastAsia"/>
          <w:sz w:val="18"/>
          <w:szCs w:val="18"/>
        </w:rPr>
        <w:t>转回减记的</w:t>
      </w:r>
      <w:proofErr w:type="gramEnd"/>
      <w:r>
        <w:rPr>
          <w:rFonts w:hint="eastAsia"/>
          <w:sz w:val="18"/>
          <w:szCs w:val="18"/>
        </w:rPr>
        <w:t>金额。</w:t>
      </w:r>
      <w:r>
        <w:rPr>
          <w:rFonts w:ascii="Arial" w:hAnsi="Arial" w:cs="Arial"/>
          <w:sz w:val="18"/>
          <w:szCs w:val="18"/>
        </w:rPr>
        <w:t xml:space="preserve"> </w:t>
      </w:r>
    </w:p>
    <w:p w:rsidR="00C1183B" w:rsidRDefault="002D376B">
      <w:pPr>
        <w:pStyle w:val="a3"/>
        <w:spacing w:before="0" w:beforeAutospacing="0" w:after="0" w:afterAutospacing="0" w:line="400" w:lineRule="atLeast"/>
        <w:ind w:firstLine="360"/>
        <w:divId w:val="1756168664"/>
      </w:pPr>
      <w:r>
        <w:rPr>
          <w:rFonts w:hint="eastAsia"/>
          <w:sz w:val="18"/>
          <w:szCs w:val="18"/>
        </w:rPr>
        <w:lastRenderedPageBreak/>
        <w:t>本公司当期所得税和递延所得税作为所得税费用或收益计入当期损益，但不包括下列情况产生的所得税：企业合并；直接在所有者权益中确认的交易或者事项。</w:t>
      </w:r>
    </w:p>
    <w:p w:rsidR="00C1183B" w:rsidRDefault="002D376B">
      <w:pPr>
        <w:pStyle w:val="a3"/>
        <w:spacing w:before="0" w:beforeAutospacing="0" w:after="0" w:afterAutospacing="0" w:line="400" w:lineRule="atLeast"/>
        <w:ind w:firstLine="360"/>
        <w:divId w:val="1756168664"/>
      </w:pPr>
      <w:r>
        <w:rPr>
          <w:rFonts w:hint="eastAsia"/>
          <w:sz w:val="18"/>
          <w:szCs w:val="18"/>
        </w:rPr>
        <w:t>当拥有以净额结算的法定权利，且意图以净额结算或取得资产、清偿负债同时进行时，本公司当期所得税资产及当期所得税负债以抵销后的净额列报。</w:t>
      </w:r>
    </w:p>
    <w:p w:rsidR="00334CB7" w:rsidRDefault="002D376B">
      <w:pPr>
        <w:pStyle w:val="3"/>
        <w:spacing w:line="280" w:lineRule="exact"/>
        <w:jc w:val="left"/>
        <w:rPr>
          <w:rFonts w:ascii="宋体" w:hAnsi="宋体" w:cs="宋体"/>
          <w:b/>
          <w:bCs/>
        </w:rPr>
      </w:pPr>
      <w:bookmarkStart w:id="143" w:name="_Toc989031"/>
      <w:r>
        <w:rPr>
          <w:rFonts w:ascii="宋体" w:hAnsi="宋体" w:cs="宋体"/>
          <w:b/>
          <w:bCs/>
        </w:rPr>
        <w:t>30、租赁</w:t>
      </w:r>
      <w:bookmarkEnd w:id="143"/>
    </w:p>
    <w:p w:rsidR="00334CB7" w:rsidRDefault="002D376B">
      <w:pPr>
        <w:keepNext/>
        <w:keepLines/>
        <w:spacing w:before="300" w:after="300" w:line="280" w:lineRule="exact"/>
        <w:outlineLvl w:val="3"/>
        <w:rPr>
          <w:rFonts w:ascii="宋体" w:eastAsia="宋体" w:hAnsi="宋体" w:cs="宋体"/>
          <w:b/>
          <w:bCs/>
          <w:szCs w:val="21"/>
        </w:rPr>
      </w:pPr>
      <w:bookmarkStart w:id="144" w:name="_Toc989032"/>
      <w:r>
        <w:rPr>
          <w:rFonts w:ascii="宋体" w:eastAsia="宋体" w:hAnsi="宋体" w:cs="宋体"/>
          <w:b/>
          <w:bCs/>
          <w:szCs w:val="21"/>
        </w:rPr>
        <w:t>（1） 作为承租方租赁的会计处理方法</w:t>
      </w:r>
      <w:bookmarkEnd w:id="144"/>
    </w:p>
    <w:p w:rsidR="00C1183B" w:rsidRDefault="002D376B">
      <w:pPr>
        <w:pStyle w:val="a3"/>
        <w:spacing w:before="0" w:beforeAutospacing="0" w:after="0" w:afterAutospacing="0" w:line="460" w:lineRule="atLeast"/>
        <w:ind w:firstLine="360"/>
        <w:divId w:val="908536045"/>
      </w:pPr>
      <w:r>
        <w:rPr>
          <w:rFonts w:hint="eastAsia"/>
          <w:sz w:val="18"/>
          <w:szCs w:val="18"/>
        </w:rPr>
        <w:t>在租赁期开始日，本公司对除短期租赁和低价值资产租赁以外的租赁确认使用权资产和租赁负债，并在租赁期内分别确认折旧费用和利息费用。</w:t>
      </w:r>
      <w:r>
        <w:rPr>
          <w:rFonts w:ascii="Arial" w:hAnsi="Arial" w:cs="Arial"/>
          <w:sz w:val="18"/>
          <w:szCs w:val="18"/>
        </w:rPr>
        <w:t xml:space="preserve"> </w:t>
      </w:r>
    </w:p>
    <w:p w:rsidR="00C1183B" w:rsidRDefault="002D376B">
      <w:pPr>
        <w:pStyle w:val="a3"/>
        <w:spacing w:before="0" w:beforeAutospacing="0" w:after="0" w:afterAutospacing="0" w:line="460" w:lineRule="atLeast"/>
        <w:ind w:firstLine="360"/>
        <w:divId w:val="908536045"/>
      </w:pPr>
      <w:r>
        <w:rPr>
          <w:rFonts w:hint="eastAsia"/>
          <w:sz w:val="18"/>
          <w:szCs w:val="18"/>
        </w:rPr>
        <w:t>本公司在租赁期内各个期间采用直线法，将短期租赁和低价值资产租赁的租赁付款额计入当期费用。</w:t>
      </w:r>
    </w:p>
    <w:p w:rsidR="00C1183B" w:rsidRDefault="002D376B">
      <w:pPr>
        <w:pStyle w:val="a3"/>
        <w:spacing w:before="0" w:beforeAutospacing="0" w:after="0" w:afterAutospacing="0" w:line="460" w:lineRule="atLeast"/>
        <w:ind w:firstLine="360"/>
        <w:divId w:val="908536045"/>
      </w:pPr>
      <w:r>
        <w:rPr>
          <w:rFonts w:hint="eastAsia"/>
          <w:sz w:val="18"/>
          <w:szCs w:val="18"/>
        </w:rPr>
        <w:t>①使用权资产</w:t>
      </w:r>
      <w:r>
        <w:rPr>
          <w:rFonts w:ascii="Arial" w:hAnsi="Arial" w:cs="Arial"/>
          <w:sz w:val="18"/>
          <w:szCs w:val="18"/>
        </w:rPr>
        <w:t xml:space="preserve"> </w:t>
      </w:r>
    </w:p>
    <w:p w:rsidR="00C1183B" w:rsidRDefault="002D376B">
      <w:pPr>
        <w:pStyle w:val="a3"/>
        <w:spacing w:before="0" w:beforeAutospacing="0" w:after="0" w:afterAutospacing="0" w:line="460" w:lineRule="atLeast"/>
        <w:ind w:firstLine="360"/>
        <w:divId w:val="908536045"/>
      </w:pPr>
      <w:r>
        <w:rPr>
          <w:rFonts w:hint="eastAsia"/>
          <w:sz w:val="18"/>
          <w:szCs w:val="18"/>
        </w:rPr>
        <w:t>使用权资产，是指承租人可在租赁期内使用租赁资产的权利。在租赁期开始日。使用权资产按照成本进行初始计量。该成本包括：A、租赁负债的初始计量金额；B、在租赁期开始日或之前支付的租赁付款额，存在租赁激励的，扣除已享受的租赁激励相关金额；C、承租人发生的初始直接费用；D、承租人为拆卸及移除租赁资产、复原租赁资产所在场地或将租赁资产恢复至租赁条款约定状态预计将发生的成本。</w:t>
      </w:r>
    </w:p>
    <w:p w:rsidR="00C1183B" w:rsidRDefault="002D376B">
      <w:pPr>
        <w:pStyle w:val="a3"/>
        <w:spacing w:before="0" w:beforeAutospacing="0" w:after="0" w:afterAutospacing="0" w:line="460" w:lineRule="atLeast"/>
        <w:ind w:firstLine="360"/>
        <w:divId w:val="908536045"/>
      </w:pPr>
      <w:r>
        <w:rPr>
          <w:rFonts w:hint="eastAsia"/>
          <w:sz w:val="18"/>
          <w:szCs w:val="18"/>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rsidR="00C1183B" w:rsidRDefault="002D376B">
      <w:pPr>
        <w:pStyle w:val="a3"/>
        <w:spacing w:before="0" w:beforeAutospacing="0" w:after="0" w:afterAutospacing="0" w:line="460" w:lineRule="atLeast"/>
        <w:ind w:firstLine="360"/>
        <w:divId w:val="908536045"/>
      </w:pPr>
      <w:r>
        <w:rPr>
          <w:rFonts w:hint="eastAsia"/>
          <w:sz w:val="18"/>
          <w:szCs w:val="18"/>
        </w:rPr>
        <w:t>本公司按照《企业会计准则第</w:t>
      </w:r>
      <w:r>
        <w:rPr>
          <w:rFonts w:ascii="Arial" w:hAnsi="Arial" w:cs="Arial"/>
          <w:sz w:val="18"/>
          <w:szCs w:val="18"/>
        </w:rPr>
        <w:t>8</w:t>
      </w:r>
      <w:r>
        <w:rPr>
          <w:rFonts w:hint="eastAsia"/>
          <w:sz w:val="18"/>
          <w:szCs w:val="18"/>
        </w:rPr>
        <w:t>号</w:t>
      </w:r>
      <w:r>
        <w:rPr>
          <w:rFonts w:ascii="Arial" w:hAnsi="Arial" w:cs="Arial"/>
          <w:sz w:val="18"/>
          <w:szCs w:val="18"/>
        </w:rPr>
        <w:t>——</w:t>
      </w:r>
      <w:r>
        <w:rPr>
          <w:rFonts w:hint="eastAsia"/>
          <w:sz w:val="18"/>
          <w:szCs w:val="18"/>
        </w:rPr>
        <w:t>资产减值》的相关规定来确定使用权资产是否已发生减值并进行会计处理。</w:t>
      </w:r>
    </w:p>
    <w:p w:rsidR="00C1183B" w:rsidRDefault="002D376B">
      <w:pPr>
        <w:pStyle w:val="a3"/>
        <w:spacing w:before="0" w:beforeAutospacing="0" w:after="0" w:afterAutospacing="0" w:line="460" w:lineRule="atLeast"/>
        <w:ind w:firstLine="360"/>
        <w:divId w:val="908536045"/>
      </w:pPr>
      <w:r>
        <w:rPr>
          <w:rFonts w:hint="eastAsia"/>
          <w:sz w:val="18"/>
          <w:szCs w:val="18"/>
        </w:rPr>
        <w:t>②租赁负债</w:t>
      </w:r>
      <w:r>
        <w:rPr>
          <w:rFonts w:ascii="Arial" w:hAnsi="Arial" w:cs="Arial"/>
          <w:sz w:val="18"/>
          <w:szCs w:val="18"/>
        </w:rPr>
        <w:t xml:space="preserve"> </w:t>
      </w:r>
    </w:p>
    <w:p w:rsidR="00C1183B" w:rsidRDefault="002D376B">
      <w:pPr>
        <w:pStyle w:val="a3"/>
        <w:spacing w:before="0" w:beforeAutospacing="0" w:after="0" w:afterAutospacing="0" w:line="460" w:lineRule="atLeast"/>
        <w:ind w:firstLine="360"/>
        <w:divId w:val="908536045"/>
      </w:pPr>
      <w:r>
        <w:rPr>
          <w:rFonts w:hint="eastAsia"/>
          <w:sz w:val="18"/>
          <w:szCs w:val="18"/>
        </w:rPr>
        <w:t>租赁负债按照租赁期开始日尚未支付的租赁付款额的现值进行初始计量。租赁付款额包括：A、固定付款额（包括实质固定付款额），存在租赁激励的，扣除租赁激励相关金额；B、取决于指数或比率的可变租赁付款额；C、根据承租人提供的担保余值预计应支付的款项；D、购买选择权的行权价格，前提是承租人合理确定将行使该选择权；E、行使终止租赁选择权需支付的款项，前提是租赁</w:t>
      </w:r>
      <w:proofErr w:type="gramStart"/>
      <w:r>
        <w:rPr>
          <w:rFonts w:hint="eastAsia"/>
          <w:sz w:val="18"/>
          <w:szCs w:val="18"/>
        </w:rPr>
        <w:t>期反映</w:t>
      </w:r>
      <w:proofErr w:type="gramEnd"/>
      <w:r>
        <w:rPr>
          <w:rFonts w:hint="eastAsia"/>
          <w:sz w:val="18"/>
          <w:szCs w:val="18"/>
        </w:rPr>
        <w:t>出承租人将行使终止租赁选择权；</w:t>
      </w:r>
    </w:p>
    <w:p w:rsidR="00C1183B" w:rsidRDefault="002D376B">
      <w:pPr>
        <w:pStyle w:val="a3"/>
        <w:spacing w:before="0" w:beforeAutospacing="0" w:after="0" w:afterAutospacing="0" w:line="460" w:lineRule="atLeast"/>
        <w:ind w:firstLine="360"/>
        <w:divId w:val="908536045"/>
      </w:pPr>
      <w:r>
        <w:rPr>
          <w:rFonts w:hint="eastAsia"/>
          <w:sz w:val="18"/>
          <w:szCs w:val="18"/>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rsidR="00C1183B" w:rsidRDefault="002D376B">
      <w:pPr>
        <w:pStyle w:val="a3"/>
        <w:spacing w:before="0" w:beforeAutospacing="0" w:after="0" w:afterAutospacing="0" w:line="460" w:lineRule="atLeast"/>
        <w:ind w:firstLine="360"/>
        <w:divId w:val="908536045"/>
      </w:pPr>
      <w:r>
        <w:rPr>
          <w:rFonts w:hint="eastAsia"/>
          <w:sz w:val="18"/>
          <w:szCs w:val="18"/>
        </w:rPr>
        <w:t>未纳入租赁负债计量的可变租赁付款额在实际发生时计入当期损益。</w:t>
      </w:r>
    </w:p>
    <w:p w:rsidR="00C1183B" w:rsidRDefault="002D376B">
      <w:pPr>
        <w:pStyle w:val="a3"/>
        <w:spacing w:before="0" w:beforeAutospacing="0" w:after="0" w:afterAutospacing="0" w:line="460" w:lineRule="atLeast"/>
        <w:ind w:firstLine="360"/>
        <w:divId w:val="908536045"/>
      </w:pPr>
      <w:r>
        <w:rPr>
          <w:rFonts w:hint="eastAsia"/>
          <w:sz w:val="18"/>
          <w:szCs w:val="18"/>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w:t>
      </w:r>
      <w:r>
        <w:rPr>
          <w:rFonts w:hint="eastAsia"/>
          <w:sz w:val="18"/>
          <w:szCs w:val="18"/>
        </w:rPr>
        <w:lastRenderedPageBreak/>
        <w:t>付金额或者取决于指数或比率的可变租赁付款额发生变动的，则按变动后的租赁付款额和原折现率计算的现值重新计量租赁负债，并相应调整使用权资产的账面价值。</w:t>
      </w:r>
    </w:p>
    <w:p w:rsidR="00C1183B" w:rsidRDefault="002D376B">
      <w:pPr>
        <w:pStyle w:val="a3"/>
        <w:spacing w:before="0" w:beforeAutospacing="0" w:after="0" w:afterAutospacing="0" w:line="460" w:lineRule="atLeast"/>
        <w:ind w:firstLine="360"/>
        <w:divId w:val="908536045"/>
      </w:pPr>
      <w:r>
        <w:rPr>
          <w:rFonts w:hint="eastAsia"/>
          <w:sz w:val="18"/>
          <w:szCs w:val="18"/>
        </w:rPr>
        <w:t>③短期租赁和低价值资产租赁</w:t>
      </w:r>
    </w:p>
    <w:p w:rsidR="00C1183B" w:rsidRDefault="002D376B">
      <w:pPr>
        <w:pStyle w:val="a3"/>
        <w:spacing w:before="0" w:beforeAutospacing="0" w:after="0" w:afterAutospacing="0" w:line="460" w:lineRule="atLeast"/>
        <w:ind w:firstLine="360"/>
        <w:divId w:val="908536045"/>
      </w:pPr>
      <w:r>
        <w:rPr>
          <w:rFonts w:hint="eastAsia"/>
          <w:sz w:val="18"/>
          <w:szCs w:val="18"/>
        </w:rPr>
        <w:t>对于短期租赁（在租赁开始日租赁期不超过</w:t>
      </w:r>
      <w:r>
        <w:rPr>
          <w:rFonts w:ascii="Arial" w:hAnsi="Arial" w:cs="Arial"/>
          <w:sz w:val="18"/>
          <w:szCs w:val="18"/>
        </w:rPr>
        <w:t>12</w:t>
      </w:r>
      <w:r>
        <w:rPr>
          <w:rFonts w:hint="eastAsia"/>
          <w:sz w:val="18"/>
          <w:szCs w:val="18"/>
        </w:rPr>
        <w:t>个月的租赁）和低价值资产（价值低于</w:t>
      </w:r>
      <w:r>
        <w:rPr>
          <w:rFonts w:ascii="Arial" w:hAnsi="Arial" w:cs="Arial"/>
          <w:sz w:val="18"/>
          <w:szCs w:val="18"/>
        </w:rPr>
        <w:t>2000</w:t>
      </w:r>
      <w:r>
        <w:rPr>
          <w:rFonts w:hint="eastAsia"/>
          <w:sz w:val="18"/>
          <w:szCs w:val="18"/>
        </w:rPr>
        <w:t>元）租赁，本公司采取简化处理方法，不确认使用权资产和租赁负债，而在租赁期内各个期间按照直线法或其他系统合理的方法将租赁付款额计入相关资产成本或当期损益。</w:t>
      </w:r>
    </w:p>
    <w:p w:rsidR="00334CB7" w:rsidRDefault="002D376B">
      <w:pPr>
        <w:keepNext/>
        <w:keepLines/>
        <w:spacing w:before="300" w:after="300" w:line="280" w:lineRule="exact"/>
        <w:outlineLvl w:val="3"/>
        <w:rPr>
          <w:rFonts w:ascii="宋体" w:eastAsia="宋体" w:hAnsi="宋体" w:cs="宋体"/>
          <w:b/>
          <w:bCs/>
          <w:szCs w:val="21"/>
        </w:rPr>
      </w:pPr>
      <w:bookmarkStart w:id="145" w:name="_Toc989033"/>
      <w:r>
        <w:rPr>
          <w:rFonts w:ascii="宋体" w:eastAsia="宋体" w:hAnsi="宋体" w:cs="宋体"/>
          <w:b/>
          <w:bCs/>
          <w:szCs w:val="21"/>
        </w:rPr>
        <w:t>（2） 作为出租方租赁的会计处理方法</w:t>
      </w:r>
      <w:bookmarkEnd w:id="145"/>
    </w:p>
    <w:p w:rsidR="00C1183B" w:rsidRDefault="002D376B">
      <w:pPr>
        <w:pStyle w:val="a3"/>
        <w:spacing w:before="0" w:beforeAutospacing="0" w:after="0" w:afterAutospacing="0" w:line="460" w:lineRule="atLeast"/>
        <w:ind w:left="426"/>
        <w:divId w:val="266469784"/>
      </w:pPr>
      <w:r>
        <w:rPr>
          <w:rFonts w:hint="eastAsia"/>
          <w:sz w:val="18"/>
          <w:szCs w:val="18"/>
        </w:rPr>
        <w:t>①经营租赁</w:t>
      </w:r>
    </w:p>
    <w:p w:rsidR="00C1183B" w:rsidRDefault="002D376B">
      <w:pPr>
        <w:pStyle w:val="a3"/>
        <w:spacing w:before="0" w:beforeAutospacing="0" w:after="0" w:afterAutospacing="0" w:line="460" w:lineRule="atLeast"/>
        <w:ind w:firstLine="360"/>
        <w:divId w:val="266469784"/>
      </w:pPr>
      <w:r>
        <w:rPr>
          <w:rFonts w:hint="eastAsia"/>
          <w:sz w:val="18"/>
          <w:szCs w:val="18"/>
        </w:rPr>
        <w:t>本公司采用直线法将经营租赁的</w:t>
      </w:r>
      <w:proofErr w:type="gramStart"/>
      <w:r>
        <w:rPr>
          <w:rFonts w:hint="eastAsia"/>
          <w:sz w:val="18"/>
          <w:szCs w:val="18"/>
        </w:rPr>
        <w:t>租赁收</w:t>
      </w:r>
      <w:proofErr w:type="gramEnd"/>
      <w:r>
        <w:rPr>
          <w:rFonts w:hint="eastAsia"/>
          <w:sz w:val="18"/>
          <w:szCs w:val="18"/>
        </w:rPr>
        <w:t>款额确认为租赁期内各期间的租金收入。与经营租赁有关的未计入</w:t>
      </w:r>
      <w:proofErr w:type="gramStart"/>
      <w:r>
        <w:rPr>
          <w:rFonts w:hint="eastAsia"/>
          <w:sz w:val="18"/>
          <w:szCs w:val="18"/>
        </w:rPr>
        <w:t>租赁收</w:t>
      </w:r>
      <w:proofErr w:type="gramEnd"/>
      <w:r>
        <w:rPr>
          <w:rFonts w:hint="eastAsia"/>
          <w:sz w:val="18"/>
          <w:szCs w:val="18"/>
        </w:rPr>
        <w:t>款额的可变租赁付款额，于实际发生时计入当期损益。</w:t>
      </w:r>
    </w:p>
    <w:p w:rsidR="00C1183B" w:rsidRDefault="002D376B">
      <w:pPr>
        <w:pStyle w:val="a3"/>
        <w:spacing w:before="0" w:beforeAutospacing="0" w:after="0" w:afterAutospacing="0" w:line="460" w:lineRule="atLeast"/>
        <w:ind w:left="360"/>
        <w:divId w:val="266469784"/>
      </w:pPr>
      <w:r>
        <w:rPr>
          <w:rFonts w:hint="eastAsia"/>
          <w:sz w:val="18"/>
          <w:szCs w:val="18"/>
        </w:rPr>
        <w:t>②融资租赁</w:t>
      </w:r>
    </w:p>
    <w:p w:rsidR="00C1183B" w:rsidRDefault="002D376B">
      <w:pPr>
        <w:pStyle w:val="a3"/>
        <w:spacing w:before="0" w:beforeAutospacing="0" w:after="0" w:afterAutospacing="0" w:line="460" w:lineRule="atLeast"/>
        <w:ind w:firstLine="360"/>
        <w:divId w:val="266469784"/>
      </w:pPr>
      <w:r>
        <w:rPr>
          <w:rFonts w:hint="eastAsia"/>
          <w:sz w:val="18"/>
          <w:szCs w:val="18"/>
        </w:rPr>
        <w:t>于租赁期开始日，本公司确认应收融资租赁款，并终止确认融资租赁资产。应收融资租赁款以租赁投资净额（未担保余值和租赁期开始日尚未收到的</w:t>
      </w:r>
      <w:proofErr w:type="gramStart"/>
      <w:r>
        <w:rPr>
          <w:rFonts w:hint="eastAsia"/>
          <w:sz w:val="18"/>
          <w:szCs w:val="18"/>
        </w:rPr>
        <w:t>租赁收</w:t>
      </w:r>
      <w:proofErr w:type="gramEnd"/>
      <w:r>
        <w:rPr>
          <w:rFonts w:hint="eastAsia"/>
          <w:sz w:val="18"/>
          <w:szCs w:val="18"/>
        </w:rPr>
        <w:t>款额按照租赁内含利率折现的现值之和）进行初始计量，并按照固定的周期性利率计算确认租赁期内的利息收入。本公司取得的未纳入租赁投资净额计量的可变租赁付款额在实际发生时计入当期损益。</w:t>
      </w:r>
    </w:p>
    <w:p w:rsidR="00334CB7" w:rsidRDefault="002D376B">
      <w:pPr>
        <w:pStyle w:val="3"/>
        <w:spacing w:line="280" w:lineRule="exact"/>
        <w:jc w:val="left"/>
        <w:rPr>
          <w:rFonts w:ascii="宋体" w:hAnsi="宋体" w:cs="宋体"/>
          <w:b/>
          <w:bCs/>
        </w:rPr>
      </w:pPr>
      <w:bookmarkStart w:id="146" w:name="_Toc989034"/>
      <w:r>
        <w:rPr>
          <w:rFonts w:ascii="宋体" w:hAnsi="宋体" w:cs="宋体"/>
          <w:b/>
          <w:bCs/>
        </w:rPr>
        <w:t>31、重要会计政策和会计估计变更</w:t>
      </w:r>
      <w:bookmarkEnd w:id="146"/>
    </w:p>
    <w:p w:rsidR="00334CB7" w:rsidRDefault="002D376B">
      <w:pPr>
        <w:keepNext/>
        <w:keepLines/>
        <w:spacing w:before="300" w:after="300" w:line="280" w:lineRule="exact"/>
        <w:outlineLvl w:val="3"/>
        <w:rPr>
          <w:rFonts w:ascii="宋体" w:eastAsia="宋体" w:hAnsi="宋体" w:cs="宋体"/>
          <w:b/>
          <w:bCs/>
          <w:sz w:val="18"/>
          <w:szCs w:val="18"/>
        </w:rPr>
      </w:pPr>
      <w:bookmarkStart w:id="147" w:name="_Toc989035"/>
      <w:r>
        <w:rPr>
          <w:rFonts w:ascii="宋体" w:eastAsia="宋体" w:hAnsi="宋体" w:cs="宋体"/>
          <w:b/>
          <w:bCs/>
          <w:sz w:val="18"/>
          <w:szCs w:val="18"/>
        </w:rPr>
        <w:t>（1） 重要会计政策变更</w:t>
      </w:r>
      <w:bookmarkEnd w:id="147"/>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3"/>
        <w:rPr>
          <w:rFonts w:ascii="宋体" w:eastAsia="宋体" w:hAnsi="宋体" w:cs="宋体"/>
          <w:b/>
          <w:bCs/>
          <w:sz w:val="18"/>
          <w:szCs w:val="18"/>
        </w:rPr>
      </w:pPr>
      <w:bookmarkStart w:id="148" w:name="_Toc989036"/>
      <w:r>
        <w:rPr>
          <w:rFonts w:ascii="宋体" w:eastAsia="宋体" w:hAnsi="宋体" w:cs="宋体"/>
          <w:b/>
          <w:bCs/>
          <w:sz w:val="18"/>
          <w:szCs w:val="18"/>
        </w:rPr>
        <w:t>（2） 重要会计估计变更</w:t>
      </w:r>
      <w:bookmarkEnd w:id="148"/>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3"/>
        <w:rPr>
          <w:rFonts w:ascii="宋体" w:eastAsia="宋体" w:hAnsi="宋体" w:cs="宋体"/>
          <w:b/>
          <w:bCs/>
          <w:sz w:val="18"/>
          <w:szCs w:val="18"/>
        </w:rPr>
      </w:pPr>
      <w:bookmarkStart w:id="149" w:name="_Toc989037"/>
      <w:r>
        <w:rPr>
          <w:rFonts w:ascii="宋体" w:eastAsia="宋体" w:hAnsi="宋体" w:cs="宋体"/>
          <w:b/>
          <w:bCs/>
          <w:sz w:val="18"/>
          <w:szCs w:val="18"/>
        </w:rPr>
        <w:t>（3） 2024年起首次执行新会计准则调整首次执行当年年初财务报表相关项目情况</w:t>
      </w:r>
      <w:bookmarkEnd w:id="149"/>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150" w:name="_Toc989038"/>
      <w:r>
        <w:rPr>
          <w:rFonts w:ascii="宋体" w:eastAsia="宋体" w:hAnsi="宋体" w:cs="宋体"/>
          <w:b/>
          <w:bCs/>
          <w:sz w:val="24"/>
          <w:szCs w:val="24"/>
        </w:rPr>
        <w:t>六、税项</w:t>
      </w:r>
      <w:bookmarkEnd w:id="150"/>
    </w:p>
    <w:p w:rsidR="00334CB7" w:rsidRDefault="002D376B">
      <w:pPr>
        <w:pStyle w:val="3"/>
        <w:spacing w:line="280" w:lineRule="exact"/>
        <w:jc w:val="left"/>
        <w:rPr>
          <w:rFonts w:ascii="宋体" w:hAnsi="宋体" w:cs="宋体"/>
          <w:b/>
          <w:bCs/>
        </w:rPr>
      </w:pPr>
      <w:bookmarkStart w:id="151" w:name="_Toc989039"/>
      <w:r>
        <w:rPr>
          <w:rFonts w:ascii="宋体" w:hAnsi="宋体" w:cs="宋体"/>
          <w:b/>
          <w:bCs/>
        </w:rPr>
        <w:t>1、主要税种及税率</w:t>
      </w:r>
      <w:bookmarkEnd w:id="15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增值税计税销售额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投资管理业务6%；工业产品销售13%；码头业务6%；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不适用</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实际缴纳的流转税额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5%、7%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25%、15%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实际缴纳的流转税额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5%</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25%</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15%</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25%</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25%</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25%</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25%</w:t>
            </w:r>
          </w:p>
        </w:tc>
      </w:tr>
    </w:tbl>
    <w:p w:rsidR="00334CB7" w:rsidRDefault="002D376B">
      <w:pPr>
        <w:pStyle w:val="3"/>
        <w:spacing w:line="280" w:lineRule="exact"/>
        <w:jc w:val="left"/>
        <w:rPr>
          <w:rFonts w:ascii="宋体" w:hAnsi="宋体" w:cs="宋体"/>
          <w:b/>
          <w:bCs/>
        </w:rPr>
      </w:pPr>
      <w:bookmarkStart w:id="152" w:name="_Toc989040"/>
      <w:r>
        <w:rPr>
          <w:rFonts w:ascii="宋体" w:hAnsi="宋体" w:cs="宋体"/>
          <w:b/>
          <w:bCs/>
        </w:rPr>
        <w:t>2、税收优惠</w:t>
      </w:r>
      <w:bookmarkEnd w:id="152"/>
    </w:p>
    <w:p w:rsidR="00C1183B" w:rsidRPr="006B6E60" w:rsidRDefault="002D376B">
      <w:pPr>
        <w:pStyle w:val="a3"/>
        <w:spacing w:before="0" w:beforeAutospacing="0" w:after="0" w:afterAutospacing="0" w:line="400" w:lineRule="atLeast"/>
        <w:ind w:firstLine="360"/>
        <w:jc w:val="both"/>
        <w:textAlignment w:val="bottom"/>
        <w:divId w:val="611860712"/>
        <w:rPr>
          <w:rFonts w:asciiTheme="minorEastAsia" w:eastAsiaTheme="minorEastAsia" w:hAnsiTheme="minorEastAsia"/>
        </w:rPr>
      </w:pPr>
      <w:r w:rsidRPr="006B6E60">
        <w:rPr>
          <w:rFonts w:asciiTheme="minorEastAsia" w:eastAsiaTheme="minorEastAsia" w:hAnsiTheme="minorEastAsia" w:hint="eastAsia"/>
          <w:sz w:val="18"/>
          <w:szCs w:val="18"/>
        </w:rPr>
        <w:t>根据《中华人民共和国企业所得税法》的规定，对国家需要重点扶持的高新技术企业，减按</w:t>
      </w:r>
      <w:r w:rsidRPr="006B6E60">
        <w:rPr>
          <w:rFonts w:asciiTheme="minorEastAsia" w:eastAsiaTheme="minorEastAsia" w:hAnsiTheme="minorEastAsia" w:cs="Arial"/>
          <w:sz w:val="18"/>
          <w:szCs w:val="18"/>
        </w:rPr>
        <w:t xml:space="preserve"> 15%</w:t>
      </w:r>
      <w:r w:rsidRPr="006B6E60">
        <w:rPr>
          <w:rFonts w:asciiTheme="minorEastAsia" w:eastAsiaTheme="minorEastAsia" w:hAnsiTheme="minorEastAsia" w:hint="eastAsia"/>
          <w:sz w:val="18"/>
          <w:szCs w:val="18"/>
        </w:rPr>
        <w:t>的税率征收企业所得税。本公司的子公司江阴华西化工码头有限公司于</w:t>
      </w:r>
      <w:r w:rsidRPr="006B6E60">
        <w:rPr>
          <w:rFonts w:asciiTheme="minorEastAsia" w:eastAsiaTheme="minorEastAsia" w:hAnsiTheme="minorEastAsia" w:cs="Arial"/>
          <w:sz w:val="18"/>
          <w:szCs w:val="18"/>
        </w:rPr>
        <w:t>2023</w:t>
      </w:r>
      <w:r w:rsidRPr="006B6E60">
        <w:rPr>
          <w:rFonts w:asciiTheme="minorEastAsia" w:eastAsiaTheme="minorEastAsia" w:hAnsiTheme="minorEastAsia" w:hint="eastAsia"/>
          <w:sz w:val="18"/>
          <w:szCs w:val="18"/>
        </w:rPr>
        <w:t>年</w:t>
      </w:r>
      <w:r w:rsidRPr="006B6E60">
        <w:rPr>
          <w:rFonts w:asciiTheme="minorEastAsia" w:eastAsiaTheme="minorEastAsia" w:hAnsiTheme="minorEastAsia" w:cs="Arial"/>
          <w:sz w:val="18"/>
          <w:szCs w:val="18"/>
        </w:rPr>
        <w:t>12</w:t>
      </w:r>
      <w:r w:rsidRPr="006B6E60">
        <w:rPr>
          <w:rFonts w:asciiTheme="minorEastAsia" w:eastAsiaTheme="minorEastAsia" w:hAnsiTheme="minorEastAsia" w:hint="eastAsia"/>
          <w:sz w:val="18"/>
          <w:szCs w:val="18"/>
        </w:rPr>
        <w:t>月获得高新技术企业证书，有效期</w:t>
      </w:r>
      <w:r w:rsidRPr="006B6E60">
        <w:rPr>
          <w:rFonts w:asciiTheme="minorEastAsia" w:eastAsiaTheme="minorEastAsia" w:hAnsiTheme="minorEastAsia" w:cs="Arial"/>
          <w:sz w:val="18"/>
          <w:szCs w:val="18"/>
        </w:rPr>
        <w:t>3</w:t>
      </w:r>
      <w:r w:rsidRPr="006B6E60">
        <w:rPr>
          <w:rFonts w:asciiTheme="minorEastAsia" w:eastAsiaTheme="minorEastAsia" w:hAnsiTheme="minorEastAsia" w:hint="eastAsia"/>
          <w:sz w:val="18"/>
          <w:szCs w:val="18"/>
        </w:rPr>
        <w:t>年，</w:t>
      </w:r>
      <w:r w:rsidRPr="006B6E60">
        <w:rPr>
          <w:rFonts w:asciiTheme="minorEastAsia" w:eastAsiaTheme="minorEastAsia" w:hAnsiTheme="minorEastAsia" w:cs="Arial"/>
          <w:sz w:val="18"/>
          <w:szCs w:val="18"/>
        </w:rPr>
        <w:t>2024</w:t>
      </w:r>
      <w:r w:rsidRPr="006B6E60">
        <w:rPr>
          <w:rFonts w:asciiTheme="minorEastAsia" w:eastAsiaTheme="minorEastAsia" w:hAnsiTheme="minorEastAsia" w:hint="eastAsia"/>
          <w:sz w:val="18"/>
          <w:szCs w:val="18"/>
        </w:rPr>
        <w:t>年度继续享受高新技术企业减按</w:t>
      </w:r>
      <w:r w:rsidRPr="006B6E60">
        <w:rPr>
          <w:rFonts w:asciiTheme="minorEastAsia" w:eastAsiaTheme="minorEastAsia" w:hAnsiTheme="minorEastAsia" w:cs="Arial"/>
          <w:sz w:val="18"/>
          <w:szCs w:val="18"/>
        </w:rPr>
        <w:t>15%</w:t>
      </w:r>
      <w:r w:rsidRPr="006B6E60">
        <w:rPr>
          <w:rFonts w:asciiTheme="minorEastAsia" w:eastAsiaTheme="minorEastAsia" w:hAnsiTheme="minorEastAsia" w:hint="eastAsia"/>
          <w:sz w:val="18"/>
          <w:szCs w:val="18"/>
        </w:rPr>
        <w:t>税率征收企业所得税的税收优惠政策。</w:t>
      </w:r>
    </w:p>
    <w:p w:rsidR="00334CB7" w:rsidRDefault="002D376B">
      <w:pPr>
        <w:pStyle w:val="2"/>
        <w:spacing w:before="300" w:after="300" w:line="320" w:lineRule="exact"/>
        <w:rPr>
          <w:rFonts w:ascii="宋体" w:eastAsia="宋体" w:hAnsi="宋体" w:cs="宋体"/>
          <w:b/>
          <w:bCs/>
          <w:sz w:val="24"/>
          <w:szCs w:val="24"/>
        </w:rPr>
      </w:pPr>
      <w:bookmarkStart w:id="153" w:name="_Toc989041"/>
      <w:r>
        <w:rPr>
          <w:rFonts w:ascii="宋体" w:eastAsia="宋体" w:hAnsi="宋体" w:cs="宋体"/>
          <w:b/>
          <w:bCs/>
          <w:sz w:val="24"/>
          <w:szCs w:val="24"/>
        </w:rPr>
        <w:t>七、合并财务报表项目注释</w:t>
      </w:r>
      <w:bookmarkEnd w:id="153"/>
    </w:p>
    <w:p w:rsidR="00334CB7" w:rsidRDefault="002D376B">
      <w:pPr>
        <w:pStyle w:val="3"/>
        <w:spacing w:line="280" w:lineRule="exact"/>
        <w:jc w:val="left"/>
        <w:rPr>
          <w:rFonts w:ascii="宋体" w:hAnsi="宋体" w:cs="宋体"/>
          <w:b/>
          <w:bCs/>
        </w:rPr>
      </w:pPr>
      <w:bookmarkStart w:id="154" w:name="_Toc989042"/>
      <w:r>
        <w:rPr>
          <w:rFonts w:ascii="宋体" w:hAnsi="宋体" w:cs="宋体"/>
          <w:b/>
          <w:bCs/>
        </w:rPr>
        <w:t>1、货币资金</w:t>
      </w:r>
      <w:bookmarkEnd w:id="15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321,592,038.37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427,765,657.20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170,728,708.84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238,571,479.62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存放财务公司款项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492,320,747.21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666,337,136.82</w:t>
            </w:r>
          </w:p>
        </w:tc>
      </w:tr>
    </w:tbl>
    <w:p w:rsidR="00C1183B" w:rsidRDefault="002D376B">
      <w:pPr>
        <w:pStyle w:val="a3"/>
        <w:spacing w:before="120" w:beforeAutospacing="0" w:after="120" w:afterAutospacing="0"/>
        <w:ind w:firstLine="360"/>
        <w:divId w:val="1020817374"/>
        <w:rPr>
          <w:rFonts w:ascii="Times New Roman" w:hAnsi="Times New Roman" w:cs="Times New Roman"/>
          <w:sz w:val="21"/>
          <w:szCs w:val="21"/>
        </w:rPr>
      </w:pPr>
      <w:r>
        <w:rPr>
          <w:rFonts w:cs="Times New Roman" w:hint="eastAsia"/>
          <w:sz w:val="18"/>
          <w:szCs w:val="18"/>
        </w:rPr>
        <w:t>其他货币资金明细：</w:t>
      </w:r>
    </w:p>
    <w:tbl>
      <w:tblPr>
        <w:tblW w:w="9533" w:type="dxa"/>
        <w:jc w:val="center"/>
        <w:tblInd w:w="-319" w:type="dxa"/>
        <w:tblCellMar>
          <w:left w:w="0" w:type="dxa"/>
          <w:right w:w="0" w:type="dxa"/>
        </w:tblCellMar>
        <w:tblLook w:val="04A0" w:firstRow="1" w:lastRow="0" w:firstColumn="1" w:lastColumn="0" w:noHBand="0" w:noVBand="1"/>
      </w:tblPr>
      <w:tblGrid>
        <w:gridCol w:w="4135"/>
        <w:gridCol w:w="2670"/>
        <w:gridCol w:w="2728"/>
      </w:tblGrid>
      <w:tr w:rsidR="00C1183B" w:rsidTr="006B6E60">
        <w:trPr>
          <w:divId w:val="1020817374"/>
          <w:trHeight w:val="360"/>
          <w:tblHeader/>
          <w:jc w:val="center"/>
        </w:trPr>
        <w:tc>
          <w:tcPr>
            <w:tcW w:w="41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  目</w:t>
            </w:r>
          </w:p>
        </w:tc>
        <w:tc>
          <w:tcPr>
            <w:tcW w:w="26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27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上年年末余额</w:t>
            </w:r>
          </w:p>
        </w:tc>
      </w:tr>
      <w:tr w:rsidR="00C1183B" w:rsidTr="006B6E60">
        <w:trPr>
          <w:divId w:val="1020817374"/>
          <w:trHeight w:val="360"/>
          <w:jc w:val="center"/>
        </w:trPr>
        <w:tc>
          <w:tcPr>
            <w:tcW w:w="4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借款保证金</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88,700,000.00</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118,700,000.00</w:t>
            </w:r>
          </w:p>
        </w:tc>
      </w:tr>
      <w:tr w:rsidR="00C1183B" w:rsidTr="006B6E60">
        <w:trPr>
          <w:divId w:val="1020817374"/>
          <w:trHeight w:val="360"/>
          <w:jc w:val="center"/>
        </w:trPr>
        <w:tc>
          <w:tcPr>
            <w:tcW w:w="4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信用证保证金</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11,487,626.85</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16,885,814.57</w:t>
            </w:r>
          </w:p>
        </w:tc>
      </w:tr>
      <w:tr w:rsidR="00C1183B" w:rsidTr="006B6E60">
        <w:trPr>
          <w:divId w:val="1020817374"/>
          <w:trHeight w:val="360"/>
          <w:jc w:val="center"/>
        </w:trPr>
        <w:tc>
          <w:tcPr>
            <w:tcW w:w="4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用于质押的定期存款</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53,563,400.00</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20,000,000.00</w:t>
            </w:r>
          </w:p>
        </w:tc>
      </w:tr>
      <w:tr w:rsidR="00C1183B" w:rsidTr="006B6E60">
        <w:trPr>
          <w:divId w:val="1020817374"/>
          <w:trHeight w:val="360"/>
          <w:jc w:val="center"/>
        </w:trPr>
        <w:tc>
          <w:tcPr>
            <w:tcW w:w="4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存出投资款</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16,658,038.82</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82,865,331.72</w:t>
            </w:r>
          </w:p>
        </w:tc>
      </w:tr>
      <w:tr w:rsidR="00C1183B" w:rsidTr="006B6E60">
        <w:trPr>
          <w:divId w:val="1020817374"/>
          <w:trHeight w:val="360"/>
          <w:jc w:val="center"/>
        </w:trPr>
        <w:tc>
          <w:tcPr>
            <w:tcW w:w="4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存款应计利息</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319,643.17</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120,333.33</w:t>
            </w:r>
          </w:p>
        </w:tc>
      </w:tr>
      <w:tr w:rsidR="00C1183B" w:rsidTr="006B6E60">
        <w:trPr>
          <w:divId w:val="1020817374"/>
          <w:trHeight w:val="360"/>
          <w:jc w:val="center"/>
        </w:trPr>
        <w:tc>
          <w:tcPr>
            <w:tcW w:w="4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合计</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170,728,708.84</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238,571,479.62</w:t>
            </w:r>
          </w:p>
        </w:tc>
      </w:tr>
    </w:tbl>
    <w:p w:rsidR="00C1183B" w:rsidRDefault="00F35B6A">
      <w:pPr>
        <w:pStyle w:val="a3"/>
        <w:spacing w:before="0" w:beforeAutospacing="0" w:after="0" w:afterAutospacing="0" w:line="400" w:lineRule="atLeast"/>
        <w:ind w:firstLine="360"/>
        <w:jc w:val="both"/>
        <w:divId w:val="1020817374"/>
        <w:rPr>
          <w:rFonts w:ascii="Times New Roman" w:hAnsi="Times New Roman" w:cs="Times New Roman"/>
          <w:sz w:val="21"/>
          <w:szCs w:val="21"/>
        </w:rPr>
      </w:pPr>
      <w:r>
        <w:rPr>
          <w:rFonts w:cs="Times New Roman" w:hint="eastAsia"/>
          <w:sz w:val="18"/>
          <w:szCs w:val="18"/>
        </w:rPr>
        <w:t>注：</w:t>
      </w:r>
      <w:proofErr w:type="gramStart"/>
      <w:r w:rsidR="002D376B">
        <w:rPr>
          <w:rFonts w:cs="Times New Roman" w:hint="eastAsia"/>
          <w:sz w:val="18"/>
          <w:szCs w:val="18"/>
        </w:rPr>
        <w:t>期末因</w:t>
      </w:r>
      <w:proofErr w:type="gramEnd"/>
      <w:r w:rsidR="002D376B">
        <w:rPr>
          <w:rFonts w:cs="Times New Roman" w:hint="eastAsia"/>
          <w:sz w:val="18"/>
          <w:szCs w:val="18"/>
        </w:rPr>
        <w:t>抵押、质押或冻结等对使用有限制的款项合计154,070,670.02元，其中借款保证金88,700,000.00元，信用证保证金11,487,626.85元，用于质押的定期存款53,563,400.00元，定期存款利息319,643.17元。无存放境外且资金汇回受到限制的款项。</w:t>
      </w:r>
    </w:p>
    <w:p w:rsidR="00334CB7" w:rsidRDefault="002D376B">
      <w:pPr>
        <w:pStyle w:val="3"/>
        <w:spacing w:line="280" w:lineRule="exact"/>
        <w:jc w:val="left"/>
        <w:rPr>
          <w:rFonts w:ascii="宋体" w:hAnsi="宋体" w:cs="宋体"/>
          <w:b/>
          <w:bCs/>
        </w:rPr>
      </w:pPr>
      <w:bookmarkStart w:id="155" w:name="_Toc989043"/>
      <w:r>
        <w:rPr>
          <w:rFonts w:ascii="宋体" w:hAnsi="宋体" w:cs="宋体"/>
          <w:b/>
          <w:bCs/>
        </w:rPr>
        <w:lastRenderedPageBreak/>
        <w:t>2、交易性金融资产</w:t>
      </w:r>
      <w:bookmarkEnd w:id="15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361,777,515.76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309,897,476.06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231,849,578.40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306,943,207.20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基金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95,293,558.60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2,954,268.86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4C790F">
            <w:pPr>
              <w:spacing w:line="240" w:lineRule="exact"/>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34,634,378.76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361,777,515.76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309,897,476.06</w:t>
            </w:r>
          </w:p>
        </w:tc>
      </w:tr>
    </w:tbl>
    <w:p w:rsidR="00334CB7" w:rsidRDefault="002D376B">
      <w:pPr>
        <w:pStyle w:val="3"/>
        <w:spacing w:line="280" w:lineRule="exact"/>
        <w:jc w:val="left"/>
        <w:rPr>
          <w:rFonts w:ascii="宋体" w:hAnsi="宋体" w:cs="宋体"/>
          <w:b/>
          <w:bCs/>
        </w:rPr>
      </w:pPr>
      <w:bookmarkStart w:id="156" w:name="_Toc989044"/>
      <w:r>
        <w:rPr>
          <w:rFonts w:ascii="宋体" w:hAnsi="宋体" w:cs="宋体"/>
          <w:b/>
          <w:bCs/>
        </w:rPr>
        <w:t>3、应收票据</w:t>
      </w:r>
      <w:bookmarkEnd w:id="156"/>
    </w:p>
    <w:p w:rsidR="00334CB7" w:rsidRDefault="002D376B">
      <w:pPr>
        <w:keepNext/>
        <w:keepLines/>
        <w:spacing w:before="300" w:after="300" w:line="280" w:lineRule="exact"/>
        <w:outlineLvl w:val="3"/>
        <w:rPr>
          <w:rFonts w:ascii="宋体" w:eastAsia="宋体" w:hAnsi="宋体" w:cs="宋体"/>
          <w:b/>
          <w:bCs/>
          <w:szCs w:val="21"/>
        </w:rPr>
      </w:pPr>
      <w:bookmarkStart w:id="157" w:name="_Toc989045"/>
      <w:r>
        <w:rPr>
          <w:rFonts w:ascii="宋体" w:eastAsia="宋体" w:hAnsi="宋体" w:cs="宋体"/>
          <w:b/>
          <w:bCs/>
          <w:szCs w:val="21"/>
        </w:rPr>
        <w:t>（1） 应收票据分类列示</w:t>
      </w:r>
      <w:bookmarkEnd w:id="15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52,802,873.81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51,216,616.87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52,802,873.81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51,216,616.87</w:t>
            </w:r>
          </w:p>
        </w:tc>
      </w:tr>
    </w:tbl>
    <w:p w:rsidR="005E2C14" w:rsidRDefault="00F35B6A" w:rsidP="005E2C14">
      <w:pPr>
        <w:pStyle w:val="a3"/>
        <w:spacing w:before="0" w:beforeAutospacing="0" w:after="0" w:afterAutospacing="0" w:line="400" w:lineRule="atLeast"/>
        <w:ind w:firstLine="360"/>
        <w:jc w:val="both"/>
        <w:rPr>
          <w:rFonts w:ascii="Times New Roman" w:hAnsi="Times New Roman" w:cs="Times New Roman"/>
          <w:sz w:val="21"/>
          <w:szCs w:val="21"/>
        </w:rPr>
      </w:pPr>
      <w:bookmarkStart w:id="158" w:name="_Toc989046"/>
      <w:r>
        <w:rPr>
          <w:rFonts w:cs="Times New Roman" w:hint="eastAsia"/>
          <w:sz w:val="18"/>
          <w:szCs w:val="18"/>
        </w:rPr>
        <w:t>注：</w:t>
      </w:r>
      <w:r w:rsidR="005E2C14">
        <w:rPr>
          <w:rFonts w:cs="Times New Roman" w:hint="eastAsia"/>
          <w:sz w:val="18"/>
          <w:szCs w:val="18"/>
        </w:rPr>
        <w:t>本公司无单项计提减值准备的银行承兑汇票。本期末，本公司认为所持有的银行承兑汇票不存在重大信用风险，不会因银行违约而产生重大损失。</w:t>
      </w:r>
    </w:p>
    <w:p w:rsidR="00334CB7" w:rsidRDefault="002D376B">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期末公司已质押的应收票据</w:t>
      </w:r>
      <w:bookmarkEnd w:id="15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19,141,817.45</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19,141,817.45</w:t>
            </w:r>
          </w:p>
        </w:tc>
      </w:tr>
    </w:tbl>
    <w:p w:rsidR="00334CB7" w:rsidRDefault="002D376B">
      <w:pPr>
        <w:keepNext/>
        <w:keepLines/>
        <w:spacing w:before="300" w:after="300" w:line="280" w:lineRule="exact"/>
        <w:outlineLvl w:val="3"/>
        <w:rPr>
          <w:rFonts w:ascii="宋体" w:eastAsia="宋体" w:hAnsi="宋体" w:cs="宋体"/>
          <w:b/>
          <w:bCs/>
          <w:szCs w:val="21"/>
        </w:rPr>
      </w:pPr>
      <w:bookmarkStart w:id="159" w:name="_Toc989047"/>
      <w:r>
        <w:rPr>
          <w:rFonts w:ascii="宋体" w:eastAsia="宋体" w:hAnsi="宋体" w:cs="宋体"/>
          <w:b/>
          <w:bCs/>
          <w:szCs w:val="21"/>
        </w:rPr>
        <w:t>（3） 期末公司已背书或贴现且在资产负债表日尚未到期的应收票据</w:t>
      </w:r>
      <w:bookmarkEnd w:id="15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21,357,977.78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21,357,977.78</w:t>
            </w:r>
          </w:p>
        </w:tc>
      </w:tr>
    </w:tbl>
    <w:p w:rsidR="005E2C14" w:rsidRDefault="005E2C14" w:rsidP="005E2C14">
      <w:pPr>
        <w:pStyle w:val="a3"/>
        <w:spacing w:before="0" w:beforeAutospacing="0" w:after="0" w:afterAutospacing="0" w:line="400" w:lineRule="atLeast"/>
        <w:ind w:firstLine="360"/>
        <w:jc w:val="both"/>
        <w:rPr>
          <w:rFonts w:ascii="Times New Roman" w:hAnsi="Times New Roman" w:cs="Times New Roman"/>
          <w:sz w:val="21"/>
          <w:szCs w:val="21"/>
        </w:rPr>
      </w:pPr>
      <w:bookmarkStart w:id="160" w:name="_Toc989048"/>
      <w:r>
        <w:rPr>
          <w:rFonts w:cs="Times New Roman" w:hint="eastAsia"/>
          <w:sz w:val="18"/>
          <w:szCs w:val="18"/>
        </w:rPr>
        <w:t>本公司用于背书或贴现的银行承兑汇票如由信用等级较高银行承兑，信用风险和延期付款风险很小，并且票据相关的利率风险已转移给银行，可以判断票据所有权上的主要风险和报酬已经转移，故终止确认；本公司用于背书或贴现的</w:t>
      </w:r>
      <w:r>
        <w:rPr>
          <w:rFonts w:cs="Times New Roman" w:hint="eastAsia"/>
          <w:sz w:val="18"/>
          <w:szCs w:val="18"/>
        </w:rPr>
        <w:lastRenderedPageBreak/>
        <w:t>银行承兑汇票如由信用级别一般的银行承兑，背书或贴现不影响追索权，票据相关的信用风险和延期付款风险仍没有转移，故未终止确认。</w:t>
      </w:r>
    </w:p>
    <w:p w:rsidR="00334CB7" w:rsidRDefault="002D376B">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（4） 本期实际核销的应收票据情况</w:t>
      </w:r>
      <w:bookmarkEnd w:id="160"/>
    </w:p>
    <w:p w:rsidR="00C1183B" w:rsidRDefault="002D376B">
      <w:pPr>
        <w:pStyle w:val="a3"/>
        <w:divId w:val="965237378"/>
        <w:rPr>
          <w:sz w:val="18"/>
          <w:szCs w:val="18"/>
        </w:rPr>
      </w:pPr>
      <w:r>
        <w:rPr>
          <w:rFonts w:hint="eastAsia"/>
          <w:sz w:val="18"/>
          <w:szCs w:val="18"/>
        </w:rPr>
        <w:t>本报告期无实际核销的应收票据。</w:t>
      </w:r>
    </w:p>
    <w:p w:rsidR="00334CB7" w:rsidRDefault="002D376B">
      <w:pPr>
        <w:pStyle w:val="3"/>
        <w:spacing w:line="280" w:lineRule="exact"/>
        <w:jc w:val="left"/>
        <w:rPr>
          <w:rFonts w:ascii="宋体" w:hAnsi="宋体" w:cs="宋体"/>
          <w:b/>
          <w:bCs/>
        </w:rPr>
      </w:pPr>
      <w:bookmarkStart w:id="161" w:name="_Toc989049"/>
      <w:r>
        <w:rPr>
          <w:rFonts w:ascii="宋体" w:hAnsi="宋体" w:cs="宋体"/>
          <w:b/>
          <w:bCs/>
        </w:rPr>
        <w:t>4、应收账款</w:t>
      </w:r>
      <w:bookmarkEnd w:id="161"/>
    </w:p>
    <w:p w:rsidR="00334CB7" w:rsidRDefault="002D376B">
      <w:pPr>
        <w:keepNext/>
        <w:keepLines/>
        <w:spacing w:before="300" w:after="300" w:line="280" w:lineRule="exact"/>
        <w:outlineLvl w:val="3"/>
        <w:rPr>
          <w:rFonts w:ascii="宋体" w:eastAsia="宋体" w:hAnsi="宋体" w:cs="宋体"/>
          <w:b/>
          <w:bCs/>
          <w:szCs w:val="21"/>
        </w:rPr>
      </w:pPr>
      <w:bookmarkStart w:id="162" w:name="_Toc989050"/>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162"/>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163,063,723.27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110,757,427.32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9,216,130.84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5,017,334.06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4,787.58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5,931,888.07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5,927,926.11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6,327.49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1,539.91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10,302.78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10,302.78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5,915,257.80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5,916,083.42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178,211,742.78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121,707,475.07</w:t>
            </w:r>
          </w:p>
        </w:tc>
      </w:tr>
    </w:tbl>
    <w:p w:rsidR="00334CB7" w:rsidRDefault="002D376B">
      <w:pPr>
        <w:keepNext/>
        <w:keepLines/>
        <w:spacing w:before="300" w:after="300" w:line="280" w:lineRule="exact"/>
        <w:outlineLvl w:val="3"/>
        <w:rPr>
          <w:rFonts w:ascii="宋体" w:eastAsia="宋体" w:hAnsi="宋体" w:cs="宋体"/>
          <w:b/>
          <w:bCs/>
          <w:szCs w:val="21"/>
        </w:rPr>
      </w:pPr>
      <w:bookmarkStart w:id="163" w:name="_Toc989051"/>
      <w:r>
        <w:rPr>
          <w:rFonts w:ascii="宋体" w:eastAsia="宋体" w:hAnsi="宋体" w:cs="宋体"/>
          <w:b/>
          <w:bCs/>
          <w:szCs w:val="21"/>
        </w:rPr>
        <w:t>（2） 按坏账计提方法分类披露</w:t>
      </w:r>
      <w:bookmarkEnd w:id="16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334CB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178,211,742.78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15,001,463.19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163,210,279.59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178,211,742.78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15,001,463.19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163,210,279.59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178,211,742.78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15,001,463.19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163,210,279.59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按组合计提坏账准备类别名称：</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A680F" w:rsidRPr="001A680F" w:rsidTr="00F35B6A">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pPr>
              <w:spacing w:before="40" w:after="40" w:line="240" w:lineRule="exact"/>
              <w:jc w:val="center"/>
              <w:rPr>
                <w:rFonts w:ascii="宋体" w:eastAsia="宋体" w:hAnsi="宋体" w:cs="宋体"/>
                <w:sz w:val="18"/>
                <w:szCs w:val="18"/>
              </w:rPr>
            </w:pPr>
            <w:r w:rsidRPr="001A680F">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pPr>
              <w:spacing w:before="40" w:after="40" w:line="240" w:lineRule="exact"/>
              <w:jc w:val="center"/>
              <w:rPr>
                <w:rFonts w:ascii="宋体" w:eastAsia="宋体" w:hAnsi="宋体" w:cs="宋体"/>
                <w:sz w:val="18"/>
                <w:szCs w:val="18"/>
              </w:rPr>
            </w:pPr>
            <w:r w:rsidRPr="001A680F">
              <w:rPr>
                <w:rFonts w:ascii="宋体" w:eastAsia="宋体" w:hAnsi="宋体" w:cs="宋体"/>
                <w:sz w:val="18"/>
                <w:szCs w:val="18"/>
              </w:rPr>
              <w:t>期末余额</w:t>
            </w:r>
          </w:p>
        </w:tc>
      </w:tr>
      <w:tr w:rsidR="001A680F" w:rsidRPr="001A680F" w:rsidTr="00F35B6A">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pPr>
              <w:spacing w:before="40" w:after="40" w:line="240" w:lineRule="exact"/>
              <w:jc w:val="center"/>
              <w:rPr>
                <w:rFonts w:ascii="宋体" w:eastAsia="宋体" w:hAnsi="宋体" w:cs="宋体"/>
                <w:sz w:val="18"/>
                <w:szCs w:val="18"/>
              </w:rPr>
            </w:pPr>
            <w:r w:rsidRPr="001A680F">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pPr>
              <w:spacing w:before="40" w:after="40" w:line="240" w:lineRule="exact"/>
              <w:jc w:val="center"/>
              <w:rPr>
                <w:rFonts w:ascii="宋体" w:eastAsia="宋体" w:hAnsi="宋体" w:cs="宋体"/>
                <w:sz w:val="18"/>
                <w:szCs w:val="18"/>
              </w:rPr>
            </w:pPr>
            <w:r w:rsidRPr="001A680F">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pPr>
              <w:spacing w:before="40" w:after="40" w:line="240" w:lineRule="exact"/>
              <w:jc w:val="center"/>
              <w:rPr>
                <w:rFonts w:ascii="宋体" w:eastAsia="宋体" w:hAnsi="宋体" w:cs="宋体"/>
                <w:sz w:val="18"/>
                <w:szCs w:val="18"/>
              </w:rPr>
            </w:pPr>
            <w:r w:rsidRPr="001A680F">
              <w:rPr>
                <w:rFonts w:ascii="宋体" w:eastAsia="宋体" w:hAnsi="宋体" w:cs="宋体"/>
                <w:sz w:val="18"/>
                <w:szCs w:val="18"/>
              </w:rPr>
              <w:t>计提比例</w:t>
            </w:r>
          </w:p>
        </w:tc>
      </w:tr>
      <w:tr w:rsidR="001A680F" w:rsidRPr="001A680F"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rPr>
                <w:rFonts w:ascii="宋体" w:eastAsia="宋体" w:hAnsi="宋体" w:cs="宋体"/>
                <w:sz w:val="18"/>
                <w:szCs w:val="18"/>
              </w:rPr>
            </w:pPr>
            <w:r w:rsidRPr="001A680F">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163,063,723.27</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8,153,186.16</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5.00%</w:t>
            </w:r>
          </w:p>
        </w:tc>
      </w:tr>
      <w:tr w:rsidR="001A680F" w:rsidRPr="001A680F"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rPr>
                <w:rFonts w:ascii="宋体" w:eastAsia="宋体" w:hAnsi="宋体" w:cs="宋体"/>
                <w:sz w:val="18"/>
                <w:szCs w:val="18"/>
              </w:rPr>
            </w:pPr>
            <w:r w:rsidRPr="001A680F">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9,216,130.84</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921,613.08</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10.00%</w:t>
            </w:r>
          </w:p>
        </w:tc>
      </w:tr>
      <w:tr w:rsidR="001A680F" w:rsidRPr="001A680F"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rPr>
                <w:rFonts w:ascii="宋体" w:eastAsia="宋体" w:hAnsi="宋体" w:cs="宋体"/>
                <w:sz w:val="18"/>
                <w:szCs w:val="18"/>
              </w:rPr>
            </w:pPr>
            <w:r w:rsidRPr="001A680F">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0.60</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0.18</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30.00%</w:t>
            </w:r>
          </w:p>
        </w:tc>
      </w:tr>
      <w:tr w:rsidR="001A680F" w:rsidRPr="001A680F"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rPr>
                <w:rFonts w:ascii="宋体" w:eastAsia="宋体" w:hAnsi="宋体" w:cs="宋体"/>
                <w:sz w:val="18"/>
                <w:szCs w:val="18"/>
              </w:rPr>
            </w:pPr>
            <w:r w:rsidRPr="001A680F">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6,327.49</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3,163.75</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50.00%</w:t>
            </w:r>
          </w:p>
        </w:tc>
      </w:tr>
      <w:tr w:rsidR="001A680F" w:rsidRPr="001A680F"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rPr>
                <w:rFonts w:ascii="宋体" w:eastAsia="宋体" w:hAnsi="宋体" w:cs="宋体"/>
                <w:sz w:val="18"/>
                <w:szCs w:val="18"/>
              </w:rPr>
            </w:pPr>
            <w:r w:rsidRPr="001A680F">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10,302.78</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8,242.22</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80.00%</w:t>
            </w:r>
          </w:p>
        </w:tc>
      </w:tr>
      <w:tr w:rsidR="001A680F" w:rsidRPr="001A680F"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rPr>
                <w:rFonts w:ascii="宋体" w:eastAsia="宋体" w:hAnsi="宋体" w:cs="宋体"/>
                <w:sz w:val="18"/>
                <w:szCs w:val="18"/>
              </w:rPr>
            </w:pPr>
            <w:r w:rsidRPr="001A680F">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5,915,257.80</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5,915,257.80</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100.00%</w:t>
            </w:r>
          </w:p>
        </w:tc>
      </w:tr>
      <w:tr w:rsidR="001A680F" w:rsidRPr="001A680F" w:rsidTr="00F35B6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pPr>
              <w:spacing w:before="40" w:after="40" w:line="240" w:lineRule="exact"/>
              <w:rPr>
                <w:rFonts w:ascii="宋体" w:eastAsia="宋体" w:hAnsi="宋体" w:cs="宋体"/>
                <w:sz w:val="18"/>
                <w:szCs w:val="18"/>
              </w:rPr>
            </w:pPr>
            <w:r w:rsidRPr="001A680F">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178,211,742.78</w:t>
            </w:r>
          </w:p>
        </w:tc>
        <w:tc>
          <w:tcPr>
            <w:tcW w:w="2410" w:type="dxa"/>
            <w:tcBorders>
              <w:top w:val="single" w:sz="2" w:space="0" w:color="auto"/>
              <w:left w:val="single" w:sz="2" w:space="0" w:color="auto"/>
              <w:bottom w:val="single" w:sz="2" w:space="0" w:color="auto"/>
              <w:right w:val="single" w:sz="2" w:space="0" w:color="auto"/>
            </w:tcBorders>
            <w:vAlign w:val="center"/>
          </w:tcPr>
          <w:p w:rsidR="001A680F" w:rsidRPr="001A680F" w:rsidRDefault="001A680F" w:rsidP="001A680F">
            <w:pPr>
              <w:spacing w:line="240" w:lineRule="exact"/>
              <w:jc w:val="right"/>
              <w:rPr>
                <w:rFonts w:ascii="宋体" w:eastAsia="宋体" w:hAnsi="宋体" w:cs="宋体"/>
                <w:sz w:val="18"/>
                <w:szCs w:val="18"/>
              </w:rPr>
            </w:pPr>
            <w:r w:rsidRPr="001A680F">
              <w:rPr>
                <w:rFonts w:ascii="宋体" w:eastAsia="宋体" w:hAnsi="宋体" w:cs="宋体"/>
                <w:sz w:val="18"/>
                <w:szCs w:val="18"/>
              </w:rPr>
              <w:t>15,001,463.19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A680F" w:rsidRPr="001A680F" w:rsidRDefault="001A680F" w:rsidP="001A680F"/>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C1183B" w:rsidRDefault="002D376B">
      <w:pPr>
        <w:pStyle w:val="a3"/>
        <w:divId w:val="1186866792"/>
        <w:rPr>
          <w:sz w:val="18"/>
          <w:szCs w:val="18"/>
        </w:rPr>
      </w:pPr>
      <w:r>
        <w:rPr>
          <w:rFonts w:hint="eastAsia"/>
          <w:sz w:val="18"/>
          <w:szCs w:val="18"/>
        </w:rPr>
        <w:t>参考历史信用损失经验，结合当前状况以及对未来经济账龄组合。本组合以应收款项的账</w:t>
      </w:r>
      <w:proofErr w:type="gramStart"/>
      <w:r>
        <w:rPr>
          <w:rFonts w:hint="eastAsia"/>
          <w:sz w:val="18"/>
          <w:szCs w:val="18"/>
        </w:rPr>
        <w:t>龄作为</w:t>
      </w:r>
      <w:proofErr w:type="gramEnd"/>
      <w:r>
        <w:rPr>
          <w:rFonts w:hint="eastAsia"/>
          <w:sz w:val="18"/>
          <w:szCs w:val="18"/>
        </w:rPr>
        <w:t>信用风险特征状况的预测，编制应收款项账龄与预期信用损失率对照表，计算预期信用损失。</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3"/>
        <w:rPr>
          <w:rFonts w:ascii="宋体" w:eastAsia="宋体" w:hAnsi="宋体" w:cs="宋体"/>
          <w:b/>
          <w:bCs/>
          <w:szCs w:val="21"/>
        </w:rPr>
      </w:pPr>
      <w:bookmarkStart w:id="164" w:name="_Toc989052"/>
      <w:r>
        <w:rPr>
          <w:rFonts w:ascii="宋体" w:eastAsia="宋体" w:hAnsi="宋体" w:cs="宋体"/>
          <w:b/>
          <w:bCs/>
          <w:szCs w:val="21"/>
        </w:rPr>
        <w:t>（3） 本期计提、收回或转回的坏账准备情况</w:t>
      </w:r>
      <w:bookmarkEnd w:id="164"/>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3,035,326.54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15,001,463.19</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3,035,326.54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15,001,463.19</w:t>
            </w:r>
          </w:p>
        </w:tc>
      </w:tr>
    </w:tbl>
    <w:p w:rsidR="00334CB7" w:rsidRDefault="002D376B">
      <w:pPr>
        <w:keepNext/>
        <w:keepLines/>
        <w:spacing w:before="300" w:after="300" w:line="280" w:lineRule="exact"/>
        <w:outlineLvl w:val="3"/>
        <w:rPr>
          <w:rFonts w:ascii="宋体" w:eastAsia="宋体" w:hAnsi="宋体" w:cs="宋体"/>
          <w:b/>
          <w:bCs/>
          <w:szCs w:val="21"/>
        </w:rPr>
      </w:pPr>
      <w:bookmarkStart w:id="165" w:name="_Toc989053"/>
      <w:r>
        <w:rPr>
          <w:rFonts w:ascii="宋体" w:eastAsia="宋体" w:hAnsi="宋体" w:cs="宋体"/>
          <w:b/>
          <w:bCs/>
          <w:szCs w:val="21"/>
        </w:rPr>
        <w:t>（4） 本期实际核销的应收账款情况</w:t>
      </w:r>
      <w:bookmarkEnd w:id="165"/>
    </w:p>
    <w:p w:rsidR="00C1183B" w:rsidRDefault="002D376B">
      <w:pPr>
        <w:pStyle w:val="a3"/>
        <w:spacing w:before="0" w:beforeAutospacing="0" w:after="0" w:afterAutospacing="0" w:line="400" w:lineRule="atLeast"/>
        <w:ind w:firstLine="360"/>
        <w:jc w:val="both"/>
        <w:divId w:val="1913736102"/>
        <w:rPr>
          <w:rFonts w:ascii="Times New Roman" w:hAnsi="Times New Roman" w:cs="Times New Roman"/>
          <w:sz w:val="21"/>
          <w:szCs w:val="21"/>
        </w:rPr>
      </w:pPr>
      <w:r>
        <w:rPr>
          <w:rFonts w:cs="Times New Roman" w:hint="eastAsia"/>
          <w:sz w:val="18"/>
          <w:szCs w:val="18"/>
        </w:rPr>
        <w:t>本报告期无实际核销的应收账款。</w:t>
      </w:r>
    </w:p>
    <w:p w:rsidR="00334CB7" w:rsidRDefault="002D376B">
      <w:pPr>
        <w:keepNext/>
        <w:keepLines/>
        <w:spacing w:before="300" w:after="300" w:line="280" w:lineRule="exact"/>
        <w:outlineLvl w:val="3"/>
        <w:rPr>
          <w:rFonts w:ascii="宋体" w:eastAsia="宋体" w:hAnsi="宋体" w:cs="宋体"/>
          <w:b/>
          <w:bCs/>
          <w:szCs w:val="21"/>
        </w:rPr>
      </w:pPr>
      <w:bookmarkStart w:id="166" w:name="_Toc989054"/>
      <w:r>
        <w:rPr>
          <w:rFonts w:ascii="宋体" w:eastAsia="宋体" w:hAnsi="宋体" w:cs="宋体"/>
          <w:b/>
          <w:bCs/>
          <w:szCs w:val="21"/>
        </w:rPr>
        <w:t>（5） 按欠款方归集的期末余额前五名的应收账款和合同资产情况</w:t>
      </w:r>
      <w:bookmarkEnd w:id="16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22,215,720.83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22,215,720.83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1,110,786.04</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19,759,993.74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19,759,993.74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11.09%</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987,999.69</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1,353,215.75</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14,295,117.17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14,295,117.17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714,755.86</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13,499,744.20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13,499,744.20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7.57%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674,987.21</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88,252,364.00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88,252,364.00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49.52%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4,841,744.55</w:t>
            </w:r>
          </w:p>
        </w:tc>
      </w:tr>
    </w:tbl>
    <w:p w:rsidR="00334CB7" w:rsidRDefault="002D376B">
      <w:pPr>
        <w:pStyle w:val="3"/>
        <w:spacing w:line="280" w:lineRule="exact"/>
        <w:jc w:val="left"/>
        <w:rPr>
          <w:rFonts w:ascii="宋体" w:hAnsi="宋体" w:cs="宋体"/>
          <w:b/>
          <w:bCs/>
        </w:rPr>
      </w:pPr>
      <w:bookmarkStart w:id="167" w:name="_Toc989055"/>
      <w:r>
        <w:rPr>
          <w:rFonts w:ascii="宋体" w:hAnsi="宋体" w:cs="宋体"/>
          <w:b/>
          <w:bCs/>
        </w:rPr>
        <w:lastRenderedPageBreak/>
        <w:t>5、应收款项融资</w:t>
      </w:r>
      <w:bookmarkEnd w:id="167"/>
    </w:p>
    <w:p w:rsidR="00334CB7" w:rsidRDefault="002D376B">
      <w:pPr>
        <w:keepNext/>
        <w:keepLines/>
        <w:spacing w:before="300" w:after="300" w:line="280" w:lineRule="exact"/>
        <w:outlineLvl w:val="3"/>
        <w:rPr>
          <w:rFonts w:ascii="宋体" w:eastAsia="宋体" w:hAnsi="宋体" w:cs="宋体"/>
          <w:b/>
          <w:bCs/>
          <w:szCs w:val="21"/>
        </w:rPr>
      </w:pPr>
      <w:bookmarkStart w:id="168" w:name="_Toc989056"/>
      <w:r>
        <w:rPr>
          <w:rFonts w:ascii="宋体" w:eastAsia="宋体" w:hAnsi="宋体" w:cs="宋体"/>
          <w:b/>
          <w:bCs/>
          <w:szCs w:val="21"/>
        </w:rPr>
        <w:t>（1） 应收款项融资分类列示</w:t>
      </w:r>
      <w:bookmarkEnd w:id="16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170,587,490.34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141,899,872.44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170,587,490.34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141,899,872.44</w:t>
            </w:r>
          </w:p>
        </w:tc>
      </w:tr>
    </w:tbl>
    <w:p w:rsidR="00AD7F8F" w:rsidRDefault="00AD7F8F" w:rsidP="00AD7F8F">
      <w:pPr>
        <w:pStyle w:val="a3"/>
        <w:spacing w:before="0" w:beforeAutospacing="0" w:after="0" w:afterAutospacing="0" w:line="400" w:lineRule="atLeast"/>
        <w:ind w:firstLine="360"/>
        <w:jc w:val="both"/>
        <w:rPr>
          <w:rFonts w:ascii="Times New Roman" w:hAnsi="Times New Roman" w:cs="Times New Roman"/>
          <w:sz w:val="21"/>
          <w:szCs w:val="21"/>
        </w:rPr>
      </w:pPr>
      <w:bookmarkStart w:id="169" w:name="_Toc989057"/>
      <w:r>
        <w:rPr>
          <w:rFonts w:cs="Times New Roman" w:hint="eastAsia"/>
          <w:sz w:val="18"/>
          <w:szCs w:val="18"/>
        </w:rPr>
        <w:t>本公司及所属部分子公司视其日常资金管理的需要将一部分银行承兑汇票进行贴现和背书，故将该部分银行承兑汇票分类为以公允价值计量且其变动计入其他综合收益的金融资产。</w:t>
      </w:r>
    </w:p>
    <w:p w:rsidR="00334CB7" w:rsidRDefault="002D376B">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 期末公司已质押的应收款项融资</w:t>
      </w:r>
      <w:bookmarkEnd w:id="16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应收票据</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130,959,443.87</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130,959,443.87</w:t>
            </w:r>
          </w:p>
        </w:tc>
      </w:tr>
    </w:tbl>
    <w:p w:rsidR="00334CB7" w:rsidRDefault="002D376B">
      <w:pPr>
        <w:keepNext/>
        <w:keepLines/>
        <w:spacing w:before="300" w:after="300" w:line="280" w:lineRule="exact"/>
        <w:outlineLvl w:val="3"/>
        <w:rPr>
          <w:rFonts w:ascii="宋体" w:eastAsia="宋体" w:hAnsi="宋体" w:cs="宋体"/>
          <w:b/>
          <w:bCs/>
          <w:szCs w:val="21"/>
        </w:rPr>
      </w:pPr>
      <w:bookmarkStart w:id="170" w:name="_Toc989058"/>
      <w:r>
        <w:rPr>
          <w:rFonts w:ascii="宋体" w:eastAsia="宋体" w:hAnsi="宋体" w:cs="宋体"/>
          <w:b/>
          <w:bCs/>
          <w:szCs w:val="21"/>
        </w:rPr>
        <w:t>（3） 期末公司已背书或贴现且在资产负债表日尚未到期的应收款项融资</w:t>
      </w:r>
      <w:bookmarkEnd w:id="17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32,633,647.12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32,633,647.12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bl>
    <w:p w:rsidR="00334CB7" w:rsidRDefault="002D376B">
      <w:pPr>
        <w:pStyle w:val="3"/>
        <w:spacing w:line="280" w:lineRule="exact"/>
        <w:jc w:val="left"/>
        <w:rPr>
          <w:rFonts w:ascii="宋体" w:hAnsi="宋体" w:cs="宋体"/>
          <w:b/>
          <w:bCs/>
        </w:rPr>
      </w:pPr>
      <w:bookmarkStart w:id="171" w:name="_Toc989060"/>
      <w:r>
        <w:rPr>
          <w:rFonts w:ascii="宋体" w:hAnsi="宋体" w:cs="宋体"/>
          <w:b/>
          <w:bCs/>
        </w:rPr>
        <w:t>6、其他应收款</w:t>
      </w:r>
      <w:bookmarkEnd w:id="171"/>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6,233,465.05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1,423,307.95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6,233,465.05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1,423,307.95</w:t>
            </w:r>
          </w:p>
        </w:tc>
      </w:tr>
    </w:tbl>
    <w:p w:rsidR="00334CB7" w:rsidRDefault="002D376B">
      <w:pPr>
        <w:keepNext/>
        <w:keepLines/>
        <w:spacing w:before="300" w:after="300" w:line="280" w:lineRule="exact"/>
        <w:outlineLvl w:val="3"/>
        <w:rPr>
          <w:rFonts w:ascii="宋体" w:eastAsia="宋体" w:hAnsi="宋体" w:cs="宋体"/>
          <w:b/>
          <w:bCs/>
          <w:szCs w:val="21"/>
        </w:rPr>
      </w:pPr>
      <w:bookmarkStart w:id="172" w:name="_Toc989061"/>
      <w:r>
        <w:rPr>
          <w:rFonts w:ascii="宋体" w:eastAsia="宋体" w:hAnsi="宋体" w:cs="宋体"/>
          <w:b/>
          <w:bCs/>
          <w:szCs w:val="21"/>
        </w:rPr>
        <w:t>（1） 其他应收款</w:t>
      </w:r>
      <w:bookmarkEnd w:id="172"/>
    </w:p>
    <w:p w:rsidR="00334CB7" w:rsidRDefault="002D376B">
      <w:pPr>
        <w:keepNext/>
        <w:keepLines/>
        <w:spacing w:before="300" w:after="300" w:line="280" w:lineRule="exact"/>
        <w:outlineLvl w:val="4"/>
        <w:rPr>
          <w:rFonts w:ascii="宋体" w:eastAsia="宋体" w:hAnsi="宋体" w:cs="宋体"/>
          <w:b/>
          <w:bCs/>
          <w:sz w:val="18"/>
          <w:szCs w:val="18"/>
        </w:rPr>
      </w:pPr>
      <w:bookmarkStart w:id="173" w:name="_Toc989062"/>
      <w:r>
        <w:rPr>
          <w:rFonts w:ascii="宋体" w:eastAsia="宋体" w:hAnsi="宋体" w:cs="宋体"/>
          <w:b/>
          <w:bCs/>
          <w:sz w:val="18"/>
          <w:szCs w:val="18"/>
        </w:rPr>
        <w:t>1） 其他应收款按款项性质分类情况</w:t>
      </w:r>
      <w:bookmarkEnd w:id="17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7,147,504.52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2,067,504.52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437,762.31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362,532.48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44,488,573.89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39,333,344.06</w:t>
            </w:r>
          </w:p>
        </w:tc>
      </w:tr>
    </w:tbl>
    <w:p w:rsidR="00334CB7" w:rsidRDefault="002D376B">
      <w:pPr>
        <w:keepNext/>
        <w:keepLines/>
        <w:spacing w:before="300" w:after="300" w:line="280" w:lineRule="exact"/>
        <w:outlineLvl w:val="4"/>
        <w:rPr>
          <w:rFonts w:ascii="宋体" w:eastAsia="宋体" w:hAnsi="宋体" w:cs="宋体"/>
          <w:b/>
          <w:bCs/>
          <w:sz w:val="18"/>
          <w:szCs w:val="18"/>
        </w:rPr>
      </w:pPr>
      <w:bookmarkStart w:id="174" w:name="_Toc989063"/>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174"/>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6,182,408.67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967,178.84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353.64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38,306,165.22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38,305,811.58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600,353.64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900,000.00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35,821,036.70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1,884,774.88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1,884,774.88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44,488,573.89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39,333,344.06</w:t>
            </w:r>
          </w:p>
        </w:tc>
      </w:tr>
    </w:tbl>
    <w:p w:rsidR="00334CB7" w:rsidRDefault="002D376B">
      <w:pPr>
        <w:keepNext/>
        <w:keepLines/>
        <w:spacing w:before="300" w:after="300" w:line="280" w:lineRule="exact"/>
        <w:outlineLvl w:val="4"/>
        <w:rPr>
          <w:rFonts w:ascii="宋体" w:eastAsia="宋体" w:hAnsi="宋体" w:cs="宋体"/>
          <w:b/>
          <w:bCs/>
          <w:sz w:val="18"/>
          <w:szCs w:val="18"/>
        </w:rPr>
      </w:pPr>
      <w:bookmarkStart w:id="175" w:name="_Toc989064"/>
      <w:r>
        <w:rPr>
          <w:rFonts w:ascii="宋体" w:eastAsia="宋体" w:hAnsi="宋体" w:cs="宋体"/>
          <w:b/>
          <w:bCs/>
          <w:sz w:val="18"/>
          <w:szCs w:val="18"/>
        </w:rPr>
        <w:t>3） 按坏账计提方法分类披露</w:t>
      </w:r>
      <w:bookmarkEnd w:id="175"/>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334CB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79.84%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90.31%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8,967,537.19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20.16%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2,734,072.14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30.49%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6,233,465.05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3,812,307.36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62.67%</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1,423,307.95</w:t>
            </w:r>
          </w:p>
        </w:tc>
      </w:tr>
      <w:tr w:rsidR="00334CB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8,967,537.19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20.16%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2,734,072.14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30.49%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6,233,465.05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3,807,497.36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62.74%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1,418,497.95</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其他组合</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4,810.00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4,810.00</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44,488,573.89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38,255,108.84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85.99%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6,233,465.05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39,333,344.06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37,910,036.11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96.38%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1,423,307.95</w:t>
            </w:r>
          </w:p>
        </w:tc>
      </w:tr>
    </w:tbl>
    <w:p w:rsidR="00334CB7" w:rsidRDefault="002D376B">
      <w:pPr>
        <w:spacing w:line="240" w:lineRule="exact"/>
        <w:rPr>
          <w:rFonts w:ascii="宋体" w:eastAsia="宋体" w:hAnsi="宋体" w:cs="宋体"/>
          <w:sz w:val="18"/>
          <w:szCs w:val="18"/>
        </w:rPr>
      </w:pPr>
      <w:r>
        <w:rPr>
          <w:rFonts w:ascii="宋体" w:eastAsia="宋体" w:hAnsi="宋体" w:cs="宋体"/>
          <w:sz w:val="18"/>
          <w:szCs w:val="18"/>
        </w:rPr>
        <w:t>按单项计提坏账准备类别名称：按单项计提坏账准备</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bl>
    <w:p w:rsidR="00334CB7" w:rsidRDefault="002D376B">
      <w:pPr>
        <w:spacing w:line="240" w:lineRule="exact"/>
        <w:rPr>
          <w:rFonts w:ascii="宋体" w:eastAsia="宋体" w:hAnsi="宋体" w:cs="宋体"/>
          <w:sz w:val="18"/>
          <w:szCs w:val="18"/>
        </w:rPr>
      </w:pPr>
      <w:r>
        <w:rPr>
          <w:rFonts w:ascii="宋体" w:eastAsia="宋体" w:hAnsi="宋体" w:cs="宋体"/>
          <w:sz w:val="18"/>
          <w:szCs w:val="18"/>
        </w:rPr>
        <w:t>按组合计提坏账准备类别名称：</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4B0C04" w:rsidRPr="004B0C04" w:rsidTr="00F35B6A">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pPr>
              <w:spacing w:before="40" w:after="40" w:line="240" w:lineRule="exact"/>
              <w:jc w:val="center"/>
              <w:rPr>
                <w:rFonts w:ascii="宋体" w:eastAsia="宋体" w:hAnsi="宋体" w:cs="宋体"/>
                <w:sz w:val="18"/>
                <w:szCs w:val="18"/>
              </w:rPr>
            </w:pPr>
            <w:r w:rsidRPr="004B0C04">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pPr>
              <w:spacing w:before="40" w:after="40" w:line="240" w:lineRule="exact"/>
              <w:jc w:val="center"/>
              <w:rPr>
                <w:rFonts w:ascii="宋体" w:eastAsia="宋体" w:hAnsi="宋体" w:cs="宋体"/>
                <w:sz w:val="18"/>
                <w:szCs w:val="18"/>
              </w:rPr>
            </w:pPr>
            <w:r w:rsidRPr="004B0C04">
              <w:rPr>
                <w:rFonts w:ascii="宋体" w:eastAsia="宋体" w:hAnsi="宋体" w:cs="宋体"/>
                <w:sz w:val="18"/>
                <w:szCs w:val="18"/>
              </w:rPr>
              <w:t>期末余额</w:t>
            </w:r>
          </w:p>
        </w:tc>
      </w:tr>
      <w:tr w:rsidR="004B0C04" w:rsidRPr="004B0C04" w:rsidTr="00F35B6A">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pPr>
              <w:spacing w:before="40" w:after="40" w:line="240" w:lineRule="exact"/>
              <w:jc w:val="center"/>
              <w:rPr>
                <w:rFonts w:ascii="宋体" w:eastAsia="宋体" w:hAnsi="宋体" w:cs="宋体"/>
                <w:sz w:val="18"/>
                <w:szCs w:val="18"/>
              </w:rPr>
            </w:pPr>
            <w:r w:rsidRPr="004B0C04">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pPr>
              <w:spacing w:before="40" w:after="40" w:line="240" w:lineRule="exact"/>
              <w:jc w:val="center"/>
              <w:rPr>
                <w:rFonts w:ascii="宋体" w:eastAsia="宋体" w:hAnsi="宋体" w:cs="宋体"/>
                <w:sz w:val="18"/>
                <w:szCs w:val="18"/>
              </w:rPr>
            </w:pPr>
            <w:r w:rsidRPr="004B0C04">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pPr>
              <w:spacing w:before="40" w:after="40" w:line="240" w:lineRule="exact"/>
              <w:jc w:val="center"/>
              <w:rPr>
                <w:rFonts w:ascii="宋体" w:eastAsia="宋体" w:hAnsi="宋体" w:cs="宋体"/>
                <w:sz w:val="18"/>
                <w:szCs w:val="18"/>
              </w:rPr>
            </w:pPr>
            <w:r w:rsidRPr="004B0C04">
              <w:rPr>
                <w:rFonts w:ascii="宋体" w:eastAsia="宋体" w:hAnsi="宋体" w:cs="宋体"/>
                <w:sz w:val="18"/>
                <w:szCs w:val="18"/>
              </w:rPr>
              <w:t>计提比例</w:t>
            </w:r>
          </w:p>
        </w:tc>
      </w:tr>
      <w:tr w:rsidR="004B0C04" w:rsidRPr="004B0C04"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rPr>
                <w:rFonts w:ascii="宋体" w:eastAsia="宋体" w:hAnsi="宋体" w:cs="宋体"/>
                <w:sz w:val="18"/>
                <w:szCs w:val="18"/>
              </w:rPr>
            </w:pPr>
            <w:r w:rsidRPr="004B0C04">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6,182,408.67</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309,120.44</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5.00%</w:t>
            </w:r>
          </w:p>
        </w:tc>
      </w:tr>
      <w:tr w:rsidR="004B0C04" w:rsidRPr="004B0C04"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rPr>
                <w:rFonts w:ascii="宋体" w:eastAsia="宋体" w:hAnsi="宋体" w:cs="宋体"/>
                <w:sz w:val="18"/>
                <w:szCs w:val="18"/>
              </w:rPr>
            </w:pPr>
            <w:r w:rsidRPr="004B0C04">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E37FB8" w:rsidP="004B0C04">
            <w:pPr>
              <w:spacing w:line="240" w:lineRule="exact"/>
              <w:jc w:val="right"/>
              <w:rPr>
                <w:rFonts w:ascii="宋体" w:eastAsia="宋体" w:hAnsi="宋体" w:cs="宋体"/>
                <w:sz w:val="18"/>
                <w:szCs w:val="18"/>
              </w:rPr>
            </w:pPr>
            <w:r>
              <w:rPr>
                <w:rFonts w:ascii="宋体" w:eastAsia="宋体" w:hAnsi="宋体" w:cs="宋体" w:hint="eastAsia"/>
                <w:sz w:val="18"/>
                <w:szCs w:val="18"/>
              </w:rPr>
              <w:t>10.00%</w:t>
            </w:r>
          </w:p>
        </w:tc>
      </w:tr>
      <w:tr w:rsidR="004B0C04" w:rsidRPr="004B0C04"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rPr>
                <w:rFonts w:ascii="宋体" w:eastAsia="宋体" w:hAnsi="宋体" w:cs="宋体"/>
                <w:sz w:val="18"/>
                <w:szCs w:val="18"/>
              </w:rPr>
            </w:pPr>
            <w:r w:rsidRPr="004B0C04">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E37FB8" w:rsidP="004B0C04">
            <w:pPr>
              <w:spacing w:line="240" w:lineRule="exact"/>
              <w:jc w:val="right"/>
              <w:rPr>
                <w:rFonts w:ascii="宋体" w:eastAsia="宋体" w:hAnsi="宋体" w:cs="宋体"/>
                <w:sz w:val="18"/>
                <w:szCs w:val="18"/>
              </w:rPr>
            </w:pPr>
            <w:r>
              <w:rPr>
                <w:rFonts w:ascii="宋体" w:eastAsia="宋体" w:hAnsi="宋体" w:cs="宋体" w:hint="eastAsia"/>
                <w:sz w:val="18"/>
                <w:szCs w:val="18"/>
              </w:rPr>
              <w:t>30.00%</w:t>
            </w:r>
          </w:p>
        </w:tc>
      </w:tr>
      <w:tr w:rsidR="004B0C04" w:rsidRPr="004B0C04"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rPr>
                <w:rFonts w:ascii="宋体" w:eastAsia="宋体" w:hAnsi="宋体" w:cs="宋体"/>
                <w:sz w:val="18"/>
                <w:szCs w:val="18"/>
              </w:rPr>
            </w:pPr>
            <w:r w:rsidRPr="004B0C04">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600,353.64</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300,176.82</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50.00%</w:t>
            </w:r>
          </w:p>
        </w:tc>
      </w:tr>
      <w:tr w:rsidR="004B0C04" w:rsidRPr="004B0C04"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rPr>
                <w:rFonts w:ascii="宋体" w:eastAsia="宋体" w:hAnsi="宋体" w:cs="宋体"/>
                <w:sz w:val="18"/>
                <w:szCs w:val="18"/>
              </w:rPr>
            </w:pPr>
            <w:r w:rsidRPr="004B0C04">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300,000.00</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240,000.00</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80.00%</w:t>
            </w:r>
          </w:p>
        </w:tc>
      </w:tr>
      <w:tr w:rsidR="004B0C04" w:rsidRPr="004B0C04"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rPr>
                <w:rFonts w:ascii="宋体" w:eastAsia="宋体" w:hAnsi="宋体" w:cs="宋体"/>
                <w:sz w:val="18"/>
                <w:szCs w:val="18"/>
              </w:rPr>
            </w:pPr>
            <w:r w:rsidRPr="004B0C04">
              <w:rPr>
                <w:rFonts w:ascii="宋体" w:eastAsia="宋体" w:hAnsi="宋体" w:cs="宋体"/>
                <w:sz w:val="18"/>
                <w:szCs w:val="18"/>
              </w:rPr>
              <w:lastRenderedPageBreak/>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1,884,774.88</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1,884,774.88</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100.00%</w:t>
            </w:r>
          </w:p>
        </w:tc>
      </w:tr>
      <w:tr w:rsidR="004B0C04" w:rsidRPr="004B0C04" w:rsidTr="00F35B6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pPr>
              <w:spacing w:before="40" w:after="40" w:line="240" w:lineRule="exact"/>
              <w:rPr>
                <w:rFonts w:ascii="宋体" w:eastAsia="宋体" w:hAnsi="宋体" w:cs="宋体"/>
                <w:sz w:val="18"/>
                <w:szCs w:val="18"/>
              </w:rPr>
            </w:pPr>
            <w:r w:rsidRPr="004B0C0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8,967,537.19</w:t>
            </w:r>
          </w:p>
        </w:tc>
        <w:tc>
          <w:tcPr>
            <w:tcW w:w="2410" w:type="dxa"/>
            <w:tcBorders>
              <w:top w:val="single" w:sz="2" w:space="0" w:color="auto"/>
              <w:left w:val="single" w:sz="2" w:space="0" w:color="auto"/>
              <w:bottom w:val="single" w:sz="2" w:space="0" w:color="auto"/>
              <w:right w:val="single" w:sz="2" w:space="0" w:color="auto"/>
            </w:tcBorders>
            <w:vAlign w:val="center"/>
          </w:tcPr>
          <w:p w:rsidR="004B0C04" w:rsidRPr="004B0C04" w:rsidRDefault="004B0C04" w:rsidP="004B0C04">
            <w:pPr>
              <w:spacing w:line="240" w:lineRule="exact"/>
              <w:jc w:val="right"/>
              <w:rPr>
                <w:rFonts w:ascii="宋体" w:eastAsia="宋体" w:hAnsi="宋体" w:cs="宋体"/>
                <w:sz w:val="18"/>
                <w:szCs w:val="18"/>
              </w:rPr>
            </w:pPr>
            <w:r w:rsidRPr="004B0C04">
              <w:rPr>
                <w:rFonts w:ascii="宋体" w:eastAsia="宋体" w:hAnsi="宋体" w:cs="宋体"/>
                <w:sz w:val="18"/>
                <w:szCs w:val="18"/>
              </w:rPr>
              <w:t>2,734,072.14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4B0C04" w:rsidRPr="004B0C04" w:rsidRDefault="004B0C04" w:rsidP="004B0C04"/>
        </w:tc>
      </w:tr>
    </w:tbl>
    <w:p w:rsidR="004B0C04" w:rsidRDefault="004B0C04">
      <w:pPr>
        <w:spacing w:before="40" w:after="40" w:line="240" w:lineRule="exact"/>
        <w:jc w:val="right"/>
        <w:rPr>
          <w:rFonts w:ascii="宋体" w:eastAsia="宋体" w:hAnsi="宋体" w:cs="宋体"/>
          <w:sz w:val="18"/>
          <w:szCs w:val="18"/>
        </w:rPr>
      </w:pP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2024年1月1日余额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37,910,036.11</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2024年1月1日余额在本期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345,072.73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345,072.73</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2024年6月30日余额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2,734,072.14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38,255,108.84</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4"/>
        <w:rPr>
          <w:rFonts w:ascii="宋体" w:eastAsia="宋体" w:hAnsi="宋体" w:cs="宋体"/>
          <w:b/>
          <w:bCs/>
          <w:sz w:val="18"/>
          <w:szCs w:val="18"/>
        </w:rPr>
      </w:pPr>
      <w:bookmarkStart w:id="176" w:name="_Toc989065"/>
      <w:r>
        <w:rPr>
          <w:rFonts w:ascii="宋体" w:eastAsia="宋体" w:hAnsi="宋体" w:cs="宋体"/>
          <w:b/>
          <w:bCs/>
          <w:sz w:val="18"/>
          <w:szCs w:val="18"/>
        </w:rPr>
        <w:t>4） 本期计提、收回或转回的坏账准备情况</w:t>
      </w:r>
      <w:bookmarkEnd w:id="176"/>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37,910,036.11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345,072.73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38,255,108.84</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37,910,036.11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345,072.73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38,255,108.84</w:t>
            </w:r>
          </w:p>
        </w:tc>
      </w:tr>
    </w:tbl>
    <w:p w:rsidR="00334CB7" w:rsidRDefault="002D376B">
      <w:pPr>
        <w:keepNext/>
        <w:keepLines/>
        <w:spacing w:before="300" w:after="300" w:line="280" w:lineRule="exact"/>
        <w:outlineLvl w:val="4"/>
        <w:rPr>
          <w:rFonts w:ascii="宋体" w:eastAsia="宋体" w:hAnsi="宋体" w:cs="宋体"/>
          <w:b/>
          <w:bCs/>
          <w:sz w:val="18"/>
          <w:szCs w:val="18"/>
        </w:rPr>
      </w:pPr>
      <w:bookmarkStart w:id="177" w:name="_Toc989066"/>
      <w:r>
        <w:rPr>
          <w:rFonts w:ascii="宋体" w:eastAsia="宋体" w:hAnsi="宋体" w:cs="宋体"/>
          <w:b/>
          <w:bCs/>
          <w:sz w:val="18"/>
          <w:szCs w:val="18"/>
        </w:rPr>
        <w:t>5） 本期实际核销的其他应收款情况</w:t>
      </w:r>
      <w:bookmarkEnd w:id="177"/>
    </w:p>
    <w:p w:rsidR="00C1183B" w:rsidRDefault="002D376B">
      <w:pPr>
        <w:pStyle w:val="a3"/>
        <w:spacing w:before="0" w:beforeAutospacing="0" w:after="0" w:afterAutospacing="0" w:line="400" w:lineRule="atLeast"/>
        <w:ind w:firstLine="360"/>
        <w:jc w:val="both"/>
        <w:divId w:val="832379827"/>
        <w:rPr>
          <w:rFonts w:ascii="Times New Roman" w:hAnsi="Times New Roman" w:cs="Times New Roman"/>
          <w:sz w:val="21"/>
          <w:szCs w:val="21"/>
        </w:rPr>
      </w:pPr>
      <w:r>
        <w:rPr>
          <w:rFonts w:cs="Times New Roman" w:hint="eastAsia"/>
          <w:sz w:val="18"/>
          <w:szCs w:val="18"/>
        </w:rPr>
        <w:t>本报告期无实际核销的其他应收款。</w:t>
      </w:r>
    </w:p>
    <w:p w:rsidR="00334CB7" w:rsidRDefault="002D376B">
      <w:pPr>
        <w:keepNext/>
        <w:keepLines/>
        <w:spacing w:before="300" w:after="300" w:line="280" w:lineRule="exact"/>
        <w:outlineLvl w:val="4"/>
        <w:rPr>
          <w:rFonts w:ascii="宋体" w:eastAsia="宋体" w:hAnsi="宋体" w:cs="宋体"/>
          <w:b/>
          <w:bCs/>
          <w:sz w:val="18"/>
          <w:szCs w:val="18"/>
        </w:rPr>
      </w:pPr>
      <w:bookmarkStart w:id="178" w:name="_Toc989067"/>
      <w:r>
        <w:rPr>
          <w:rFonts w:ascii="宋体" w:eastAsia="宋体" w:hAnsi="宋体" w:cs="宋体"/>
          <w:b/>
          <w:bCs/>
          <w:sz w:val="18"/>
          <w:szCs w:val="18"/>
        </w:rPr>
        <w:t>6） 按欠款方归集的期末余额前五名的其他应收款情况</w:t>
      </w:r>
      <w:bookmarkEnd w:id="17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79.84%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3,500,000.00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175,000.00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75,000.00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1年以内，3-4年，4-5年</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570,000.00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43,014,781.41</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96.69%</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37,334,781.41</w:t>
            </w:r>
          </w:p>
        </w:tc>
      </w:tr>
    </w:tbl>
    <w:p w:rsidR="00334CB7" w:rsidRDefault="002D376B">
      <w:pPr>
        <w:pStyle w:val="3"/>
        <w:spacing w:line="280" w:lineRule="exact"/>
        <w:jc w:val="left"/>
        <w:rPr>
          <w:rFonts w:ascii="宋体" w:hAnsi="宋体" w:cs="宋体"/>
          <w:b/>
          <w:bCs/>
        </w:rPr>
      </w:pPr>
      <w:bookmarkStart w:id="179" w:name="_Toc989068"/>
      <w:r>
        <w:rPr>
          <w:rFonts w:ascii="宋体" w:hAnsi="宋体" w:cs="宋体"/>
          <w:b/>
          <w:bCs/>
        </w:rPr>
        <w:lastRenderedPageBreak/>
        <w:t>7、预付款项</w:t>
      </w:r>
      <w:bookmarkEnd w:id="179"/>
    </w:p>
    <w:p w:rsidR="00334CB7" w:rsidRDefault="002D376B">
      <w:pPr>
        <w:keepNext/>
        <w:keepLines/>
        <w:spacing w:before="300" w:after="300" w:line="280" w:lineRule="exact"/>
        <w:outlineLvl w:val="3"/>
        <w:rPr>
          <w:rFonts w:ascii="宋体" w:eastAsia="宋体" w:hAnsi="宋体" w:cs="宋体"/>
          <w:b/>
          <w:bCs/>
          <w:szCs w:val="21"/>
        </w:rPr>
      </w:pPr>
      <w:bookmarkStart w:id="180" w:name="_Toc989069"/>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18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55,449,061.06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99.93%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35,428,702.68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99.89%</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230.50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230.50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0.01%</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36,095.00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36,095.00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0.10%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55,485,386.56</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35,465,028.18</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p>
    <w:p w:rsidR="00C1183B" w:rsidRDefault="002D376B">
      <w:pPr>
        <w:pStyle w:val="a3"/>
        <w:divId w:val="758522634"/>
        <w:rPr>
          <w:sz w:val="18"/>
          <w:szCs w:val="18"/>
        </w:rPr>
      </w:pPr>
      <w:r>
        <w:rPr>
          <w:rFonts w:hint="eastAsia"/>
          <w:sz w:val="18"/>
          <w:szCs w:val="18"/>
        </w:rPr>
        <w:t>  账龄一年以上的预付账款为尚未结算的货款尾款</w:t>
      </w:r>
      <w:r>
        <w:rPr>
          <w:rStyle w:val="a4"/>
          <w:rFonts w:hint="eastAsia"/>
          <w:sz w:val="18"/>
          <w:szCs w:val="18"/>
        </w:rPr>
        <w:t>。</w:t>
      </w:r>
    </w:p>
    <w:p w:rsidR="00334CB7" w:rsidRPr="00D02722" w:rsidRDefault="002D376B">
      <w:pPr>
        <w:keepNext/>
        <w:keepLines/>
        <w:spacing w:before="300" w:after="300" w:line="280" w:lineRule="exact"/>
        <w:outlineLvl w:val="3"/>
        <w:rPr>
          <w:rFonts w:ascii="宋体" w:eastAsia="宋体" w:hAnsi="宋体" w:cs="宋体"/>
          <w:bCs/>
          <w:sz w:val="18"/>
          <w:szCs w:val="18"/>
        </w:rPr>
      </w:pPr>
      <w:bookmarkStart w:id="181" w:name="_Toc989070"/>
      <w:r>
        <w:rPr>
          <w:rFonts w:ascii="宋体" w:eastAsia="宋体" w:hAnsi="宋体" w:cs="宋体"/>
          <w:b/>
          <w:bCs/>
          <w:szCs w:val="21"/>
        </w:rPr>
        <w:t>（2） 按预付对象归集的期末余额前五名的预付款情况</w:t>
      </w:r>
      <w:bookmarkEnd w:id="181"/>
      <w:r w:rsidR="00D02722">
        <w:rPr>
          <w:rFonts w:ascii="宋体" w:eastAsia="宋体" w:hAnsi="宋体" w:cs="宋体" w:hint="eastAsia"/>
          <w:b/>
          <w:bCs/>
          <w:szCs w:val="21"/>
        </w:rPr>
        <w:t xml:space="preserve">                            </w:t>
      </w:r>
      <w:r w:rsidR="00D02722" w:rsidRPr="00D02722">
        <w:rPr>
          <w:rFonts w:ascii="宋体" w:eastAsia="宋体" w:hAnsi="宋体" w:cs="宋体" w:hint="eastAsia"/>
          <w:bCs/>
          <w:sz w:val="18"/>
          <w:szCs w:val="18"/>
        </w:rPr>
        <w:t xml:space="preserve">    单位：元</w:t>
      </w:r>
    </w:p>
    <w:tbl>
      <w:tblPr>
        <w:tblW w:w="9464" w:type="dxa"/>
        <w:tblCellMar>
          <w:left w:w="0" w:type="dxa"/>
          <w:right w:w="0" w:type="dxa"/>
        </w:tblCellMar>
        <w:tblLook w:val="04A0" w:firstRow="1" w:lastRow="0" w:firstColumn="1" w:lastColumn="0" w:noHBand="0" w:noVBand="1"/>
      </w:tblPr>
      <w:tblGrid>
        <w:gridCol w:w="2952"/>
        <w:gridCol w:w="3393"/>
        <w:gridCol w:w="3119"/>
      </w:tblGrid>
      <w:tr w:rsidR="00C1183B" w:rsidTr="00CA05B2">
        <w:trPr>
          <w:divId w:val="1100293553"/>
          <w:trHeight w:val="495"/>
          <w:tblHeader/>
        </w:trPr>
        <w:tc>
          <w:tcPr>
            <w:tcW w:w="2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单位名称</w:t>
            </w:r>
          </w:p>
        </w:tc>
        <w:tc>
          <w:tcPr>
            <w:tcW w:w="33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ind w:left="-2" w:right="-73"/>
              <w:jc w:val="center"/>
              <w:rPr>
                <w:rFonts w:ascii="Times New Roman" w:hAnsi="Times New Roman" w:cs="Times New Roman"/>
                <w:sz w:val="21"/>
                <w:szCs w:val="21"/>
              </w:rPr>
            </w:pPr>
            <w:r>
              <w:rPr>
                <w:rFonts w:cs="Times New Roman" w:hint="eastAsia"/>
                <w:sz w:val="18"/>
                <w:szCs w:val="18"/>
              </w:rPr>
              <w:t>占预付账款期末余额合计数的比例（%）</w:t>
            </w:r>
          </w:p>
        </w:tc>
      </w:tr>
      <w:tr w:rsidR="00C1183B" w:rsidTr="00CA05B2">
        <w:trPr>
          <w:divId w:val="1100293553"/>
          <w:trHeight w:val="345"/>
        </w:trPr>
        <w:tc>
          <w:tcPr>
            <w:tcW w:w="2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预付单位1</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19,899,720.00</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35.86</w:t>
            </w:r>
          </w:p>
        </w:tc>
      </w:tr>
      <w:tr w:rsidR="00C1183B" w:rsidTr="00CA05B2">
        <w:trPr>
          <w:divId w:val="1100293553"/>
          <w:trHeight w:val="345"/>
        </w:trPr>
        <w:tc>
          <w:tcPr>
            <w:tcW w:w="2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预付单位2</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7,800,927.64</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14.06</w:t>
            </w:r>
          </w:p>
        </w:tc>
      </w:tr>
      <w:tr w:rsidR="00C1183B" w:rsidTr="00CA05B2">
        <w:trPr>
          <w:divId w:val="1100293553"/>
          <w:trHeight w:val="345"/>
        </w:trPr>
        <w:tc>
          <w:tcPr>
            <w:tcW w:w="2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预付单位3</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6,630,234.00</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11.95</w:t>
            </w:r>
          </w:p>
        </w:tc>
      </w:tr>
      <w:tr w:rsidR="00C1183B" w:rsidTr="00CA05B2">
        <w:trPr>
          <w:divId w:val="1100293553"/>
          <w:trHeight w:val="345"/>
        </w:trPr>
        <w:tc>
          <w:tcPr>
            <w:tcW w:w="2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预付单位4</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4,302,953.36</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7.76</w:t>
            </w:r>
          </w:p>
        </w:tc>
      </w:tr>
      <w:tr w:rsidR="00C1183B" w:rsidTr="00CA05B2">
        <w:trPr>
          <w:divId w:val="1100293553"/>
          <w:trHeight w:val="345"/>
        </w:trPr>
        <w:tc>
          <w:tcPr>
            <w:tcW w:w="2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预付单位5</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3,000,000.00</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5.41</w:t>
            </w:r>
          </w:p>
        </w:tc>
      </w:tr>
      <w:tr w:rsidR="00C1183B" w:rsidTr="00CA05B2">
        <w:trPr>
          <w:divId w:val="1100293553"/>
          <w:trHeight w:val="345"/>
        </w:trPr>
        <w:tc>
          <w:tcPr>
            <w:tcW w:w="2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sidR="00D02722">
              <w:rPr>
                <w:rFonts w:cs="Times New Roman" w:hint="eastAsia"/>
                <w:sz w:val="18"/>
                <w:szCs w:val="18"/>
              </w:rPr>
              <w:t xml:space="preserve">  </w:t>
            </w:r>
            <w:r>
              <w:rPr>
                <w:rFonts w:cs="Times New Roman" w:hint="eastAsia"/>
                <w:sz w:val="18"/>
                <w:szCs w:val="18"/>
              </w:rPr>
              <w:t>计</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41,633,835.00</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75.04</w:t>
            </w:r>
          </w:p>
        </w:tc>
      </w:tr>
    </w:tbl>
    <w:p w:rsidR="00334CB7" w:rsidRDefault="002D376B">
      <w:pPr>
        <w:pStyle w:val="3"/>
        <w:spacing w:line="280" w:lineRule="exact"/>
        <w:jc w:val="left"/>
        <w:rPr>
          <w:rFonts w:ascii="宋体" w:hAnsi="宋体" w:cs="宋体"/>
          <w:b/>
          <w:bCs/>
        </w:rPr>
      </w:pPr>
      <w:bookmarkStart w:id="182" w:name="_Toc989071"/>
      <w:r>
        <w:rPr>
          <w:rFonts w:ascii="宋体" w:hAnsi="宋体" w:cs="宋体"/>
          <w:b/>
          <w:bCs/>
        </w:rPr>
        <w:t>8、存货</w:t>
      </w:r>
      <w:bookmarkEnd w:id="182"/>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334CB7" w:rsidRDefault="002D376B">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rsidR="00334CB7" w:rsidRDefault="002D376B">
      <w:pPr>
        <w:keepNext/>
        <w:keepLines/>
        <w:spacing w:before="300" w:after="300" w:line="280" w:lineRule="exact"/>
        <w:outlineLvl w:val="3"/>
        <w:rPr>
          <w:rFonts w:ascii="宋体" w:eastAsia="宋体" w:hAnsi="宋体" w:cs="宋体"/>
          <w:b/>
          <w:bCs/>
          <w:szCs w:val="21"/>
        </w:rPr>
      </w:pPr>
      <w:bookmarkStart w:id="183" w:name="_Toc989072"/>
      <w:r>
        <w:rPr>
          <w:rFonts w:ascii="宋体" w:eastAsia="宋体" w:hAnsi="宋体" w:cs="宋体"/>
          <w:b/>
          <w:bCs/>
          <w:szCs w:val="21"/>
        </w:rPr>
        <w:t>（1） 存货分类</w:t>
      </w:r>
      <w:bookmarkEnd w:id="18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106,272,024.74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39,342.91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106,232,681.83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108,137,496.73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625,625.50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107,511,871.23</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199,114,487.55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3,641,753.56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195,472,733.99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215,547,322.30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4,809,345.83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210,737,976.47</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发出商品</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1,928,367.27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1,928,367.27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16,384,340.85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16,384,340.85</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307,314,879.56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3,681,096.47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303,633,783.09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340,069,159.88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334,634,188.55</w:t>
            </w:r>
          </w:p>
        </w:tc>
      </w:tr>
    </w:tbl>
    <w:p w:rsidR="00334CB7" w:rsidRDefault="002D376B">
      <w:pPr>
        <w:keepNext/>
        <w:keepLines/>
        <w:spacing w:before="300" w:after="300" w:line="280" w:lineRule="exact"/>
        <w:outlineLvl w:val="3"/>
        <w:rPr>
          <w:rFonts w:ascii="宋体" w:eastAsia="宋体" w:hAnsi="宋体" w:cs="宋体"/>
          <w:b/>
          <w:bCs/>
          <w:szCs w:val="21"/>
        </w:rPr>
      </w:pPr>
      <w:bookmarkStart w:id="184" w:name="_Toc989073"/>
      <w:r>
        <w:rPr>
          <w:rFonts w:ascii="宋体" w:eastAsia="宋体" w:hAnsi="宋体" w:cs="宋体"/>
          <w:b/>
          <w:bCs/>
          <w:szCs w:val="21"/>
        </w:rPr>
        <w:t>（2） 存货跌价准备和合同履约成本减值准备</w:t>
      </w:r>
      <w:bookmarkEnd w:id="18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rsidP="00AD7F8F">
            <w:pPr>
              <w:spacing w:before="40" w:after="40" w:line="240" w:lineRule="exact"/>
              <w:jc w:val="center"/>
              <w:rPr>
                <w:rFonts w:ascii="宋体" w:eastAsia="宋体" w:hAnsi="宋体" w:cs="宋体"/>
                <w:sz w:val="18"/>
                <w:szCs w:val="18"/>
              </w:rPr>
            </w:pPr>
            <w:r>
              <w:rPr>
                <w:rFonts w:ascii="宋体" w:eastAsia="宋体" w:hAnsi="宋体" w:cs="宋体"/>
                <w:sz w:val="18"/>
                <w:szCs w:val="18"/>
              </w:rPr>
              <w:t>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AD7F8F">
            <w:pPr>
              <w:spacing w:before="40" w:after="40" w:line="240" w:lineRule="exact"/>
              <w:jc w:val="center"/>
              <w:rPr>
                <w:rFonts w:ascii="宋体" w:eastAsia="宋体" w:hAnsi="宋体" w:cs="宋体"/>
                <w:sz w:val="18"/>
                <w:szCs w:val="18"/>
              </w:rPr>
            </w:pPr>
            <w:r>
              <w:rPr>
                <w:rFonts w:ascii="宋体" w:eastAsia="宋体" w:hAnsi="宋体" w:cs="宋体"/>
                <w:sz w:val="18"/>
                <w:szCs w:val="18"/>
              </w:rPr>
              <w:t>转销</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AD7F8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D7F8F" w:rsidRDefault="00AD7F8F">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625,625.50</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D7F8F" w:rsidRPr="007A150C" w:rsidRDefault="00AD7F8F"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96,370.30</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Pr="007A150C" w:rsidRDefault="00AD7F8F"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489,912.29</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39,342.91</w:t>
            </w:r>
          </w:p>
        </w:tc>
      </w:tr>
      <w:tr w:rsidR="00AD7F8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D7F8F" w:rsidRDefault="00AD7F8F">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4,809,345.83</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3,070,582.31</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D7F8F" w:rsidRPr="007A150C" w:rsidRDefault="00AD7F8F" w:rsidP="00BD0562">
            <w:pPr>
              <w:widowControl/>
              <w:spacing w:line="400" w:lineRule="exact"/>
              <w:jc w:val="right"/>
              <w:rPr>
                <w:rFonts w:asciiTheme="minorEastAsia" w:hAnsiTheme="minorEastAsia" w:cs="Arial"/>
                <w:kern w:val="0"/>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D7F8F" w:rsidRPr="007A150C" w:rsidRDefault="00AD7F8F"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4,238,174.58</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3,641,753.56</w:t>
            </w:r>
          </w:p>
        </w:tc>
      </w:tr>
      <w:tr w:rsidR="00AD7F8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D7F8F" w:rsidRDefault="00AD7F8F">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3,070,582.31</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D7F8F" w:rsidRPr="007A150C" w:rsidRDefault="00AD7F8F"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96,370.30</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Pr="007A150C" w:rsidRDefault="00AD7F8F"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4,728,086.87</w:t>
            </w:r>
          </w:p>
        </w:tc>
        <w:tc>
          <w:tcPr>
            <w:tcW w:w="1377" w:type="dxa"/>
            <w:tcBorders>
              <w:top w:val="single" w:sz="2" w:space="0" w:color="auto"/>
              <w:left w:val="single" w:sz="2" w:space="0" w:color="auto"/>
              <w:bottom w:val="single" w:sz="2" w:space="0" w:color="auto"/>
              <w:right w:val="single" w:sz="2" w:space="0" w:color="auto"/>
            </w:tcBorders>
            <w:vAlign w:val="center"/>
          </w:tcPr>
          <w:p w:rsidR="00AD7F8F" w:rsidRDefault="00AD7F8F">
            <w:pPr>
              <w:spacing w:line="240" w:lineRule="exact"/>
              <w:jc w:val="right"/>
              <w:rPr>
                <w:rFonts w:ascii="宋体" w:eastAsia="宋体" w:hAnsi="宋体" w:cs="宋体"/>
                <w:sz w:val="18"/>
                <w:szCs w:val="18"/>
              </w:rPr>
            </w:pPr>
            <w:r>
              <w:rPr>
                <w:rFonts w:ascii="宋体" w:eastAsia="宋体" w:hAnsi="宋体" w:cs="宋体"/>
                <w:sz w:val="18"/>
                <w:szCs w:val="18"/>
              </w:rPr>
              <w:t>3,681,096.47</w:t>
            </w:r>
          </w:p>
        </w:tc>
      </w:tr>
    </w:tbl>
    <w:p w:rsidR="00C1183B" w:rsidRDefault="00AD7F8F">
      <w:pPr>
        <w:pStyle w:val="a3"/>
        <w:spacing w:before="0" w:beforeAutospacing="0" w:after="0" w:afterAutospacing="0" w:line="400" w:lineRule="atLeast"/>
        <w:ind w:firstLine="360"/>
        <w:jc w:val="both"/>
        <w:divId w:val="2081633901"/>
        <w:rPr>
          <w:rFonts w:ascii="Times New Roman" w:hAnsi="Times New Roman" w:cs="Times New Roman"/>
          <w:sz w:val="21"/>
          <w:szCs w:val="21"/>
        </w:rPr>
      </w:pPr>
      <w:r>
        <w:rPr>
          <w:rFonts w:cs="Times New Roman" w:hint="eastAsia"/>
          <w:sz w:val="18"/>
          <w:szCs w:val="18"/>
        </w:rPr>
        <w:t>注：</w:t>
      </w:r>
      <w:r w:rsidR="002D376B">
        <w:rPr>
          <w:rFonts w:cs="Times New Roman" w:hint="eastAsia"/>
          <w:sz w:val="18"/>
          <w:szCs w:val="18"/>
        </w:rPr>
        <w:t>可变现净值以存货的估计售价减去至完工估计将要发生的成本、估计的销售费用以及相关税费后的金额为具体依据。</w:t>
      </w:r>
    </w:p>
    <w:p w:rsidR="00C1183B" w:rsidRDefault="002D376B" w:rsidP="00AD7F8F">
      <w:pPr>
        <w:pStyle w:val="a3"/>
        <w:spacing w:before="0" w:beforeAutospacing="0" w:after="0" w:afterAutospacing="0" w:line="400" w:lineRule="atLeast"/>
        <w:ind w:firstLine="360"/>
        <w:jc w:val="both"/>
        <w:divId w:val="2081633901"/>
        <w:rPr>
          <w:sz w:val="18"/>
          <w:szCs w:val="18"/>
        </w:rPr>
      </w:pPr>
      <w:r>
        <w:rPr>
          <w:rFonts w:cs="Times New Roman" w:hint="eastAsia"/>
          <w:sz w:val="18"/>
          <w:szCs w:val="18"/>
        </w:rPr>
        <w:t>本期转销存货跌价准备的原因：存货跌价准备随着存货的销售转销。</w:t>
      </w:r>
    </w:p>
    <w:p w:rsidR="00334CB7" w:rsidRDefault="002D376B">
      <w:pPr>
        <w:pStyle w:val="3"/>
        <w:spacing w:line="280" w:lineRule="exact"/>
        <w:jc w:val="left"/>
        <w:rPr>
          <w:rFonts w:ascii="宋体" w:hAnsi="宋体" w:cs="宋体"/>
          <w:b/>
          <w:bCs/>
        </w:rPr>
      </w:pPr>
      <w:bookmarkStart w:id="185" w:name="_Toc989074"/>
      <w:r>
        <w:rPr>
          <w:rFonts w:ascii="宋体" w:hAnsi="宋体" w:cs="宋体"/>
          <w:b/>
          <w:bCs/>
        </w:rPr>
        <w:t>9、其他流动资产</w:t>
      </w:r>
      <w:bookmarkEnd w:id="18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增值税留抵税额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23,391,805.82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22,582,103.06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预缴企业所得税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1,288,963.58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9,004,334.59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73,394.49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24,754,163.89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31,586,437.65</w:t>
            </w:r>
          </w:p>
        </w:tc>
      </w:tr>
    </w:tbl>
    <w:p w:rsidR="00334CB7" w:rsidRDefault="002D376B">
      <w:pPr>
        <w:pStyle w:val="3"/>
        <w:spacing w:line="280" w:lineRule="exact"/>
        <w:jc w:val="left"/>
        <w:rPr>
          <w:rFonts w:ascii="宋体" w:hAnsi="宋体" w:cs="宋体"/>
          <w:b/>
          <w:bCs/>
        </w:rPr>
      </w:pPr>
      <w:bookmarkStart w:id="186" w:name="_Toc989075"/>
      <w:r>
        <w:rPr>
          <w:rFonts w:ascii="宋体" w:hAnsi="宋体" w:cs="宋体"/>
          <w:b/>
          <w:bCs/>
        </w:rPr>
        <w:t>10、长期股权投资</w:t>
      </w:r>
      <w:bookmarkEnd w:id="18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334CB7" w:rsidTr="0083456C">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334CB7" w:rsidTr="0083456C">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334CB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334CB7" w:rsidTr="008345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14,449,549.72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5,565,691.70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-461,821.53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13,987,728.19</w:t>
            </w:r>
          </w:p>
        </w:tc>
        <w:tc>
          <w:tcPr>
            <w:tcW w:w="74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5,565,691.70</w:t>
            </w:r>
          </w:p>
        </w:tc>
      </w:tr>
      <w:tr w:rsidR="00334CB7" w:rsidTr="008345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Source</w:t>
            </w: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Photonics Holdi</w:t>
            </w:r>
            <w:r>
              <w:rPr>
                <w:rFonts w:ascii="宋体" w:eastAsia="宋体" w:hAnsi="宋体" w:cs="宋体"/>
                <w:sz w:val="18"/>
                <w:szCs w:val="18"/>
              </w:rPr>
              <w:lastRenderedPageBreak/>
              <w:t>ngs (Cayman) Limited（注）</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974,593,566.61</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16,044,114.19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-4,113,970.97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1,961,839.53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988,485,549.36</w:t>
            </w:r>
          </w:p>
        </w:tc>
        <w:tc>
          <w:tcPr>
            <w:tcW w:w="74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8345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一村资本有限公司</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20,465,867.36</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1,307,047,363.60</w:t>
            </w:r>
          </w:p>
        </w:tc>
        <w:tc>
          <w:tcPr>
            <w:tcW w:w="74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8345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1,229,286,818.47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33,306,473.15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1,083,855.89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1,230,049,450.84</w:t>
            </w:r>
          </w:p>
        </w:tc>
        <w:tc>
          <w:tcPr>
            <w:tcW w:w="74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334CB7" w:rsidTr="0083456C">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4,993,029.85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13,428.02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676,800.00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4,329,657.87</w:t>
            </w:r>
          </w:p>
        </w:tc>
        <w:tc>
          <w:tcPr>
            <w:tcW w:w="74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rsidTr="0083456C">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37,145,443.93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1,961,839.53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62,063,036.43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3,543,899,749.86</w:t>
            </w:r>
          </w:p>
        </w:tc>
        <w:tc>
          <w:tcPr>
            <w:tcW w:w="74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r w:rsidR="00334CB7" w:rsidTr="0083456C">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37,145,443.93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1,961,839.53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62,063,036.43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3,543,899,749.86</w:t>
            </w:r>
          </w:p>
        </w:tc>
        <w:tc>
          <w:tcPr>
            <w:tcW w:w="74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bl>
    <w:p w:rsidR="0083456C" w:rsidRDefault="0083456C" w:rsidP="0083456C">
      <w:pPr>
        <w:pStyle w:val="a3"/>
        <w:spacing w:before="0" w:beforeAutospacing="0" w:after="0" w:afterAutospacing="0" w:line="400" w:lineRule="atLeast"/>
        <w:ind w:firstLine="360"/>
        <w:jc w:val="both"/>
        <w:rPr>
          <w:rFonts w:ascii="Times New Roman" w:hAnsi="Times New Roman" w:cs="Times New Roman"/>
          <w:sz w:val="21"/>
          <w:szCs w:val="21"/>
        </w:rPr>
      </w:pPr>
      <w:r>
        <w:rPr>
          <w:rFonts w:cs="Times New Roman" w:hint="eastAsia"/>
          <w:color w:val="000000"/>
          <w:sz w:val="18"/>
          <w:szCs w:val="18"/>
        </w:rPr>
        <w:t>注：考虑Source Photonics Holdings (Cayman) Limited股权架构拆分影响，以上数据为还原后VENUS PEARL SPV2 CO LIMITED的数据。</w:t>
      </w:r>
      <w:bookmarkStart w:id="187" w:name="_msoanchor_1"/>
      <w:bookmarkEnd w:id="187"/>
    </w:p>
    <w:p w:rsidR="0083456C" w:rsidRDefault="0083456C">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188" w:name="_Toc989076"/>
      <w:r>
        <w:rPr>
          <w:rFonts w:ascii="宋体" w:hAnsi="宋体" w:cs="宋体"/>
          <w:b/>
          <w:bCs/>
        </w:rPr>
        <w:t>11、其他非流动金融资产</w:t>
      </w:r>
      <w:bookmarkEnd w:id="18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C35F8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pPr>
              <w:spacing w:line="240" w:lineRule="exact"/>
              <w:rPr>
                <w:rFonts w:ascii="宋体" w:eastAsia="宋体" w:hAnsi="宋体" w:cs="宋体"/>
                <w:sz w:val="18"/>
                <w:szCs w:val="18"/>
              </w:rPr>
            </w:pPr>
            <w:r>
              <w:rPr>
                <w:rFonts w:ascii="宋体" w:eastAsia="宋体" w:hAnsi="宋体" w:cs="宋体"/>
                <w:sz w:val="18"/>
                <w:szCs w:val="18"/>
              </w:rPr>
              <w:t>分类以公允价值计量且其变动计入当期损益的金融资产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rsidP="00BD0562">
            <w:pPr>
              <w:spacing w:line="240" w:lineRule="exact"/>
              <w:jc w:val="right"/>
              <w:rPr>
                <w:rFonts w:ascii="宋体" w:eastAsia="宋体" w:hAnsi="宋体" w:cs="宋体"/>
                <w:sz w:val="18"/>
                <w:szCs w:val="18"/>
              </w:rPr>
            </w:pPr>
            <w:r>
              <w:rPr>
                <w:rFonts w:ascii="宋体" w:eastAsia="宋体" w:hAnsi="宋体" w:cs="宋体"/>
                <w:sz w:val="18"/>
                <w:szCs w:val="18"/>
              </w:rPr>
              <w:t>827,409,863.78</w:t>
            </w:r>
          </w:p>
        </w:tc>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rsidP="00BD0562">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r w:rsidR="00C35F8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pPr>
              <w:spacing w:line="240" w:lineRule="exact"/>
              <w:rPr>
                <w:rFonts w:ascii="宋体" w:eastAsia="宋体" w:hAnsi="宋体" w:cs="宋体"/>
                <w:sz w:val="18"/>
                <w:szCs w:val="18"/>
              </w:rPr>
            </w:pPr>
            <w:r>
              <w:rPr>
                <w:rFonts w:ascii="宋体" w:eastAsia="宋体" w:hAnsi="宋体" w:cs="宋体"/>
                <w:sz w:val="18"/>
                <w:szCs w:val="18"/>
              </w:rPr>
              <w:t>其中：权益工具投资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pPr>
              <w:spacing w:line="240" w:lineRule="exact"/>
              <w:jc w:val="right"/>
              <w:rPr>
                <w:rFonts w:ascii="宋体" w:eastAsia="宋体" w:hAnsi="宋体" w:cs="宋体"/>
                <w:sz w:val="18"/>
                <w:szCs w:val="18"/>
              </w:rPr>
            </w:pPr>
            <w:r>
              <w:rPr>
                <w:rFonts w:ascii="宋体" w:eastAsia="宋体" w:hAnsi="宋体" w:cs="宋体"/>
                <w:sz w:val="18"/>
                <w:szCs w:val="18"/>
              </w:rPr>
              <w:t>827,409,863.78</w:t>
            </w:r>
          </w:p>
        </w:tc>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r w:rsidR="00C35F8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C35F80" w:rsidRDefault="00C35F80">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pPr>
              <w:spacing w:line="240" w:lineRule="exact"/>
              <w:jc w:val="right"/>
              <w:rPr>
                <w:rFonts w:ascii="宋体" w:eastAsia="宋体" w:hAnsi="宋体" w:cs="宋体"/>
                <w:sz w:val="18"/>
                <w:szCs w:val="18"/>
              </w:rPr>
            </w:pPr>
            <w:r>
              <w:rPr>
                <w:rFonts w:ascii="宋体" w:eastAsia="宋体" w:hAnsi="宋体" w:cs="宋体"/>
                <w:sz w:val="18"/>
                <w:szCs w:val="18"/>
              </w:rPr>
              <w:t>827,409,863.78</w:t>
            </w:r>
          </w:p>
        </w:tc>
        <w:tc>
          <w:tcPr>
            <w:tcW w:w="3213" w:type="dxa"/>
            <w:tcBorders>
              <w:top w:val="single" w:sz="2" w:space="0" w:color="auto"/>
              <w:left w:val="single" w:sz="2" w:space="0" w:color="auto"/>
              <w:bottom w:val="single" w:sz="2" w:space="0" w:color="auto"/>
              <w:right w:val="single" w:sz="2" w:space="0" w:color="auto"/>
            </w:tcBorders>
            <w:vAlign w:val="center"/>
          </w:tcPr>
          <w:p w:rsidR="00C35F80" w:rsidRDefault="00C35F80">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C1183B" w:rsidRDefault="002D376B">
      <w:pPr>
        <w:pStyle w:val="a3"/>
        <w:divId w:val="1408113622"/>
        <w:rPr>
          <w:sz w:val="18"/>
          <w:szCs w:val="18"/>
        </w:rPr>
      </w:pPr>
      <w:r>
        <w:rPr>
          <w:rFonts w:hint="eastAsia"/>
          <w:sz w:val="18"/>
          <w:szCs w:val="18"/>
        </w:rPr>
        <w:t>  报告期内，公司与无锡国联产业投资私募基金管理有限公司、无锡</w:t>
      </w:r>
      <w:proofErr w:type="gramStart"/>
      <w:r>
        <w:rPr>
          <w:rFonts w:hint="eastAsia"/>
          <w:sz w:val="18"/>
          <w:szCs w:val="18"/>
        </w:rPr>
        <w:t>云商创业</w:t>
      </w:r>
      <w:proofErr w:type="gramEnd"/>
      <w:r>
        <w:rPr>
          <w:rFonts w:hint="eastAsia"/>
          <w:sz w:val="18"/>
          <w:szCs w:val="18"/>
        </w:rPr>
        <w:t>投资有限公司共同投资设立无锡</w:t>
      </w:r>
      <w:proofErr w:type="gramStart"/>
      <w:r>
        <w:rPr>
          <w:rFonts w:hint="eastAsia"/>
          <w:sz w:val="18"/>
          <w:szCs w:val="18"/>
        </w:rPr>
        <w:t>锡</w:t>
      </w:r>
      <w:proofErr w:type="gramEnd"/>
      <w:r>
        <w:rPr>
          <w:rFonts w:hint="eastAsia"/>
          <w:sz w:val="18"/>
          <w:szCs w:val="18"/>
        </w:rPr>
        <w:t>创联华股权投资合伙企业（有限合伙），公司实缴出资16,750万元人民币。</w:t>
      </w:r>
    </w:p>
    <w:p w:rsidR="00334CB7" w:rsidRDefault="002D376B">
      <w:pPr>
        <w:pStyle w:val="3"/>
        <w:spacing w:line="280" w:lineRule="exact"/>
        <w:jc w:val="left"/>
        <w:rPr>
          <w:rFonts w:ascii="宋体" w:hAnsi="宋体" w:cs="宋体"/>
          <w:b/>
          <w:bCs/>
        </w:rPr>
      </w:pPr>
      <w:bookmarkStart w:id="189" w:name="_Toc989077"/>
      <w:r>
        <w:rPr>
          <w:rFonts w:ascii="宋体" w:hAnsi="宋体" w:cs="宋体"/>
          <w:b/>
          <w:bCs/>
        </w:rPr>
        <w:lastRenderedPageBreak/>
        <w:t>12、固定资产</w:t>
      </w:r>
      <w:bookmarkEnd w:id="18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476,126,628.48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476,126,628.48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bl>
    <w:p w:rsidR="00334CB7" w:rsidRDefault="002D376B">
      <w:pPr>
        <w:keepNext/>
        <w:keepLines/>
        <w:spacing w:before="300" w:after="300" w:line="280" w:lineRule="exact"/>
        <w:outlineLvl w:val="3"/>
        <w:rPr>
          <w:rFonts w:ascii="宋体" w:eastAsia="宋体" w:hAnsi="宋体" w:cs="宋体"/>
          <w:b/>
          <w:bCs/>
          <w:szCs w:val="21"/>
        </w:rPr>
      </w:pPr>
      <w:bookmarkStart w:id="190" w:name="_Toc989078"/>
      <w:r>
        <w:rPr>
          <w:rFonts w:ascii="宋体" w:eastAsia="宋体" w:hAnsi="宋体" w:cs="宋体"/>
          <w:b/>
          <w:bCs/>
          <w:szCs w:val="21"/>
        </w:rPr>
        <w:t>（1） 固定资产情况</w:t>
      </w:r>
      <w:bookmarkEnd w:id="19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其它设备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375,540,802.69</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1,297,939,960.24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3,994,154.51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32,248,351.31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1,709,723,268.75</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5,418,130.60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22,553,721.28</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490,141.60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2,586,537.02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31,048,530.50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807,339.45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490,141.60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1,297,481.05</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5,418,130.60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21,746,381.83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2,586,537.02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29,751,049.45</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304,000.00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1,784,757.00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2,088,757.00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304,000.00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1,784,757.00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2,088,757.00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380,958,933.29</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1,320,189,681.52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2,699,539.11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34,834,888.33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1,738,683,042.25</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177,477,393.55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1,027,111,916.01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2,447,037.43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24,465,701.42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1,231,502,048.41</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6,520,403.90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13,089,601.97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418,352.92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1,015,885.64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21,044,244.43</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6,520,403.90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13,089,601.97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418,352.92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1,015,885.64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21,044,244.43</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273,600.00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1,641,710.60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1,915,310.60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273,600.00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1,641,710.60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1,915,310.60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183,997,797.45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1,039,927,917.98</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1,223,679.75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25,481,587.06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1,250,630,982.24</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w:t>
            </w:r>
            <w:r>
              <w:rPr>
                <w:rFonts w:ascii="宋体" w:eastAsia="宋体" w:hAnsi="宋体" w:cs="宋体"/>
                <w:sz w:val="18"/>
                <w:szCs w:val="18"/>
              </w:rPr>
              <w:lastRenderedPageBreak/>
              <w:t>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（1）计提</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196,961,135.84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268,336,332.01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1,475,859.36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9,353,301.27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476,126,628.48</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198,063,409.14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258,902,612.70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1,547,117.08</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7,782,649.89</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bl>
    <w:p w:rsidR="00334CB7" w:rsidRDefault="002D376B">
      <w:pPr>
        <w:keepNext/>
        <w:keepLines/>
        <w:spacing w:before="300" w:after="300" w:line="280" w:lineRule="exact"/>
        <w:outlineLvl w:val="3"/>
        <w:rPr>
          <w:rFonts w:ascii="宋体" w:eastAsia="宋体" w:hAnsi="宋体" w:cs="宋体"/>
          <w:b/>
          <w:bCs/>
          <w:szCs w:val="21"/>
        </w:rPr>
      </w:pPr>
      <w:bookmarkStart w:id="191" w:name="_Toc989079"/>
      <w:r>
        <w:rPr>
          <w:rFonts w:ascii="宋体" w:eastAsia="宋体" w:hAnsi="宋体" w:cs="宋体"/>
          <w:b/>
          <w:bCs/>
          <w:szCs w:val="21"/>
        </w:rPr>
        <w:t>（2） 固定资产的减值测试情况</w:t>
      </w:r>
      <w:bookmarkEnd w:id="191"/>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192" w:name="_Toc989080"/>
      <w:r>
        <w:rPr>
          <w:rFonts w:ascii="宋体" w:hAnsi="宋体" w:cs="宋体"/>
          <w:b/>
          <w:bCs/>
        </w:rPr>
        <w:t>13、在建工程</w:t>
      </w:r>
      <w:bookmarkEnd w:id="192"/>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60,487,054.62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23,731,322.46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60,487,054.62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23,731,322.46</w:t>
            </w:r>
          </w:p>
        </w:tc>
      </w:tr>
    </w:tbl>
    <w:p w:rsidR="00334CB7" w:rsidRDefault="002D376B">
      <w:pPr>
        <w:keepNext/>
        <w:keepLines/>
        <w:spacing w:before="300" w:after="300" w:line="280" w:lineRule="exact"/>
        <w:outlineLvl w:val="3"/>
        <w:rPr>
          <w:rFonts w:ascii="宋体" w:eastAsia="宋体" w:hAnsi="宋体" w:cs="宋体"/>
          <w:b/>
          <w:bCs/>
          <w:szCs w:val="21"/>
        </w:rPr>
      </w:pPr>
      <w:bookmarkStart w:id="193" w:name="_Toc989081"/>
      <w:r>
        <w:rPr>
          <w:rFonts w:ascii="宋体" w:eastAsia="宋体" w:hAnsi="宋体" w:cs="宋体"/>
          <w:b/>
          <w:bCs/>
          <w:szCs w:val="21"/>
        </w:rPr>
        <w:t>（1） 在建工程情况</w:t>
      </w:r>
      <w:bookmarkEnd w:id="19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储能系统</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16,742,843.08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16,742,843.08</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污水站项目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313,230.09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313,230.09</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尾气回收项目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1,080,977.47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1,080,977.47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4,490,934.11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4,490,934.11</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桁架抬高项目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157,954.58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157,954.58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808,158.22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808,158.22</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应急池</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1,270,735.85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1,270,735.85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411,000.00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411,000.00</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消防声光报警系统改造项目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366,220.61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366,220.61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热水改造项目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805,864.93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805,864.93</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聚一机械密封设备</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159,292.03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159,292.03</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导热油炉改造项目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15,688,927.68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15,688,927.68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新建纺丝车间项目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41,922,238.43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41,922,238.43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60,487,054.62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60,487,054.62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23,731,322.46</w:t>
            </w:r>
          </w:p>
        </w:tc>
      </w:tr>
    </w:tbl>
    <w:p w:rsidR="00334CB7" w:rsidRDefault="002D376B">
      <w:pPr>
        <w:keepNext/>
        <w:keepLines/>
        <w:spacing w:before="300" w:after="300" w:line="280" w:lineRule="exact"/>
        <w:outlineLvl w:val="3"/>
        <w:rPr>
          <w:rFonts w:ascii="宋体" w:eastAsia="宋体" w:hAnsi="宋体" w:cs="宋体"/>
          <w:b/>
          <w:bCs/>
          <w:szCs w:val="21"/>
        </w:rPr>
      </w:pPr>
      <w:bookmarkStart w:id="194" w:name="_Toc989082"/>
      <w:r>
        <w:rPr>
          <w:rFonts w:ascii="宋体" w:eastAsia="宋体" w:hAnsi="宋体" w:cs="宋体"/>
          <w:b/>
          <w:bCs/>
          <w:szCs w:val="21"/>
        </w:rPr>
        <w:lastRenderedPageBreak/>
        <w:t>（2） 重要在建工程项目本期变动情况</w:t>
      </w:r>
      <w:bookmarkEnd w:id="19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334CB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储能系统</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16,742,843.08</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16,742,843.08</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83.71%</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85%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尾气回收项目</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10,500,000.00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4,490,934.11</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3,409,956.64</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1,080,977.47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45%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proofErr w:type="gramStart"/>
            <w:r>
              <w:rPr>
                <w:rFonts w:ascii="宋体" w:eastAsia="宋体" w:hAnsi="宋体" w:cs="宋体"/>
                <w:sz w:val="18"/>
                <w:szCs w:val="18"/>
              </w:rPr>
              <w:t>聚三仓库</w:t>
            </w:r>
            <w:proofErr w:type="gramEnd"/>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5,420,000.00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5,418,130.60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5,418,130.60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导热油炉改造项目</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23,000,000.00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15,688,927.68</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15,688,927.68</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68.21%</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70%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新建纺丝车间项目</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98,800,000.00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41,922,238.43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41,922,238.43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157,720,000.00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21,233,777.19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63,029,296.71</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25,570,930.32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58,692,143.58</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bl>
    <w:p w:rsidR="00334CB7" w:rsidRDefault="002D376B">
      <w:pPr>
        <w:keepNext/>
        <w:keepLines/>
        <w:spacing w:before="300" w:after="300" w:line="280" w:lineRule="exact"/>
        <w:outlineLvl w:val="3"/>
        <w:rPr>
          <w:rFonts w:ascii="宋体" w:eastAsia="宋体" w:hAnsi="宋体" w:cs="宋体"/>
          <w:b/>
          <w:bCs/>
          <w:szCs w:val="21"/>
        </w:rPr>
      </w:pPr>
      <w:bookmarkStart w:id="195" w:name="_Toc989083"/>
      <w:r>
        <w:rPr>
          <w:rFonts w:ascii="宋体" w:eastAsia="宋体" w:hAnsi="宋体" w:cs="宋体"/>
          <w:b/>
          <w:bCs/>
          <w:szCs w:val="21"/>
        </w:rPr>
        <w:t>（3） 在建工程的减值测试情况</w:t>
      </w:r>
      <w:bookmarkEnd w:id="195"/>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196" w:name="_Toc989084"/>
      <w:r>
        <w:rPr>
          <w:rFonts w:ascii="宋体" w:hAnsi="宋体" w:cs="宋体"/>
          <w:b/>
          <w:bCs/>
        </w:rPr>
        <w:t>14、无形资产</w:t>
      </w:r>
      <w:bookmarkEnd w:id="196"/>
    </w:p>
    <w:p w:rsidR="00334CB7" w:rsidRDefault="002D376B">
      <w:pPr>
        <w:keepNext/>
        <w:keepLines/>
        <w:spacing w:before="300" w:after="300" w:line="280" w:lineRule="exact"/>
        <w:outlineLvl w:val="3"/>
        <w:rPr>
          <w:rFonts w:ascii="宋体" w:eastAsia="宋体" w:hAnsi="宋体" w:cs="宋体"/>
          <w:b/>
          <w:bCs/>
          <w:szCs w:val="21"/>
        </w:rPr>
      </w:pPr>
      <w:bookmarkStart w:id="197" w:name="_Toc989085"/>
      <w:r>
        <w:rPr>
          <w:rFonts w:ascii="宋体" w:eastAsia="宋体" w:hAnsi="宋体" w:cs="宋体"/>
          <w:b/>
          <w:bCs/>
          <w:szCs w:val="21"/>
        </w:rPr>
        <w:t>（1） 无形资产情况</w:t>
      </w:r>
      <w:bookmarkEnd w:id="19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软件</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10,019,329.71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900,135.57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10,919,465.28</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312,012.83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77,784.00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10,331,342.54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977,919.57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11,309,262.11</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19,135,085.78</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572,153.00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19,707,238.78</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19,447,098.61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649,937.00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20,097,035.61</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本期末通过公司内部研发形成的无形资产占无形资产余额的比例0.00%</w:t>
      </w:r>
    </w:p>
    <w:p w:rsidR="00334CB7" w:rsidRDefault="002D376B">
      <w:pPr>
        <w:keepNext/>
        <w:keepLines/>
        <w:spacing w:before="300" w:after="300" w:line="280" w:lineRule="exact"/>
        <w:outlineLvl w:val="3"/>
        <w:rPr>
          <w:rFonts w:ascii="宋体" w:eastAsia="宋体" w:hAnsi="宋体" w:cs="宋体"/>
          <w:b/>
          <w:bCs/>
          <w:szCs w:val="21"/>
        </w:rPr>
      </w:pPr>
      <w:bookmarkStart w:id="198" w:name="_Toc989086"/>
      <w:r>
        <w:rPr>
          <w:rFonts w:ascii="宋体" w:eastAsia="宋体" w:hAnsi="宋体" w:cs="宋体"/>
          <w:b/>
          <w:bCs/>
          <w:szCs w:val="21"/>
        </w:rPr>
        <w:t>（2） 无形资产的减值测试情况</w:t>
      </w:r>
      <w:bookmarkEnd w:id="198"/>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199" w:name="_Toc989087"/>
      <w:r>
        <w:rPr>
          <w:rFonts w:ascii="宋体" w:hAnsi="宋体" w:cs="宋体"/>
          <w:b/>
          <w:bCs/>
        </w:rPr>
        <w:t>15、商誉</w:t>
      </w:r>
      <w:bookmarkEnd w:id="199"/>
    </w:p>
    <w:p w:rsidR="00334CB7" w:rsidRDefault="002D376B">
      <w:pPr>
        <w:keepNext/>
        <w:keepLines/>
        <w:spacing w:before="300" w:after="300" w:line="280" w:lineRule="exact"/>
        <w:outlineLvl w:val="3"/>
        <w:rPr>
          <w:rFonts w:ascii="宋体" w:eastAsia="宋体" w:hAnsi="宋体" w:cs="宋体"/>
          <w:b/>
          <w:bCs/>
          <w:szCs w:val="21"/>
        </w:rPr>
      </w:pPr>
      <w:bookmarkStart w:id="200" w:name="_Toc989088"/>
      <w:r>
        <w:rPr>
          <w:rFonts w:ascii="宋体" w:eastAsia="宋体" w:hAnsi="宋体" w:cs="宋体"/>
          <w:b/>
          <w:bCs/>
          <w:szCs w:val="21"/>
        </w:rPr>
        <w:t>（1） 商誉账面原值</w:t>
      </w:r>
      <w:bookmarkEnd w:id="20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2,064,864.17</w:t>
            </w:r>
          </w:p>
        </w:tc>
      </w:tr>
    </w:tbl>
    <w:p w:rsidR="00334CB7" w:rsidRDefault="002D376B">
      <w:pPr>
        <w:keepNext/>
        <w:keepLines/>
        <w:spacing w:before="300" w:after="300" w:line="280" w:lineRule="exact"/>
        <w:outlineLvl w:val="3"/>
        <w:rPr>
          <w:rFonts w:ascii="宋体" w:eastAsia="宋体" w:hAnsi="宋体" w:cs="宋体"/>
          <w:b/>
          <w:bCs/>
          <w:szCs w:val="21"/>
        </w:rPr>
      </w:pPr>
      <w:bookmarkStart w:id="201" w:name="_Toc989089"/>
      <w:r>
        <w:rPr>
          <w:rFonts w:ascii="宋体" w:eastAsia="宋体" w:hAnsi="宋体" w:cs="宋体"/>
          <w:b/>
          <w:bCs/>
          <w:szCs w:val="21"/>
        </w:rPr>
        <w:t>（2） 其他说明</w:t>
      </w:r>
      <w:bookmarkEnd w:id="201"/>
    </w:p>
    <w:p w:rsidR="00C1183B" w:rsidRDefault="002D376B">
      <w:pPr>
        <w:pStyle w:val="a3"/>
        <w:spacing w:before="0" w:beforeAutospacing="0" w:after="0" w:afterAutospacing="0" w:line="400" w:lineRule="atLeast"/>
        <w:ind w:firstLine="360"/>
        <w:jc w:val="both"/>
        <w:divId w:val="1877935458"/>
        <w:rPr>
          <w:rFonts w:ascii="Times New Roman" w:eastAsia="仿宋" w:hAnsi="Times New Roman" w:cs="Times New Roman"/>
          <w:sz w:val="21"/>
          <w:szCs w:val="21"/>
        </w:rPr>
      </w:pPr>
      <w:r>
        <w:rPr>
          <w:rFonts w:cs="Times New Roman" w:hint="eastAsia"/>
          <w:sz w:val="18"/>
          <w:szCs w:val="18"/>
        </w:rPr>
        <w:t>1）系非同</w:t>
      </w:r>
      <w:proofErr w:type="gramStart"/>
      <w:r>
        <w:rPr>
          <w:rFonts w:cs="Times New Roman" w:hint="eastAsia"/>
          <w:sz w:val="18"/>
          <w:szCs w:val="18"/>
        </w:rPr>
        <w:t>一控制</w:t>
      </w:r>
      <w:proofErr w:type="gramEnd"/>
      <w:r>
        <w:rPr>
          <w:rFonts w:cs="Times New Roman" w:hint="eastAsia"/>
          <w:sz w:val="18"/>
          <w:szCs w:val="18"/>
        </w:rPr>
        <w:t>下企业合并形成的长期股权投资差额，商誉减值准备系以其账面价值与预计可收回金额之前的差异计算确定，因公司在可预见的将来并无出售此投资的计划，故按未来现金流量现值来确定有关资产组的预计可收回金额。经测试，截至2024年6月30日，此项商誉不存在减值情况。</w:t>
      </w:r>
    </w:p>
    <w:p w:rsidR="00C1183B" w:rsidRDefault="002D376B">
      <w:pPr>
        <w:pStyle w:val="a3"/>
        <w:spacing w:before="0" w:beforeAutospacing="0" w:after="0" w:afterAutospacing="0" w:line="400" w:lineRule="atLeast"/>
        <w:ind w:firstLine="360"/>
        <w:jc w:val="both"/>
        <w:divId w:val="1877935458"/>
        <w:rPr>
          <w:rFonts w:ascii="Times New Roman" w:eastAsia="仿宋" w:hAnsi="Times New Roman" w:cs="Times New Roman"/>
          <w:sz w:val="21"/>
          <w:szCs w:val="21"/>
        </w:rPr>
      </w:pPr>
      <w:r>
        <w:rPr>
          <w:rFonts w:cs="Times New Roman" w:hint="eastAsia"/>
          <w:sz w:val="18"/>
          <w:szCs w:val="18"/>
        </w:rPr>
        <w:t>2）商誉所属资产组或资产组组合的相关信息</w:t>
      </w:r>
    </w:p>
    <w:p w:rsidR="00C1183B" w:rsidRDefault="002D376B">
      <w:pPr>
        <w:pStyle w:val="a3"/>
        <w:spacing w:before="0" w:beforeAutospacing="0" w:after="0" w:afterAutospacing="0" w:line="400" w:lineRule="atLeast"/>
        <w:ind w:firstLine="360"/>
        <w:jc w:val="both"/>
        <w:divId w:val="1877935458"/>
        <w:rPr>
          <w:rFonts w:ascii="Times New Roman" w:eastAsia="仿宋" w:hAnsi="Times New Roman" w:cs="Times New Roman"/>
          <w:sz w:val="21"/>
          <w:szCs w:val="21"/>
        </w:rPr>
      </w:pPr>
      <w:r>
        <w:rPr>
          <w:rFonts w:cs="Times New Roman" w:hint="eastAsia"/>
          <w:sz w:val="18"/>
          <w:szCs w:val="18"/>
        </w:rPr>
        <w:t>商誉所属资产组为江阴华西化工码头有限公司固定资产、无形资产等经营性长期资产，与以前年度保持一致。</w:t>
      </w:r>
    </w:p>
    <w:p w:rsidR="00C1183B" w:rsidRDefault="002D376B">
      <w:pPr>
        <w:pStyle w:val="a3"/>
        <w:spacing w:before="0" w:beforeAutospacing="0" w:after="0" w:afterAutospacing="0" w:line="400" w:lineRule="atLeast"/>
        <w:ind w:firstLine="360"/>
        <w:jc w:val="both"/>
        <w:divId w:val="1877935458"/>
        <w:rPr>
          <w:rFonts w:ascii="Times New Roman" w:eastAsia="仿宋" w:hAnsi="Times New Roman" w:cs="Times New Roman"/>
          <w:sz w:val="21"/>
          <w:szCs w:val="21"/>
        </w:rPr>
      </w:pPr>
      <w:r>
        <w:rPr>
          <w:rFonts w:cs="Times New Roman" w:hint="eastAsia"/>
          <w:sz w:val="18"/>
          <w:szCs w:val="18"/>
        </w:rPr>
        <w:t>3）可收回金额的具体确定方法</w:t>
      </w:r>
    </w:p>
    <w:p w:rsidR="00C1183B" w:rsidRDefault="002D376B">
      <w:pPr>
        <w:pStyle w:val="a3"/>
        <w:spacing w:before="0" w:beforeAutospacing="0" w:after="0" w:afterAutospacing="0" w:line="400" w:lineRule="atLeast"/>
        <w:ind w:firstLine="360"/>
        <w:jc w:val="both"/>
        <w:divId w:val="1877935458"/>
        <w:rPr>
          <w:rFonts w:ascii="Times New Roman" w:eastAsia="仿宋" w:hAnsi="Times New Roman" w:cs="Times New Roman"/>
          <w:sz w:val="21"/>
          <w:szCs w:val="21"/>
        </w:rPr>
      </w:pPr>
      <w:r>
        <w:rPr>
          <w:rFonts w:cs="Times New Roman" w:hint="eastAsia"/>
          <w:sz w:val="18"/>
          <w:szCs w:val="18"/>
        </w:rPr>
        <w:t>可收回金额按预计未来现金流量的现值确定，预测期的年限为5年，预测期内的收入增长率为2%，稳定期增长率2%，折现率为10%。</w:t>
      </w:r>
    </w:p>
    <w:p w:rsidR="00334CB7" w:rsidRDefault="002D376B">
      <w:pPr>
        <w:pStyle w:val="3"/>
        <w:spacing w:line="280" w:lineRule="exact"/>
        <w:jc w:val="left"/>
        <w:rPr>
          <w:rFonts w:ascii="宋体" w:hAnsi="宋体" w:cs="宋体"/>
          <w:b/>
          <w:bCs/>
        </w:rPr>
      </w:pPr>
      <w:bookmarkStart w:id="202" w:name="_Toc989090"/>
      <w:r>
        <w:rPr>
          <w:rFonts w:ascii="宋体" w:hAnsi="宋体" w:cs="宋体"/>
          <w:b/>
          <w:bCs/>
        </w:rPr>
        <w:t>16、递延所得税资产/递延所得税负债</w:t>
      </w:r>
      <w:bookmarkEnd w:id="202"/>
    </w:p>
    <w:p w:rsidR="00334CB7" w:rsidRDefault="002D376B">
      <w:pPr>
        <w:keepNext/>
        <w:keepLines/>
        <w:spacing w:before="300" w:after="300" w:line="280" w:lineRule="exact"/>
        <w:outlineLvl w:val="3"/>
        <w:rPr>
          <w:rFonts w:ascii="宋体" w:eastAsia="宋体" w:hAnsi="宋体" w:cs="宋体"/>
          <w:b/>
          <w:bCs/>
          <w:szCs w:val="21"/>
        </w:rPr>
      </w:pPr>
      <w:bookmarkStart w:id="203" w:name="_Toc989091"/>
      <w:r>
        <w:rPr>
          <w:rFonts w:ascii="宋体" w:eastAsia="宋体" w:hAnsi="宋体" w:cs="宋体"/>
          <w:b/>
          <w:bCs/>
          <w:szCs w:val="21"/>
        </w:rPr>
        <w:t>（1） 未经抵销的递延所得税资产</w:t>
      </w:r>
      <w:bookmarkEnd w:id="20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3,641,753.56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910,438.39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5,299,258.12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1,324,814.53</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233,264.87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58,316.22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53,256,350.22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13,081,241.99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49,876,039.67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12,301,073.60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长期股权投资减值准备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9,718,041.22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9,718,041.22</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1,605,901.75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401,475.44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45,731.16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11,432.79</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83,361,809.28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20,840,452.32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83,361,809.28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20,840,452.32</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3,986,500.00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597,975.00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633,150.00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184,977,744.53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45,610,940.58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181,696,003.08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44,831,964.46</w:t>
            </w:r>
          </w:p>
        </w:tc>
      </w:tr>
    </w:tbl>
    <w:p w:rsidR="00334CB7" w:rsidRDefault="002D376B">
      <w:pPr>
        <w:keepNext/>
        <w:keepLines/>
        <w:spacing w:before="300" w:after="300" w:line="280" w:lineRule="exact"/>
        <w:outlineLvl w:val="3"/>
        <w:rPr>
          <w:rFonts w:ascii="宋体" w:eastAsia="宋体" w:hAnsi="宋体" w:cs="宋体"/>
          <w:b/>
          <w:bCs/>
          <w:szCs w:val="21"/>
        </w:rPr>
      </w:pPr>
      <w:bookmarkStart w:id="204" w:name="_Toc989092"/>
      <w:r>
        <w:rPr>
          <w:rFonts w:ascii="宋体" w:eastAsia="宋体" w:hAnsi="宋体" w:cs="宋体"/>
          <w:b/>
          <w:bCs/>
          <w:szCs w:val="21"/>
        </w:rPr>
        <w:t>（2） 未经抵销的递延所得税负债</w:t>
      </w:r>
      <w:bookmarkEnd w:id="20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交易性金融资产公允</w:t>
            </w:r>
            <w:r>
              <w:rPr>
                <w:rFonts w:ascii="宋体" w:eastAsia="宋体" w:hAnsi="宋体" w:cs="宋体"/>
                <w:sz w:val="18"/>
                <w:szCs w:val="18"/>
              </w:rPr>
              <w:lastRenderedPageBreak/>
              <w:t>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172,786,542.05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43,196,635.52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209,014,146.52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52,253,536.62</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2,647,603.56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661,900.89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2,647,603.56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661,900.89</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175,434,145.61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43,858,536.41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211,661,750.08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52,915,437.51</w:t>
            </w:r>
          </w:p>
        </w:tc>
      </w:tr>
    </w:tbl>
    <w:p w:rsidR="00334CB7" w:rsidRDefault="002D376B">
      <w:pPr>
        <w:keepNext/>
        <w:keepLines/>
        <w:spacing w:before="300" w:after="300" w:line="280" w:lineRule="exact"/>
        <w:outlineLvl w:val="3"/>
        <w:rPr>
          <w:rFonts w:ascii="宋体" w:eastAsia="宋体" w:hAnsi="宋体" w:cs="宋体"/>
          <w:b/>
          <w:bCs/>
          <w:szCs w:val="21"/>
        </w:rPr>
      </w:pPr>
      <w:bookmarkStart w:id="205" w:name="_Toc989093"/>
      <w:r>
        <w:rPr>
          <w:rFonts w:ascii="宋体" w:eastAsia="宋体" w:hAnsi="宋体" w:cs="宋体"/>
          <w:b/>
          <w:bCs/>
          <w:szCs w:val="21"/>
        </w:rPr>
        <w:t>（3） 以抵销后净额列示的递延所得税资产或负债</w:t>
      </w:r>
      <w:bookmarkEnd w:id="20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21,890,553.74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23,720,386.84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21,700,601.94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23,131,362.52</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21,890,553.74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21,967,982.67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21,700,601.94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31,214,835.57</w:t>
            </w:r>
          </w:p>
        </w:tc>
      </w:tr>
    </w:tbl>
    <w:p w:rsidR="00334CB7" w:rsidRDefault="002D376B">
      <w:pPr>
        <w:keepNext/>
        <w:keepLines/>
        <w:spacing w:before="300" w:after="300" w:line="280" w:lineRule="exact"/>
        <w:outlineLvl w:val="3"/>
        <w:rPr>
          <w:rFonts w:ascii="宋体" w:eastAsia="宋体" w:hAnsi="宋体" w:cs="宋体"/>
          <w:b/>
          <w:bCs/>
          <w:szCs w:val="21"/>
        </w:rPr>
      </w:pPr>
      <w:bookmarkStart w:id="206" w:name="_Toc989094"/>
      <w:r>
        <w:rPr>
          <w:rFonts w:ascii="宋体" w:eastAsia="宋体" w:hAnsi="宋体" w:cs="宋体"/>
          <w:b/>
          <w:bCs/>
          <w:szCs w:val="21"/>
        </w:rPr>
        <w:t>（4） 未确认递延所得税资产明细</w:t>
      </w:r>
      <w:bookmarkEnd w:id="20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12,374,645.78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12,061,277.83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12,374,645.78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12,061,277.83</w:t>
            </w:r>
          </w:p>
        </w:tc>
      </w:tr>
    </w:tbl>
    <w:p w:rsidR="00334CB7" w:rsidRDefault="002D376B">
      <w:pPr>
        <w:pStyle w:val="3"/>
        <w:spacing w:line="280" w:lineRule="exact"/>
        <w:jc w:val="left"/>
        <w:rPr>
          <w:rFonts w:ascii="宋体" w:hAnsi="宋体" w:cs="宋体"/>
          <w:b/>
          <w:bCs/>
        </w:rPr>
      </w:pPr>
      <w:bookmarkStart w:id="207" w:name="_Toc989095"/>
      <w:r>
        <w:rPr>
          <w:rFonts w:ascii="宋体" w:hAnsi="宋体" w:cs="宋体"/>
          <w:b/>
          <w:bCs/>
        </w:rPr>
        <w:t>17、其他非流动资产</w:t>
      </w:r>
      <w:bookmarkEnd w:id="20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预付长期资产构建款项</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2,541,399.10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2,541,399.10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7,880,500.00</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2,541,399.10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2,541,399.10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7,880,500.00</w:t>
            </w:r>
          </w:p>
        </w:tc>
      </w:tr>
    </w:tbl>
    <w:p w:rsidR="00334CB7" w:rsidRDefault="002D376B">
      <w:pPr>
        <w:pStyle w:val="3"/>
        <w:spacing w:line="280" w:lineRule="exact"/>
        <w:jc w:val="left"/>
        <w:rPr>
          <w:rFonts w:ascii="宋体" w:hAnsi="宋体" w:cs="宋体"/>
          <w:b/>
          <w:bCs/>
        </w:rPr>
      </w:pPr>
      <w:bookmarkStart w:id="208" w:name="_Toc989096"/>
      <w:r>
        <w:rPr>
          <w:rFonts w:ascii="宋体" w:hAnsi="宋体" w:cs="宋体"/>
          <w:b/>
          <w:bCs/>
        </w:rPr>
        <w:t>18、所有权或使用权受到限制的资产</w:t>
      </w:r>
      <w:bookmarkEnd w:id="20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334CB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r>
      <w:tr w:rsidR="00334CB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154,070,670.02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154,070,670.02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借款保证金、信用证保证金、质押的定期存款及利息</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155,706,147.90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155,706,147.90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rsidP="00CA05B2">
            <w:pPr>
              <w:spacing w:line="240" w:lineRule="exact"/>
              <w:rPr>
                <w:rFonts w:ascii="宋体" w:eastAsia="宋体" w:hAnsi="宋体" w:cs="宋体"/>
                <w:sz w:val="18"/>
                <w:szCs w:val="18"/>
              </w:rPr>
            </w:pPr>
            <w:r>
              <w:rPr>
                <w:rFonts w:ascii="宋体" w:eastAsia="宋体" w:hAnsi="宋体" w:cs="宋体"/>
                <w:sz w:val="18"/>
                <w:szCs w:val="18"/>
              </w:rPr>
              <w:t>借款保证金、信用证保证金、质押的定期存款及利息</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19,141,817.45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19,141,817.45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18,963,782.63</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18,963,782.63</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票据质押</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130,959,443.87</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130,959,443.87</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131,258,950.69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131,258,950.69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票据质押</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w:t>
            </w:r>
            <w:r>
              <w:rPr>
                <w:rFonts w:ascii="宋体" w:eastAsia="宋体" w:hAnsi="宋体" w:cs="宋体"/>
                <w:sz w:val="18"/>
                <w:szCs w:val="18"/>
              </w:rPr>
              <w:lastRenderedPageBreak/>
              <w:t>有限公司75%股权</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473,288,763.46</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473,288,763.46</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中国工商银行借款</w:t>
            </w:r>
            <w:r>
              <w:rPr>
                <w:rFonts w:ascii="宋体" w:eastAsia="宋体" w:hAnsi="宋体" w:cs="宋体"/>
                <w:sz w:val="18"/>
                <w:szCs w:val="18"/>
              </w:rPr>
              <w:lastRenderedPageBreak/>
              <w:t>4,000.00万元由江苏华西集团有限公司提供担保及公司持有的江阴华西化工码头有限公司75%股权质押</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436,567,504.89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436,567,504.89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中国工商银行借款</w:t>
            </w:r>
            <w:r>
              <w:rPr>
                <w:rFonts w:ascii="宋体" w:eastAsia="宋体" w:hAnsi="宋体" w:cs="宋体"/>
                <w:sz w:val="18"/>
                <w:szCs w:val="18"/>
              </w:rPr>
              <w:lastRenderedPageBreak/>
              <w:t>2,000.00万元由江苏华西集团有限公司提供担保及公司持有的江阴华西化工码头有限公司75%股权质押</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777,460,694.80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777,460,694.80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742,496,386.11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742,496,386.11</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bl>
    <w:p w:rsidR="00334CB7" w:rsidRDefault="002D376B">
      <w:pPr>
        <w:pStyle w:val="3"/>
        <w:spacing w:line="280" w:lineRule="exact"/>
        <w:jc w:val="left"/>
        <w:rPr>
          <w:rFonts w:ascii="宋体" w:hAnsi="宋体" w:cs="宋体"/>
          <w:b/>
          <w:bCs/>
        </w:rPr>
      </w:pPr>
      <w:bookmarkStart w:id="209" w:name="_Toc989097"/>
      <w:r>
        <w:rPr>
          <w:rFonts w:ascii="宋体" w:hAnsi="宋体" w:cs="宋体"/>
          <w:b/>
          <w:bCs/>
        </w:rPr>
        <w:t>19、短期借款</w:t>
      </w:r>
      <w:bookmarkEnd w:id="209"/>
    </w:p>
    <w:p w:rsidR="00334CB7" w:rsidRDefault="002D376B">
      <w:pPr>
        <w:keepNext/>
        <w:keepLines/>
        <w:spacing w:before="300" w:after="300" w:line="280" w:lineRule="exact"/>
        <w:outlineLvl w:val="3"/>
        <w:rPr>
          <w:rFonts w:ascii="宋体" w:eastAsia="宋体" w:hAnsi="宋体" w:cs="宋体"/>
          <w:b/>
          <w:bCs/>
          <w:szCs w:val="21"/>
        </w:rPr>
      </w:pPr>
      <w:bookmarkStart w:id="210" w:name="_Toc989098"/>
      <w:r>
        <w:rPr>
          <w:rFonts w:ascii="宋体" w:eastAsia="宋体" w:hAnsi="宋体" w:cs="宋体"/>
          <w:b/>
          <w:bCs/>
          <w:szCs w:val="21"/>
        </w:rPr>
        <w:t>（1） 短期借款分类</w:t>
      </w:r>
      <w:bookmarkEnd w:id="21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444,918,629.44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423,971,038.22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645,330,066.67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669,629,209.30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460,652.78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575,663.63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1,090,709,348.89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1,094,175,911.15</w:t>
            </w:r>
          </w:p>
        </w:tc>
      </w:tr>
    </w:tbl>
    <w:p w:rsidR="00334CB7" w:rsidRDefault="002D376B">
      <w:pPr>
        <w:keepNext/>
        <w:keepLines/>
        <w:spacing w:before="300" w:after="300" w:line="280" w:lineRule="exact"/>
        <w:outlineLvl w:val="3"/>
        <w:rPr>
          <w:rFonts w:ascii="宋体" w:eastAsia="宋体" w:hAnsi="宋体" w:cs="宋体"/>
          <w:b/>
          <w:bCs/>
          <w:szCs w:val="21"/>
        </w:rPr>
      </w:pPr>
      <w:bookmarkStart w:id="211" w:name="_Toc989099"/>
      <w:r>
        <w:rPr>
          <w:rFonts w:ascii="宋体" w:eastAsia="宋体" w:hAnsi="宋体" w:cs="宋体"/>
          <w:b/>
          <w:bCs/>
          <w:szCs w:val="21"/>
        </w:rPr>
        <w:t>（2） 已逾期</w:t>
      </w:r>
      <w:proofErr w:type="gramStart"/>
      <w:r>
        <w:rPr>
          <w:rFonts w:ascii="宋体" w:eastAsia="宋体" w:hAnsi="宋体" w:cs="宋体"/>
          <w:b/>
          <w:bCs/>
          <w:szCs w:val="21"/>
        </w:rPr>
        <w:t>未偿</w:t>
      </w:r>
      <w:proofErr w:type="gramEnd"/>
      <w:r>
        <w:rPr>
          <w:rFonts w:ascii="宋体" w:eastAsia="宋体" w:hAnsi="宋体" w:cs="宋体"/>
          <w:b/>
          <w:bCs/>
          <w:szCs w:val="21"/>
        </w:rPr>
        <w:t>还的短期借款情况</w:t>
      </w:r>
      <w:bookmarkEnd w:id="211"/>
    </w:p>
    <w:p w:rsidR="00C1183B" w:rsidRDefault="002D376B">
      <w:pPr>
        <w:pStyle w:val="a3"/>
        <w:divId w:val="1742412434"/>
        <w:rPr>
          <w:sz w:val="18"/>
          <w:szCs w:val="18"/>
        </w:rPr>
      </w:pPr>
      <w:r>
        <w:rPr>
          <w:rFonts w:hint="eastAsia"/>
          <w:sz w:val="18"/>
          <w:szCs w:val="18"/>
        </w:rPr>
        <w:t>截至报告期末，公司无已逾期</w:t>
      </w:r>
      <w:proofErr w:type="gramStart"/>
      <w:r>
        <w:rPr>
          <w:rFonts w:hint="eastAsia"/>
          <w:sz w:val="18"/>
          <w:szCs w:val="18"/>
        </w:rPr>
        <w:t>未偿</w:t>
      </w:r>
      <w:proofErr w:type="gramEnd"/>
      <w:r>
        <w:rPr>
          <w:rFonts w:hint="eastAsia"/>
          <w:sz w:val="18"/>
          <w:szCs w:val="18"/>
        </w:rPr>
        <w:t>还短期借款。</w:t>
      </w:r>
    </w:p>
    <w:p w:rsidR="00334CB7" w:rsidRDefault="002D376B">
      <w:pPr>
        <w:pStyle w:val="3"/>
        <w:spacing w:line="280" w:lineRule="exact"/>
        <w:jc w:val="left"/>
        <w:rPr>
          <w:rFonts w:ascii="宋体" w:hAnsi="宋体" w:cs="宋体"/>
          <w:b/>
          <w:bCs/>
        </w:rPr>
      </w:pPr>
      <w:bookmarkStart w:id="212" w:name="_Toc989100"/>
      <w:r>
        <w:rPr>
          <w:rFonts w:ascii="宋体" w:hAnsi="宋体" w:cs="宋体"/>
          <w:b/>
          <w:bCs/>
        </w:rPr>
        <w:t>20、应付账款</w:t>
      </w:r>
      <w:bookmarkEnd w:id="212"/>
    </w:p>
    <w:p w:rsidR="00334CB7" w:rsidRDefault="002D376B">
      <w:pPr>
        <w:keepNext/>
        <w:keepLines/>
        <w:spacing w:before="300" w:after="300" w:line="280" w:lineRule="exact"/>
        <w:outlineLvl w:val="3"/>
        <w:rPr>
          <w:rFonts w:ascii="宋体" w:eastAsia="宋体" w:hAnsi="宋体" w:cs="宋体"/>
          <w:b/>
          <w:bCs/>
          <w:sz w:val="18"/>
          <w:szCs w:val="18"/>
        </w:rPr>
      </w:pPr>
      <w:bookmarkStart w:id="213" w:name="_Toc989101"/>
      <w:r>
        <w:rPr>
          <w:rFonts w:ascii="宋体" w:eastAsia="宋体" w:hAnsi="宋体" w:cs="宋体"/>
          <w:b/>
          <w:bCs/>
          <w:sz w:val="18"/>
          <w:szCs w:val="18"/>
        </w:rPr>
        <w:t>（1） 应付账款列示</w:t>
      </w:r>
      <w:bookmarkEnd w:id="21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应付商品劳务款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66,638,237.53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64,019,142.17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应付工程设备款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16,532,584.46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13,377,044.31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83,170,821.99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77,396,186.48</w:t>
            </w:r>
          </w:p>
        </w:tc>
      </w:tr>
    </w:tbl>
    <w:p w:rsidR="00334CB7" w:rsidRDefault="002D376B">
      <w:pPr>
        <w:keepNext/>
        <w:keepLines/>
        <w:spacing w:before="300" w:after="300" w:line="280" w:lineRule="exact"/>
        <w:outlineLvl w:val="3"/>
        <w:rPr>
          <w:rFonts w:ascii="宋体" w:eastAsia="宋体" w:hAnsi="宋体" w:cs="宋体"/>
          <w:b/>
          <w:bCs/>
          <w:sz w:val="18"/>
          <w:szCs w:val="18"/>
        </w:rPr>
      </w:pPr>
      <w:bookmarkStart w:id="214" w:name="_Toc989102"/>
      <w:r>
        <w:rPr>
          <w:rFonts w:ascii="宋体" w:eastAsia="宋体" w:hAnsi="宋体" w:cs="宋体"/>
          <w:b/>
          <w:bCs/>
          <w:sz w:val="18"/>
          <w:szCs w:val="18"/>
        </w:rPr>
        <w:t>（2） 账龄超过1年或逾期的重要应付账款</w:t>
      </w:r>
      <w:bookmarkEnd w:id="214"/>
    </w:p>
    <w:p w:rsidR="00C1183B" w:rsidRDefault="002D376B">
      <w:pPr>
        <w:pStyle w:val="a3"/>
        <w:divId w:val="1556770347"/>
        <w:rPr>
          <w:sz w:val="18"/>
          <w:szCs w:val="18"/>
        </w:rPr>
      </w:pPr>
      <w:r>
        <w:rPr>
          <w:rFonts w:hint="eastAsia"/>
          <w:sz w:val="18"/>
          <w:szCs w:val="18"/>
        </w:rPr>
        <w:t>公司无账龄超过1年的重要应付账款。</w:t>
      </w:r>
    </w:p>
    <w:p w:rsidR="00334CB7" w:rsidRDefault="002D376B" w:rsidP="00CA05B2">
      <w:pPr>
        <w:pStyle w:val="3"/>
        <w:spacing w:line="280" w:lineRule="exact"/>
        <w:jc w:val="left"/>
        <w:rPr>
          <w:rFonts w:ascii="宋体" w:hAnsi="宋体" w:cs="宋体"/>
          <w:sz w:val="18"/>
          <w:szCs w:val="18"/>
        </w:rPr>
      </w:pPr>
      <w:bookmarkStart w:id="215" w:name="_Toc989103"/>
      <w:r>
        <w:rPr>
          <w:rFonts w:ascii="宋体" w:hAnsi="宋体" w:cs="宋体"/>
          <w:b/>
          <w:bCs/>
        </w:rPr>
        <w:t>21、其他应付款</w:t>
      </w:r>
      <w:bookmarkEnd w:id="215"/>
      <w:r w:rsidR="00CA05B2">
        <w:rPr>
          <w:rFonts w:ascii="宋体" w:hAnsi="宋体" w:cs="宋体" w:hint="eastAsia"/>
          <w:b/>
          <w:bCs/>
        </w:rPr>
        <w:t xml:space="preserve">                                                                    </w:t>
      </w: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589,341.52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607,183.47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18,309,599.26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607,183.47</w:t>
            </w:r>
          </w:p>
        </w:tc>
      </w:tr>
    </w:tbl>
    <w:p w:rsidR="00334CB7" w:rsidRDefault="002D376B">
      <w:pPr>
        <w:keepNext/>
        <w:keepLines/>
        <w:spacing w:before="300" w:after="300" w:line="280" w:lineRule="exact"/>
        <w:outlineLvl w:val="3"/>
        <w:rPr>
          <w:rFonts w:ascii="宋体" w:eastAsia="宋体" w:hAnsi="宋体" w:cs="宋体"/>
          <w:b/>
          <w:bCs/>
          <w:szCs w:val="21"/>
        </w:rPr>
      </w:pPr>
      <w:bookmarkStart w:id="216" w:name="_Toc989104"/>
      <w:r>
        <w:rPr>
          <w:rFonts w:ascii="宋体" w:eastAsia="宋体" w:hAnsi="宋体" w:cs="宋体"/>
          <w:b/>
          <w:bCs/>
          <w:szCs w:val="21"/>
        </w:rPr>
        <w:lastRenderedPageBreak/>
        <w:t>（1） 应付股利</w:t>
      </w:r>
      <w:bookmarkEnd w:id="21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bl>
    <w:p w:rsidR="00334CB7" w:rsidRDefault="002D376B">
      <w:pPr>
        <w:keepNext/>
        <w:keepLines/>
        <w:spacing w:before="300" w:after="300" w:line="280" w:lineRule="exact"/>
        <w:outlineLvl w:val="3"/>
        <w:rPr>
          <w:rFonts w:ascii="宋体" w:eastAsia="宋体" w:hAnsi="宋体" w:cs="宋体"/>
          <w:b/>
          <w:bCs/>
          <w:szCs w:val="21"/>
        </w:rPr>
      </w:pPr>
      <w:bookmarkStart w:id="217" w:name="_Toc989105"/>
      <w:r>
        <w:rPr>
          <w:rFonts w:ascii="宋体" w:eastAsia="宋体" w:hAnsi="宋体" w:cs="宋体"/>
          <w:b/>
          <w:bCs/>
          <w:szCs w:val="21"/>
        </w:rPr>
        <w:t>（2） 其他应付款</w:t>
      </w:r>
      <w:bookmarkEnd w:id="217"/>
    </w:p>
    <w:p w:rsidR="00334CB7" w:rsidRDefault="002D376B">
      <w:pPr>
        <w:keepNext/>
        <w:keepLines/>
        <w:spacing w:before="300" w:after="300" w:line="280" w:lineRule="exact"/>
        <w:outlineLvl w:val="4"/>
        <w:rPr>
          <w:rFonts w:ascii="宋体" w:eastAsia="宋体" w:hAnsi="宋体" w:cs="宋体"/>
          <w:b/>
          <w:bCs/>
          <w:sz w:val="18"/>
          <w:szCs w:val="18"/>
        </w:rPr>
      </w:pPr>
      <w:bookmarkStart w:id="218" w:name="_Toc989106"/>
      <w:r>
        <w:rPr>
          <w:rFonts w:ascii="宋体" w:eastAsia="宋体" w:hAnsi="宋体" w:cs="宋体"/>
          <w:b/>
          <w:bCs/>
          <w:sz w:val="18"/>
          <w:szCs w:val="18"/>
        </w:rPr>
        <w:t>1） 按款项性质列示其他应付款</w:t>
      </w:r>
      <w:bookmarkEnd w:id="21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85,512.45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203,354.87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3,829.07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3,828.60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589,341.52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607,183.47</w:t>
            </w:r>
          </w:p>
        </w:tc>
      </w:tr>
    </w:tbl>
    <w:p w:rsidR="00334CB7" w:rsidRDefault="002D376B" w:rsidP="00AC0250">
      <w:pPr>
        <w:keepNext/>
        <w:keepLines/>
        <w:spacing w:before="300" w:after="300" w:line="280" w:lineRule="exact"/>
        <w:outlineLvl w:val="4"/>
        <w:rPr>
          <w:rFonts w:ascii="宋体" w:eastAsia="宋体" w:hAnsi="宋体" w:cs="宋体"/>
          <w:sz w:val="18"/>
          <w:szCs w:val="18"/>
        </w:rPr>
      </w:pPr>
      <w:bookmarkStart w:id="219" w:name="_Toc989107"/>
      <w:r>
        <w:rPr>
          <w:rFonts w:ascii="宋体" w:eastAsia="宋体" w:hAnsi="宋体" w:cs="宋体"/>
          <w:b/>
          <w:bCs/>
          <w:sz w:val="18"/>
          <w:szCs w:val="18"/>
        </w:rPr>
        <w:t>2） 账龄超过1年或逾期的重要其他应付款</w:t>
      </w:r>
      <w:bookmarkEnd w:id="219"/>
    </w:p>
    <w:p w:rsidR="00C1183B" w:rsidRDefault="002D376B">
      <w:pPr>
        <w:pStyle w:val="a3"/>
        <w:divId w:val="1907260801"/>
        <w:rPr>
          <w:sz w:val="18"/>
          <w:szCs w:val="18"/>
        </w:rPr>
      </w:pPr>
      <w:r>
        <w:rPr>
          <w:rFonts w:hint="eastAsia"/>
          <w:sz w:val="18"/>
          <w:szCs w:val="18"/>
        </w:rPr>
        <w:t>公司无账龄超过1年的重要其他应付款。</w:t>
      </w:r>
    </w:p>
    <w:p w:rsidR="00334CB7" w:rsidRDefault="002D376B">
      <w:pPr>
        <w:pStyle w:val="3"/>
        <w:spacing w:line="280" w:lineRule="exact"/>
        <w:jc w:val="left"/>
        <w:rPr>
          <w:rFonts w:ascii="宋体" w:hAnsi="宋体" w:cs="宋体"/>
          <w:b/>
          <w:bCs/>
        </w:rPr>
      </w:pPr>
      <w:bookmarkStart w:id="220" w:name="_Toc989108"/>
      <w:r>
        <w:rPr>
          <w:rFonts w:ascii="宋体" w:hAnsi="宋体" w:cs="宋体"/>
          <w:b/>
          <w:bCs/>
        </w:rPr>
        <w:t>22、预收款项</w:t>
      </w:r>
      <w:bookmarkEnd w:id="220"/>
    </w:p>
    <w:p w:rsidR="00334CB7" w:rsidRDefault="002D376B">
      <w:pPr>
        <w:keepNext/>
        <w:keepLines/>
        <w:spacing w:before="300" w:after="300" w:line="280" w:lineRule="exact"/>
        <w:outlineLvl w:val="3"/>
        <w:rPr>
          <w:rFonts w:ascii="宋体" w:eastAsia="宋体" w:hAnsi="宋体" w:cs="宋体"/>
          <w:b/>
          <w:bCs/>
          <w:szCs w:val="21"/>
        </w:rPr>
      </w:pPr>
      <w:bookmarkStart w:id="221" w:name="_Toc989109"/>
      <w:r>
        <w:rPr>
          <w:rFonts w:ascii="宋体" w:eastAsia="宋体" w:hAnsi="宋体" w:cs="宋体"/>
          <w:b/>
          <w:bCs/>
          <w:szCs w:val="21"/>
        </w:rPr>
        <w:t>（1） 预收款项列示</w:t>
      </w:r>
      <w:bookmarkEnd w:id="221"/>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预收</w:t>
            </w:r>
            <w:proofErr w:type="gramStart"/>
            <w:r>
              <w:rPr>
                <w:rFonts w:ascii="宋体" w:eastAsia="宋体" w:hAnsi="宋体" w:cs="宋体"/>
                <w:sz w:val="18"/>
                <w:szCs w:val="18"/>
              </w:rPr>
              <w:t>仓储款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2,180,394.57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7,126,997.60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2,180,394.57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7,126,997.60</w:t>
            </w:r>
          </w:p>
        </w:tc>
      </w:tr>
    </w:tbl>
    <w:p w:rsidR="00334CB7" w:rsidRDefault="002D376B">
      <w:pPr>
        <w:keepNext/>
        <w:keepLines/>
        <w:spacing w:before="300" w:after="300" w:line="280" w:lineRule="exact"/>
        <w:outlineLvl w:val="3"/>
        <w:rPr>
          <w:rFonts w:ascii="宋体" w:eastAsia="宋体" w:hAnsi="宋体" w:cs="宋体"/>
          <w:b/>
          <w:bCs/>
          <w:szCs w:val="21"/>
        </w:rPr>
      </w:pPr>
      <w:bookmarkStart w:id="222" w:name="_Toc989110"/>
      <w:r>
        <w:rPr>
          <w:rFonts w:ascii="宋体" w:eastAsia="宋体" w:hAnsi="宋体" w:cs="宋体"/>
          <w:b/>
          <w:bCs/>
          <w:szCs w:val="21"/>
        </w:rPr>
        <w:t>（2） 账龄超过1年或逾期的重要预收款项</w:t>
      </w:r>
      <w:bookmarkEnd w:id="222"/>
    </w:p>
    <w:p w:rsidR="00C1183B" w:rsidRDefault="002D376B">
      <w:pPr>
        <w:pStyle w:val="a3"/>
        <w:divId w:val="2053768784"/>
        <w:rPr>
          <w:sz w:val="18"/>
          <w:szCs w:val="18"/>
        </w:rPr>
      </w:pPr>
      <w:r>
        <w:rPr>
          <w:rFonts w:hint="eastAsia"/>
          <w:sz w:val="18"/>
          <w:szCs w:val="18"/>
        </w:rPr>
        <w:t>公司无账龄超过1年的重要预收款项。</w:t>
      </w:r>
    </w:p>
    <w:p w:rsidR="00334CB7" w:rsidRDefault="002D376B">
      <w:pPr>
        <w:pStyle w:val="3"/>
        <w:spacing w:line="280" w:lineRule="exact"/>
        <w:jc w:val="left"/>
        <w:rPr>
          <w:rFonts w:ascii="宋体" w:hAnsi="宋体" w:cs="宋体"/>
          <w:b/>
          <w:bCs/>
        </w:rPr>
      </w:pPr>
      <w:bookmarkStart w:id="223" w:name="_Toc989111"/>
      <w:r>
        <w:rPr>
          <w:rFonts w:ascii="宋体" w:hAnsi="宋体" w:cs="宋体"/>
          <w:b/>
          <w:bCs/>
        </w:rPr>
        <w:t>23、合同负债</w:t>
      </w:r>
      <w:bookmarkEnd w:id="22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预收销售合同货款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122,723,399.95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64,710,771.18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减：计入其他流动负债（附注七、26）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13,410,433.80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6,749,895.30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109,312,966.15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57,960,875.88</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账龄超过1年的重要合同负债</w:t>
      </w:r>
    </w:p>
    <w:p w:rsidR="00AC0250" w:rsidRDefault="00AC0250" w:rsidP="00AC0250">
      <w:pPr>
        <w:spacing w:line="400" w:lineRule="exact"/>
        <w:ind w:firstLineChars="200" w:firstLine="360"/>
        <w:rPr>
          <w:rFonts w:asciiTheme="minorEastAsia" w:hAnsiTheme="minorEastAsia" w:cs="Arial"/>
          <w:sz w:val="18"/>
          <w:szCs w:val="18"/>
        </w:rPr>
      </w:pPr>
      <w:r w:rsidRPr="007A150C">
        <w:rPr>
          <w:rFonts w:asciiTheme="minorEastAsia" w:hAnsiTheme="minorEastAsia" w:cs="Arial" w:hint="eastAsia"/>
          <w:sz w:val="18"/>
          <w:szCs w:val="18"/>
        </w:rPr>
        <w:t>公司无账龄超过1年的重要合同负债。</w:t>
      </w:r>
    </w:p>
    <w:p w:rsidR="00AC0250" w:rsidRPr="007A150C" w:rsidRDefault="00AC0250" w:rsidP="00AC0250">
      <w:pPr>
        <w:spacing w:line="400" w:lineRule="exact"/>
        <w:ind w:firstLineChars="200" w:firstLine="360"/>
        <w:rPr>
          <w:rFonts w:asciiTheme="minorEastAsia" w:hAnsiTheme="minorEastAsia" w:cs="Arial"/>
          <w:sz w:val="18"/>
          <w:szCs w:val="18"/>
        </w:rPr>
      </w:pPr>
    </w:p>
    <w:p w:rsidR="00334CB7" w:rsidRDefault="002D376B">
      <w:pPr>
        <w:pStyle w:val="3"/>
        <w:spacing w:line="280" w:lineRule="exact"/>
        <w:jc w:val="left"/>
        <w:rPr>
          <w:rFonts w:ascii="宋体" w:hAnsi="宋体" w:cs="宋体"/>
          <w:b/>
          <w:bCs/>
        </w:rPr>
      </w:pPr>
      <w:bookmarkStart w:id="224" w:name="_Toc989112"/>
      <w:r>
        <w:rPr>
          <w:rFonts w:ascii="宋体" w:hAnsi="宋体" w:cs="宋体"/>
          <w:b/>
          <w:bCs/>
        </w:rPr>
        <w:lastRenderedPageBreak/>
        <w:t>24、应付职工薪</w:t>
      </w:r>
      <w:proofErr w:type="gramStart"/>
      <w:r>
        <w:rPr>
          <w:rFonts w:ascii="宋体" w:hAnsi="宋体" w:cs="宋体"/>
          <w:b/>
          <w:bCs/>
        </w:rPr>
        <w:t>酬</w:t>
      </w:r>
      <w:bookmarkEnd w:id="224"/>
      <w:proofErr w:type="gramEnd"/>
    </w:p>
    <w:p w:rsidR="00334CB7" w:rsidRDefault="002D376B">
      <w:pPr>
        <w:keepNext/>
        <w:keepLines/>
        <w:spacing w:before="300" w:after="300" w:line="280" w:lineRule="exact"/>
        <w:outlineLvl w:val="3"/>
        <w:rPr>
          <w:rFonts w:ascii="宋体" w:eastAsia="宋体" w:hAnsi="宋体" w:cs="宋体"/>
          <w:b/>
          <w:bCs/>
          <w:szCs w:val="21"/>
        </w:rPr>
      </w:pPr>
      <w:bookmarkStart w:id="225" w:name="_Toc989113"/>
      <w:r>
        <w:rPr>
          <w:rFonts w:ascii="宋体" w:eastAsia="宋体" w:hAnsi="宋体" w:cs="宋体"/>
          <w:b/>
          <w:bCs/>
          <w:szCs w:val="21"/>
        </w:rPr>
        <w:t>（1） 应付职工薪酬列示</w:t>
      </w:r>
      <w:bookmarkEnd w:id="22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35,169,624.37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47,881,271.12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64,876,938.46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18,173,957.03</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16,472.07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3,383,736.38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3,377,705.79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22,502.66</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四、一年内到期的其他福利</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35,186,096.44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51,265,007.50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68,254,644.25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18,196,459.69</w:t>
            </w:r>
          </w:p>
        </w:tc>
      </w:tr>
    </w:tbl>
    <w:p w:rsidR="00334CB7" w:rsidRDefault="002D376B">
      <w:pPr>
        <w:keepNext/>
        <w:keepLines/>
        <w:spacing w:before="300" w:after="300" w:line="280" w:lineRule="exact"/>
        <w:outlineLvl w:val="3"/>
        <w:rPr>
          <w:rFonts w:ascii="宋体" w:eastAsia="宋体" w:hAnsi="宋体" w:cs="宋体"/>
          <w:b/>
          <w:bCs/>
          <w:szCs w:val="21"/>
        </w:rPr>
      </w:pPr>
      <w:bookmarkStart w:id="226" w:name="_Toc989114"/>
      <w:r>
        <w:rPr>
          <w:rFonts w:ascii="宋体" w:eastAsia="宋体" w:hAnsi="宋体" w:cs="宋体"/>
          <w:b/>
          <w:bCs/>
          <w:szCs w:val="21"/>
        </w:rPr>
        <w:t>（2） 短期薪酬列示</w:t>
      </w:r>
      <w:bookmarkEnd w:id="22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33,912,373.67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42,514,254.01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59,473,802.84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16,952,824.84</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2,414,690.71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2,414,690.71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10,238.66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1,839,208.50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1,836,823.82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12,623.34</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9,983.09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1,491,050.45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1,488,759.34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12,274.20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255.57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189,072.50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188,978.93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349.14</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159,085.55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159,085.55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4,360.00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822,293.60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820,466.60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6,187.00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1,242,652.04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290,824.30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331,154.49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1,202,321.85</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6、短期带薪缺勤</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7、短期利润分享计划</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35,169,624.37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47,881,271.12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64,876,938.46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18,173,957.03</w:t>
            </w:r>
          </w:p>
        </w:tc>
      </w:tr>
    </w:tbl>
    <w:p w:rsidR="00334CB7" w:rsidRDefault="002D376B">
      <w:pPr>
        <w:keepNext/>
        <w:keepLines/>
        <w:spacing w:before="300" w:after="300" w:line="280" w:lineRule="exact"/>
        <w:outlineLvl w:val="3"/>
        <w:rPr>
          <w:rFonts w:ascii="宋体" w:eastAsia="宋体" w:hAnsi="宋体" w:cs="宋体"/>
          <w:b/>
          <w:bCs/>
          <w:szCs w:val="21"/>
        </w:rPr>
      </w:pPr>
      <w:bookmarkStart w:id="227" w:name="_Toc989115"/>
      <w:r>
        <w:rPr>
          <w:rFonts w:ascii="宋体" w:eastAsia="宋体" w:hAnsi="宋体" w:cs="宋体"/>
          <w:b/>
          <w:bCs/>
          <w:szCs w:val="21"/>
        </w:rPr>
        <w:t>（3） 设定提存计划列示</w:t>
      </w:r>
      <w:bookmarkEnd w:id="22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15,972.91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3,281,169.78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3,275,321.94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21,820.75</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499.16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102,566.60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102,383.85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681.91</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16,472.07</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3,383,736.38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3,377,705.79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22,502.66</w:t>
            </w:r>
          </w:p>
        </w:tc>
      </w:tr>
    </w:tbl>
    <w:p w:rsidR="00C1183B" w:rsidRDefault="002D376B">
      <w:pPr>
        <w:pStyle w:val="a3"/>
        <w:spacing w:before="0" w:beforeAutospacing="0" w:after="0" w:afterAutospacing="0" w:line="400" w:lineRule="atLeast"/>
        <w:ind w:firstLine="360"/>
        <w:jc w:val="both"/>
        <w:divId w:val="702629245"/>
        <w:rPr>
          <w:rFonts w:ascii="Times New Roman" w:hAnsi="Times New Roman" w:cs="Times New Roman"/>
          <w:sz w:val="21"/>
          <w:szCs w:val="21"/>
        </w:rPr>
      </w:pPr>
      <w:r>
        <w:rPr>
          <w:rFonts w:cs="Times New Roman" w:hint="eastAsia"/>
          <w:sz w:val="18"/>
          <w:szCs w:val="18"/>
        </w:rPr>
        <w:t>本公司按规定参加由政府机构设立的养老保险、失业保险计划，根据该等计划，本公司分别按员工基本工资的16.00%、0.50%，每月向该等计划缴存费用。除上述每月缴存费用外，本公司不再承担进一步支付义务。相应的支出于发生时计入当期损益或相关资产的成本。</w:t>
      </w:r>
    </w:p>
    <w:p w:rsidR="00334CB7" w:rsidRDefault="002D376B">
      <w:pPr>
        <w:pStyle w:val="3"/>
        <w:spacing w:line="280" w:lineRule="exact"/>
        <w:jc w:val="left"/>
        <w:rPr>
          <w:rFonts w:ascii="宋体" w:hAnsi="宋体" w:cs="宋体"/>
          <w:b/>
          <w:bCs/>
        </w:rPr>
      </w:pPr>
      <w:bookmarkStart w:id="228" w:name="_Toc989116"/>
      <w:r>
        <w:rPr>
          <w:rFonts w:ascii="宋体" w:hAnsi="宋体" w:cs="宋体"/>
          <w:b/>
          <w:bCs/>
        </w:rPr>
        <w:lastRenderedPageBreak/>
        <w:t>25、应交税费</w:t>
      </w:r>
      <w:bookmarkEnd w:id="22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925,097.24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731,205.48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6,475,480.01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234,568.06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97,104.68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138,561.36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54,378.67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51,736.34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40,452.60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42,325.03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630,379.68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602,112.03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235,320.80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128,045.00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796,024.45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649,504.21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11,218.15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9,261,238.13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2,589,275.66</w:t>
            </w:r>
          </w:p>
        </w:tc>
      </w:tr>
    </w:tbl>
    <w:p w:rsidR="00334CB7" w:rsidRDefault="002D376B">
      <w:pPr>
        <w:pStyle w:val="3"/>
        <w:spacing w:line="280" w:lineRule="exact"/>
        <w:jc w:val="left"/>
        <w:rPr>
          <w:rFonts w:ascii="宋体" w:hAnsi="宋体" w:cs="宋体"/>
          <w:b/>
          <w:bCs/>
        </w:rPr>
      </w:pPr>
      <w:bookmarkStart w:id="229" w:name="_Toc989117"/>
      <w:r>
        <w:rPr>
          <w:rFonts w:ascii="宋体" w:hAnsi="宋体" w:cs="宋体"/>
          <w:b/>
          <w:bCs/>
        </w:rPr>
        <w:t>26、其他流动负债</w:t>
      </w:r>
      <w:bookmarkEnd w:id="22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13,410,433.80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6,749,895.30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未终止确认已背书但尚未到期的应收票据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21,357,977.78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23,656,519.00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34,788,411.58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30,426,414.30</w:t>
            </w:r>
          </w:p>
        </w:tc>
      </w:tr>
    </w:tbl>
    <w:p w:rsidR="00334CB7" w:rsidRDefault="002D376B">
      <w:pPr>
        <w:pStyle w:val="3"/>
        <w:spacing w:line="280" w:lineRule="exact"/>
        <w:jc w:val="left"/>
        <w:rPr>
          <w:rFonts w:ascii="宋体" w:hAnsi="宋体" w:cs="宋体"/>
          <w:b/>
          <w:bCs/>
        </w:rPr>
      </w:pPr>
      <w:bookmarkStart w:id="230" w:name="_Toc989118"/>
      <w:r>
        <w:rPr>
          <w:rFonts w:ascii="宋体" w:hAnsi="宋体" w:cs="宋体"/>
          <w:b/>
          <w:bCs/>
        </w:rPr>
        <w:t>27、长期借款</w:t>
      </w:r>
      <w:bookmarkEnd w:id="230"/>
    </w:p>
    <w:p w:rsidR="00334CB7" w:rsidRDefault="002D376B">
      <w:pPr>
        <w:keepNext/>
        <w:keepLines/>
        <w:spacing w:before="300" w:after="300" w:line="280" w:lineRule="exact"/>
        <w:outlineLvl w:val="3"/>
        <w:rPr>
          <w:rFonts w:ascii="宋体" w:eastAsia="宋体" w:hAnsi="宋体" w:cs="宋体"/>
          <w:b/>
          <w:bCs/>
          <w:sz w:val="18"/>
          <w:szCs w:val="18"/>
        </w:rPr>
      </w:pPr>
      <w:bookmarkStart w:id="231" w:name="_Toc989119"/>
      <w:r>
        <w:rPr>
          <w:rFonts w:ascii="宋体" w:eastAsia="宋体" w:hAnsi="宋体" w:cs="宋体"/>
          <w:b/>
          <w:bCs/>
          <w:sz w:val="18"/>
          <w:szCs w:val="18"/>
        </w:rPr>
        <w:t>（1） 长期借款分类</w:t>
      </w:r>
      <w:bookmarkEnd w:id="231"/>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bl>
    <w:p w:rsidR="00334CB7" w:rsidRDefault="002D376B">
      <w:pPr>
        <w:pStyle w:val="3"/>
        <w:spacing w:line="280" w:lineRule="exact"/>
        <w:jc w:val="left"/>
        <w:rPr>
          <w:rFonts w:ascii="宋体" w:hAnsi="宋体" w:cs="宋体"/>
          <w:b/>
          <w:bCs/>
        </w:rPr>
      </w:pPr>
      <w:bookmarkStart w:id="232" w:name="_Toc989120"/>
      <w:r>
        <w:rPr>
          <w:rFonts w:ascii="宋体" w:hAnsi="宋体" w:cs="宋体"/>
          <w:b/>
          <w:bCs/>
        </w:rPr>
        <w:t>28、递延收益</w:t>
      </w:r>
      <w:bookmarkEnd w:id="232"/>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3,986,500.00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收到生态环境保护专款</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3,986,500.00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C1183B" w:rsidRDefault="002D376B">
      <w:pPr>
        <w:pStyle w:val="a3"/>
        <w:divId w:val="591402562"/>
        <w:rPr>
          <w:sz w:val="18"/>
          <w:szCs w:val="18"/>
        </w:rPr>
      </w:pPr>
      <w:r>
        <w:rPr>
          <w:rFonts w:hint="eastAsia"/>
          <w:sz w:val="18"/>
          <w:szCs w:val="18"/>
        </w:rPr>
        <w:t>计入递延收益的政府补助详见附注十、1、涉及政府补助的负债项目。</w:t>
      </w:r>
    </w:p>
    <w:p w:rsidR="00334CB7" w:rsidRDefault="002D376B">
      <w:pPr>
        <w:pStyle w:val="3"/>
        <w:spacing w:line="280" w:lineRule="exact"/>
        <w:jc w:val="left"/>
        <w:rPr>
          <w:rFonts w:ascii="宋体" w:hAnsi="宋体" w:cs="宋体"/>
          <w:b/>
          <w:bCs/>
        </w:rPr>
      </w:pPr>
      <w:bookmarkStart w:id="233" w:name="_Toc989121"/>
      <w:r>
        <w:rPr>
          <w:rFonts w:ascii="宋体" w:hAnsi="宋体" w:cs="宋体"/>
          <w:b/>
          <w:bCs/>
        </w:rPr>
        <w:t>29、股本</w:t>
      </w:r>
      <w:bookmarkEnd w:id="23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334CB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bl>
    <w:p w:rsidR="00334CB7" w:rsidRDefault="002D376B">
      <w:pPr>
        <w:pStyle w:val="3"/>
        <w:spacing w:line="280" w:lineRule="exact"/>
        <w:jc w:val="left"/>
        <w:rPr>
          <w:rFonts w:ascii="宋体" w:hAnsi="宋体" w:cs="宋体"/>
          <w:b/>
          <w:bCs/>
        </w:rPr>
      </w:pPr>
      <w:bookmarkStart w:id="234" w:name="_Toc989122"/>
      <w:r>
        <w:rPr>
          <w:rFonts w:ascii="宋体" w:hAnsi="宋体" w:cs="宋体"/>
          <w:b/>
          <w:bCs/>
        </w:rPr>
        <w:t>30、资本公积</w:t>
      </w:r>
      <w:bookmarkEnd w:id="23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375,027,661.91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375,027,661.91</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16,021,680.21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1,961,839.53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17,983,519.74</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391,049,342.12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1,961,839.53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393,011,181.65</w:t>
            </w:r>
          </w:p>
        </w:tc>
      </w:tr>
    </w:tbl>
    <w:p w:rsidR="00334CB7" w:rsidRDefault="002D376B">
      <w:pPr>
        <w:pStyle w:val="3"/>
        <w:spacing w:line="280" w:lineRule="exact"/>
        <w:jc w:val="left"/>
        <w:rPr>
          <w:rFonts w:ascii="宋体" w:hAnsi="宋体" w:cs="宋体"/>
          <w:b/>
          <w:bCs/>
        </w:rPr>
      </w:pPr>
      <w:bookmarkStart w:id="235" w:name="_Toc989123"/>
      <w:r>
        <w:rPr>
          <w:rFonts w:ascii="宋体" w:hAnsi="宋体" w:cs="宋体"/>
          <w:b/>
          <w:bCs/>
        </w:rPr>
        <w:t>31、其他综合收益</w:t>
      </w:r>
      <w:bookmarkEnd w:id="23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334CB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12,931,116.72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8,495,922.23</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其中：权益法下可转损益的其他综合收益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12,931,116.72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8,495,922.23</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12,931,116.72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-4,435,194.49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8,495,922.23</w:t>
            </w:r>
          </w:p>
        </w:tc>
      </w:tr>
    </w:tbl>
    <w:p w:rsidR="00C1183B" w:rsidRDefault="00C1183B">
      <w:pPr>
        <w:divId w:val="1075784771"/>
        <w:rPr>
          <w:sz w:val="18"/>
          <w:szCs w:val="18"/>
        </w:rPr>
      </w:pPr>
    </w:p>
    <w:p w:rsidR="00334CB7" w:rsidRDefault="002D376B">
      <w:pPr>
        <w:pStyle w:val="3"/>
        <w:spacing w:line="280" w:lineRule="exact"/>
        <w:jc w:val="left"/>
        <w:rPr>
          <w:rFonts w:ascii="宋体" w:hAnsi="宋体" w:cs="宋体"/>
          <w:b/>
          <w:bCs/>
        </w:rPr>
      </w:pPr>
      <w:bookmarkStart w:id="236" w:name="_Toc989124"/>
      <w:r>
        <w:rPr>
          <w:rFonts w:ascii="宋体" w:hAnsi="宋体" w:cs="宋体"/>
          <w:b/>
          <w:bCs/>
        </w:rPr>
        <w:t>32、盈余公积</w:t>
      </w:r>
      <w:bookmarkEnd w:id="23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rsidTr="00993A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rsidTr="00993A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435,671,944.53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993A41">
            <w:pPr>
              <w:spacing w:line="240" w:lineRule="exact"/>
              <w:jc w:val="right"/>
              <w:rPr>
                <w:rFonts w:ascii="宋体" w:eastAsia="宋体" w:hAnsi="宋体" w:cs="宋体"/>
                <w:sz w:val="18"/>
                <w:szCs w:val="18"/>
              </w:rPr>
            </w:pPr>
            <w:r>
              <w:rPr>
                <w:rFonts w:ascii="宋体" w:eastAsia="宋体" w:hAnsi="宋体" w:cs="宋体" w:hint="eastAsia"/>
                <w:sz w:val="18"/>
                <w:szCs w:val="18"/>
              </w:rPr>
              <w:t>1,587,116.12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993A41" w:rsidP="00993A41">
            <w:pPr>
              <w:spacing w:line="240" w:lineRule="exact"/>
              <w:jc w:val="right"/>
              <w:rPr>
                <w:rFonts w:ascii="宋体" w:eastAsia="宋体" w:hAnsi="宋体" w:cs="宋体"/>
                <w:sz w:val="18"/>
                <w:szCs w:val="18"/>
              </w:rPr>
            </w:pPr>
            <w:r>
              <w:rPr>
                <w:rFonts w:ascii="宋体" w:eastAsia="宋体" w:hAnsi="宋体" w:cs="宋体"/>
                <w:sz w:val="18"/>
                <w:szCs w:val="18"/>
              </w:rPr>
              <w:t>43</w:t>
            </w:r>
            <w:r>
              <w:rPr>
                <w:rFonts w:ascii="宋体" w:eastAsia="宋体" w:hAnsi="宋体" w:cs="宋体" w:hint="eastAsia"/>
                <w:sz w:val="18"/>
                <w:szCs w:val="18"/>
              </w:rPr>
              <w:t>7</w:t>
            </w:r>
            <w:r w:rsidR="002D376B">
              <w:rPr>
                <w:rFonts w:ascii="宋体" w:eastAsia="宋体" w:hAnsi="宋体" w:cs="宋体"/>
                <w:sz w:val="18"/>
                <w:szCs w:val="18"/>
              </w:rPr>
              <w:t>,</w:t>
            </w:r>
            <w:r>
              <w:rPr>
                <w:rFonts w:ascii="宋体" w:eastAsia="宋体" w:hAnsi="宋体" w:cs="宋体" w:hint="eastAsia"/>
                <w:sz w:val="18"/>
                <w:szCs w:val="18"/>
              </w:rPr>
              <w:t>259</w:t>
            </w:r>
            <w:r w:rsidR="002D376B">
              <w:rPr>
                <w:rFonts w:ascii="宋体" w:eastAsia="宋体" w:hAnsi="宋体" w:cs="宋体"/>
                <w:sz w:val="18"/>
                <w:szCs w:val="18"/>
              </w:rPr>
              <w:t>,</w:t>
            </w:r>
            <w:r>
              <w:rPr>
                <w:rFonts w:ascii="宋体" w:eastAsia="宋体" w:hAnsi="宋体" w:cs="宋体" w:hint="eastAsia"/>
                <w:sz w:val="18"/>
                <w:szCs w:val="18"/>
              </w:rPr>
              <w:t>060</w:t>
            </w:r>
            <w:r w:rsidR="002D376B">
              <w:rPr>
                <w:rFonts w:ascii="宋体" w:eastAsia="宋体" w:hAnsi="宋体" w:cs="宋体"/>
                <w:sz w:val="18"/>
                <w:szCs w:val="18"/>
              </w:rPr>
              <w:t>.</w:t>
            </w:r>
            <w:r>
              <w:rPr>
                <w:rFonts w:ascii="宋体" w:eastAsia="宋体" w:hAnsi="宋体" w:cs="宋体" w:hint="eastAsia"/>
                <w:sz w:val="18"/>
                <w:szCs w:val="18"/>
              </w:rPr>
              <w:t>65</w:t>
            </w:r>
          </w:p>
        </w:tc>
      </w:tr>
      <w:tr w:rsidR="00993A41" w:rsidTr="00993A4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993A41" w:rsidRDefault="00993A41">
            <w:pPr>
              <w:spacing w:line="240" w:lineRule="exact"/>
              <w:jc w:val="right"/>
              <w:rPr>
                <w:rFonts w:ascii="宋体" w:eastAsia="宋体" w:hAnsi="宋体" w:cs="宋体"/>
                <w:sz w:val="18"/>
                <w:szCs w:val="18"/>
              </w:rPr>
            </w:pPr>
            <w:r>
              <w:rPr>
                <w:rFonts w:ascii="宋体" w:eastAsia="宋体" w:hAnsi="宋体" w:cs="宋体"/>
                <w:sz w:val="18"/>
                <w:szCs w:val="18"/>
              </w:rPr>
              <w:t>435,671,944.53</w:t>
            </w:r>
          </w:p>
        </w:tc>
        <w:tc>
          <w:tcPr>
            <w:tcW w:w="1928" w:type="dxa"/>
            <w:tcBorders>
              <w:top w:val="single" w:sz="2" w:space="0" w:color="auto"/>
              <w:left w:val="single" w:sz="2" w:space="0" w:color="auto"/>
              <w:bottom w:val="single" w:sz="2" w:space="0" w:color="auto"/>
              <w:right w:val="single" w:sz="2" w:space="0" w:color="auto"/>
            </w:tcBorders>
            <w:vAlign w:val="center"/>
          </w:tcPr>
          <w:p w:rsidR="00993A41" w:rsidRDefault="00993A41">
            <w:pPr>
              <w:spacing w:line="240" w:lineRule="exact"/>
              <w:jc w:val="right"/>
              <w:rPr>
                <w:rFonts w:ascii="宋体" w:eastAsia="宋体" w:hAnsi="宋体" w:cs="宋体"/>
                <w:sz w:val="18"/>
                <w:szCs w:val="18"/>
              </w:rPr>
            </w:pPr>
            <w:r>
              <w:rPr>
                <w:rFonts w:ascii="宋体" w:eastAsia="宋体" w:hAnsi="宋体" w:cs="宋体" w:hint="eastAsia"/>
                <w:sz w:val="18"/>
                <w:szCs w:val="18"/>
              </w:rPr>
              <w:t>1,587,116.12</w:t>
            </w:r>
          </w:p>
        </w:tc>
        <w:tc>
          <w:tcPr>
            <w:tcW w:w="1928" w:type="dxa"/>
            <w:tcBorders>
              <w:top w:val="single" w:sz="2" w:space="0" w:color="auto"/>
              <w:left w:val="single" w:sz="2" w:space="0" w:color="auto"/>
              <w:bottom w:val="single" w:sz="2" w:space="0" w:color="auto"/>
              <w:right w:val="single" w:sz="2" w:space="0" w:color="auto"/>
            </w:tcBorders>
            <w:vAlign w:val="center"/>
          </w:tcPr>
          <w:p w:rsidR="00993A41" w:rsidRDefault="00993A41">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993A41" w:rsidRDefault="00993A41" w:rsidP="00993A41">
            <w:pPr>
              <w:spacing w:line="240" w:lineRule="exact"/>
              <w:jc w:val="right"/>
              <w:rPr>
                <w:rFonts w:ascii="宋体" w:eastAsia="宋体" w:hAnsi="宋体" w:cs="宋体"/>
                <w:sz w:val="18"/>
                <w:szCs w:val="18"/>
              </w:rPr>
            </w:pPr>
            <w:r>
              <w:rPr>
                <w:rFonts w:ascii="宋体" w:eastAsia="宋体" w:hAnsi="宋体" w:cs="宋体"/>
                <w:sz w:val="18"/>
                <w:szCs w:val="18"/>
              </w:rPr>
              <w:t>43</w:t>
            </w:r>
            <w:r>
              <w:rPr>
                <w:rFonts w:ascii="宋体" w:eastAsia="宋体" w:hAnsi="宋体" w:cs="宋体" w:hint="eastAsia"/>
                <w:sz w:val="18"/>
                <w:szCs w:val="18"/>
              </w:rPr>
              <w:t>7</w:t>
            </w:r>
            <w:r>
              <w:rPr>
                <w:rFonts w:ascii="宋体" w:eastAsia="宋体" w:hAnsi="宋体" w:cs="宋体"/>
                <w:sz w:val="18"/>
                <w:szCs w:val="18"/>
              </w:rPr>
              <w:t>,</w:t>
            </w:r>
            <w:r>
              <w:rPr>
                <w:rFonts w:ascii="宋体" w:eastAsia="宋体" w:hAnsi="宋体" w:cs="宋体" w:hint="eastAsia"/>
                <w:sz w:val="18"/>
                <w:szCs w:val="18"/>
              </w:rPr>
              <w:t>259</w:t>
            </w:r>
            <w:r>
              <w:rPr>
                <w:rFonts w:ascii="宋体" w:eastAsia="宋体" w:hAnsi="宋体" w:cs="宋体"/>
                <w:sz w:val="18"/>
                <w:szCs w:val="18"/>
              </w:rPr>
              <w:t>,</w:t>
            </w:r>
            <w:r>
              <w:rPr>
                <w:rFonts w:ascii="宋体" w:eastAsia="宋体" w:hAnsi="宋体" w:cs="宋体" w:hint="eastAsia"/>
                <w:sz w:val="18"/>
                <w:szCs w:val="18"/>
              </w:rPr>
              <w:t>060</w:t>
            </w:r>
            <w:r>
              <w:rPr>
                <w:rFonts w:ascii="宋体" w:eastAsia="宋体" w:hAnsi="宋体" w:cs="宋体"/>
                <w:sz w:val="18"/>
                <w:szCs w:val="18"/>
              </w:rPr>
              <w:t>.</w:t>
            </w:r>
            <w:r>
              <w:rPr>
                <w:rFonts w:ascii="宋体" w:eastAsia="宋体" w:hAnsi="宋体" w:cs="宋体" w:hint="eastAsia"/>
                <w:sz w:val="18"/>
                <w:szCs w:val="18"/>
              </w:rPr>
              <w:t>65</w:t>
            </w:r>
          </w:p>
        </w:tc>
      </w:tr>
    </w:tbl>
    <w:p w:rsidR="00334CB7" w:rsidRDefault="002D376B">
      <w:pPr>
        <w:pStyle w:val="3"/>
        <w:spacing w:line="280" w:lineRule="exact"/>
        <w:jc w:val="left"/>
        <w:rPr>
          <w:rFonts w:ascii="宋体" w:hAnsi="宋体" w:cs="宋体"/>
          <w:b/>
          <w:bCs/>
        </w:rPr>
      </w:pPr>
      <w:bookmarkStart w:id="237" w:name="_Toc989125"/>
      <w:r>
        <w:rPr>
          <w:rFonts w:ascii="宋体" w:hAnsi="宋体" w:cs="宋体"/>
          <w:b/>
          <w:bCs/>
        </w:rPr>
        <w:lastRenderedPageBreak/>
        <w:t>33、未分配利润</w:t>
      </w:r>
      <w:bookmarkEnd w:id="23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3,390,032,770.69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3,345,694,133.12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3,390,032,770.69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3,345,694,133.12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44,377,070.32</w:t>
            </w:r>
          </w:p>
        </w:tc>
      </w:tr>
      <w:tr w:rsidR="00993A4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93A41" w:rsidRDefault="00993A41" w:rsidP="00993A41">
            <w:pPr>
              <w:spacing w:before="40" w:after="40" w:line="240" w:lineRule="exact"/>
              <w:rPr>
                <w:rFonts w:ascii="宋体" w:eastAsia="宋体" w:hAnsi="宋体" w:cs="宋体"/>
                <w:sz w:val="18"/>
                <w:szCs w:val="18"/>
              </w:rPr>
            </w:pPr>
            <w:r>
              <w:rPr>
                <w:rFonts w:ascii="宋体" w:eastAsia="宋体" w:hAnsi="宋体" w:cs="宋体" w:hint="eastAsia"/>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pPr>
              <w:spacing w:line="240" w:lineRule="exact"/>
              <w:jc w:val="right"/>
              <w:rPr>
                <w:rFonts w:ascii="宋体" w:eastAsia="宋体" w:hAnsi="宋体" w:cs="宋体"/>
                <w:sz w:val="18"/>
                <w:szCs w:val="18"/>
              </w:rPr>
            </w:pPr>
            <w:r>
              <w:rPr>
                <w:rFonts w:ascii="宋体" w:eastAsia="宋体" w:hAnsi="宋体" w:cs="宋体" w:hint="eastAsia"/>
                <w:sz w:val="18"/>
                <w:szCs w:val="18"/>
              </w:rPr>
              <w:t>1,587,116.12</w:t>
            </w:r>
          </w:p>
        </w:tc>
        <w:tc>
          <w:tcPr>
            <w:tcW w:w="3213" w:type="dxa"/>
            <w:tcBorders>
              <w:top w:val="single" w:sz="2" w:space="0" w:color="auto"/>
              <w:left w:val="single" w:sz="2" w:space="0" w:color="auto"/>
              <w:bottom w:val="single" w:sz="2" w:space="0" w:color="auto"/>
              <w:right w:val="single" w:sz="2" w:space="0" w:color="auto"/>
            </w:tcBorders>
            <w:vAlign w:val="center"/>
          </w:tcPr>
          <w:p w:rsidR="00993A41" w:rsidRDefault="00993A41">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993A41" w:rsidP="00993A41">
            <w:pPr>
              <w:spacing w:line="240" w:lineRule="exact"/>
              <w:jc w:val="right"/>
              <w:rPr>
                <w:rFonts w:ascii="宋体" w:eastAsia="宋体" w:hAnsi="宋体" w:cs="宋体"/>
                <w:sz w:val="18"/>
                <w:szCs w:val="18"/>
              </w:rPr>
            </w:pPr>
            <w:r>
              <w:rPr>
                <w:rFonts w:ascii="宋体" w:eastAsia="宋体" w:hAnsi="宋体" w:cs="宋体"/>
                <w:sz w:val="18"/>
                <w:szCs w:val="18"/>
              </w:rPr>
              <w:t>3,45</w:t>
            </w:r>
            <w:r>
              <w:rPr>
                <w:rFonts w:ascii="宋体" w:eastAsia="宋体" w:hAnsi="宋体" w:cs="宋体" w:hint="eastAsia"/>
                <w:sz w:val="18"/>
                <w:szCs w:val="18"/>
              </w:rPr>
              <w:t>0</w:t>
            </w:r>
            <w:r w:rsidR="002D376B">
              <w:rPr>
                <w:rFonts w:ascii="宋体" w:eastAsia="宋体" w:hAnsi="宋体" w:cs="宋体"/>
                <w:sz w:val="18"/>
                <w:szCs w:val="18"/>
              </w:rPr>
              <w:t>,</w:t>
            </w:r>
            <w:r>
              <w:rPr>
                <w:rFonts w:ascii="宋体" w:eastAsia="宋体" w:hAnsi="宋体" w:cs="宋体" w:hint="eastAsia"/>
                <w:sz w:val="18"/>
                <w:szCs w:val="18"/>
              </w:rPr>
              <w:t>100</w:t>
            </w:r>
            <w:r w:rsidR="002D376B">
              <w:rPr>
                <w:rFonts w:ascii="宋体" w:eastAsia="宋体" w:hAnsi="宋体" w:cs="宋体"/>
                <w:sz w:val="18"/>
                <w:szCs w:val="18"/>
              </w:rPr>
              <w:t>,</w:t>
            </w:r>
            <w:r>
              <w:rPr>
                <w:rFonts w:ascii="宋体" w:eastAsia="宋体" w:hAnsi="宋体" w:cs="宋体" w:hint="eastAsia"/>
                <w:sz w:val="18"/>
                <w:szCs w:val="18"/>
              </w:rPr>
              <w:t>116</w:t>
            </w:r>
            <w:r w:rsidR="002D376B">
              <w:rPr>
                <w:rFonts w:ascii="宋体" w:eastAsia="宋体" w:hAnsi="宋体" w:cs="宋体"/>
                <w:sz w:val="18"/>
                <w:szCs w:val="18"/>
              </w:rPr>
              <w:t>.</w:t>
            </w:r>
            <w:r>
              <w:rPr>
                <w:rFonts w:ascii="宋体" w:eastAsia="宋体" w:hAnsi="宋体" w:cs="宋体" w:hint="eastAsia"/>
                <w:sz w:val="18"/>
                <w:szCs w:val="18"/>
              </w:rPr>
              <w:t>47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3,372,350,945.70</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4)、由于同</w:t>
      </w:r>
      <w:proofErr w:type="gramStart"/>
      <w:r>
        <w:rPr>
          <w:rFonts w:ascii="宋体" w:eastAsia="宋体" w:hAnsi="宋体" w:cs="宋体"/>
          <w:sz w:val="18"/>
          <w:szCs w:val="18"/>
        </w:rPr>
        <w:t>一控制</w:t>
      </w:r>
      <w:proofErr w:type="gramEnd"/>
      <w:r>
        <w:rPr>
          <w:rFonts w:ascii="宋体" w:eastAsia="宋体" w:hAnsi="宋体" w:cs="宋体"/>
          <w:sz w:val="18"/>
          <w:szCs w:val="18"/>
        </w:rPr>
        <w:t>导致的合并范围变更，影响期初未分配利润0.00元。</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334CB7" w:rsidRDefault="002D376B">
      <w:pPr>
        <w:pStyle w:val="3"/>
        <w:spacing w:line="280" w:lineRule="exact"/>
        <w:jc w:val="left"/>
        <w:rPr>
          <w:rFonts w:ascii="宋体" w:hAnsi="宋体" w:cs="宋体"/>
          <w:b/>
          <w:bCs/>
        </w:rPr>
      </w:pPr>
      <w:bookmarkStart w:id="238" w:name="_Toc989126"/>
      <w:r>
        <w:rPr>
          <w:rFonts w:ascii="宋体" w:hAnsi="宋体" w:cs="宋体"/>
          <w:b/>
          <w:bCs/>
        </w:rPr>
        <w:t>34、营业收入和营业成本</w:t>
      </w:r>
      <w:bookmarkEnd w:id="23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1,511,270,816.51</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1,430,567,511.33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1,329,528,619.83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1,245,617,052.99</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41,860,328.85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2,335,374.97</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1,247,952,427.96</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334CB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4CB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1,405,281,485.95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1,405,281,485.95</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码头仓储服务收入</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93,960,612.29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25,286,025.38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93,960,612.29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25,286,025.38</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材料销售收入及其他</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41,860,328.85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41,860,328.85</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1,288,784,528.14</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1,216,890,949.51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1,288,784,528.14</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1,216,890,949.51</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265,956,778.85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255,536,890.67</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265,956,778.85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255,536,890.67</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1,554,741,306.99</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1,472,427,840.18</w:t>
            </w:r>
          </w:p>
        </w:tc>
      </w:tr>
    </w:tbl>
    <w:p w:rsidR="00334CB7" w:rsidRDefault="002D376B" w:rsidP="00056170">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与履约义务相关的信息：</w:t>
      </w:r>
    </w:p>
    <w:p w:rsidR="00C1183B" w:rsidRDefault="002D376B">
      <w:pPr>
        <w:pStyle w:val="a3"/>
        <w:spacing w:before="0" w:beforeAutospacing="0" w:after="0" w:afterAutospacing="0" w:line="400" w:lineRule="atLeast"/>
        <w:ind w:firstLine="360"/>
        <w:jc w:val="both"/>
        <w:divId w:val="141125498"/>
        <w:rPr>
          <w:rFonts w:cs="Times New Roman"/>
          <w:sz w:val="18"/>
          <w:szCs w:val="18"/>
        </w:rPr>
      </w:pPr>
      <w:r>
        <w:rPr>
          <w:rFonts w:cs="Times New Roman" w:hint="eastAsia"/>
          <w:sz w:val="18"/>
          <w:szCs w:val="18"/>
        </w:rPr>
        <w:t>本公司收入主要来源于销售商品和码头仓储服务。销售商品属于在某一时</w:t>
      </w:r>
      <w:proofErr w:type="gramStart"/>
      <w:r>
        <w:rPr>
          <w:rFonts w:cs="Times New Roman" w:hint="eastAsia"/>
          <w:sz w:val="18"/>
          <w:szCs w:val="18"/>
        </w:rPr>
        <w:t>点履行</w:t>
      </w:r>
      <w:proofErr w:type="gramEnd"/>
      <w:r>
        <w:rPr>
          <w:rFonts w:cs="Times New Roman" w:hint="eastAsia"/>
          <w:sz w:val="18"/>
          <w:szCs w:val="18"/>
        </w:rPr>
        <w:t>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AC0250" w:rsidRDefault="00AC0250">
      <w:pPr>
        <w:pStyle w:val="a3"/>
        <w:spacing w:before="0" w:beforeAutospacing="0" w:after="0" w:afterAutospacing="0" w:line="400" w:lineRule="atLeast"/>
        <w:ind w:firstLine="360"/>
        <w:jc w:val="both"/>
        <w:divId w:val="141125498"/>
        <w:rPr>
          <w:rFonts w:ascii="Times New Roman" w:hAnsi="Times New Roman" w:cs="Times New Roman"/>
          <w:sz w:val="21"/>
          <w:szCs w:val="21"/>
        </w:rPr>
      </w:pPr>
    </w:p>
    <w:p w:rsidR="00334CB7" w:rsidRPr="00AC0250" w:rsidRDefault="002D376B" w:rsidP="00AC0250">
      <w:pPr>
        <w:pStyle w:val="a3"/>
        <w:spacing w:before="0" w:beforeAutospacing="0" w:after="0" w:afterAutospacing="0" w:line="400" w:lineRule="atLeast"/>
        <w:ind w:firstLine="360"/>
        <w:jc w:val="both"/>
        <w:rPr>
          <w:rFonts w:cs="Times New Roman"/>
          <w:sz w:val="18"/>
          <w:szCs w:val="18"/>
        </w:rPr>
      </w:pPr>
      <w:r w:rsidRPr="00AC0250">
        <w:rPr>
          <w:rFonts w:cs="Times New Roman"/>
          <w:sz w:val="18"/>
          <w:szCs w:val="18"/>
        </w:rPr>
        <w:t>与分摊至剩余履约义务的交易价格相关的信息：</w:t>
      </w:r>
    </w:p>
    <w:p w:rsidR="00334CB7" w:rsidRDefault="002D376B" w:rsidP="00AC0250">
      <w:pPr>
        <w:pStyle w:val="a3"/>
        <w:spacing w:before="0" w:beforeAutospacing="0" w:after="0" w:afterAutospacing="0" w:line="400" w:lineRule="atLeast"/>
        <w:ind w:firstLine="360"/>
        <w:jc w:val="both"/>
        <w:rPr>
          <w:rFonts w:cs="Times New Roman"/>
          <w:sz w:val="18"/>
          <w:szCs w:val="18"/>
        </w:rPr>
      </w:pPr>
      <w:r w:rsidRPr="00AC0250">
        <w:rPr>
          <w:rFonts w:cs="Times New Roman"/>
          <w:sz w:val="18"/>
          <w:szCs w:val="18"/>
        </w:rPr>
        <w:t>本报告</w:t>
      </w:r>
      <w:proofErr w:type="gramStart"/>
      <w:r w:rsidRPr="00AC0250">
        <w:rPr>
          <w:rFonts w:cs="Times New Roman"/>
          <w:sz w:val="18"/>
          <w:szCs w:val="18"/>
        </w:rPr>
        <w:t>期末已</w:t>
      </w:r>
      <w:proofErr w:type="gramEnd"/>
      <w:r w:rsidRPr="00AC0250">
        <w:rPr>
          <w:rFonts w:cs="Times New Roman"/>
          <w:sz w:val="18"/>
          <w:szCs w:val="18"/>
        </w:rPr>
        <w:t>签订合同、但尚未履行或尚未履行完毕的履约义务所对应的收入金额为186,513,823.26元，其中，186,513,823.26元预计将于2024年</w:t>
      </w:r>
      <w:r w:rsidR="00AC0250" w:rsidRPr="00AC0250">
        <w:rPr>
          <w:rFonts w:cs="Times New Roman"/>
          <w:sz w:val="18"/>
          <w:szCs w:val="18"/>
        </w:rPr>
        <w:t>下半年</w:t>
      </w:r>
      <w:r w:rsidRPr="00AC0250">
        <w:rPr>
          <w:rFonts w:cs="Times New Roman"/>
          <w:sz w:val="18"/>
          <w:szCs w:val="18"/>
        </w:rPr>
        <w:t>度确认收入。</w:t>
      </w:r>
    </w:p>
    <w:p w:rsidR="00A20100" w:rsidRDefault="00A20100" w:rsidP="00AC0250">
      <w:pPr>
        <w:pStyle w:val="a3"/>
        <w:spacing w:before="0" w:beforeAutospacing="0" w:after="0" w:afterAutospacing="0" w:line="400" w:lineRule="atLeast"/>
        <w:ind w:firstLine="360"/>
        <w:jc w:val="both"/>
        <w:rPr>
          <w:rFonts w:cs="Times New Roman"/>
          <w:sz w:val="18"/>
          <w:szCs w:val="18"/>
        </w:rPr>
      </w:pPr>
    </w:p>
    <w:p w:rsidR="00C1183B" w:rsidRDefault="002D376B">
      <w:pPr>
        <w:pStyle w:val="a3"/>
        <w:spacing w:before="0" w:beforeAutospacing="0" w:after="0" w:afterAutospacing="0" w:line="400" w:lineRule="atLeast"/>
        <w:ind w:firstLine="360"/>
        <w:jc w:val="both"/>
        <w:divId w:val="1923684026"/>
        <w:rPr>
          <w:rFonts w:ascii="Times New Roman" w:hAnsi="Times New Roman" w:cs="Times New Roman"/>
          <w:sz w:val="21"/>
          <w:szCs w:val="21"/>
        </w:rPr>
      </w:pPr>
      <w:r>
        <w:rPr>
          <w:rFonts w:cs="Times New Roman" w:hint="eastAsia"/>
          <w:sz w:val="18"/>
          <w:szCs w:val="18"/>
        </w:rPr>
        <w:t>前五名客户的营业收入情况：</w:t>
      </w:r>
      <w:r w:rsidR="00D02722">
        <w:rPr>
          <w:rFonts w:cs="Times New Roman" w:hint="eastAsia"/>
          <w:sz w:val="18"/>
          <w:szCs w:val="18"/>
        </w:rPr>
        <w:t xml:space="preserve">                                                                  单位：元</w:t>
      </w:r>
    </w:p>
    <w:tbl>
      <w:tblPr>
        <w:tblW w:w="4914" w:type="pct"/>
        <w:tblCellMar>
          <w:left w:w="0" w:type="dxa"/>
          <w:right w:w="0" w:type="dxa"/>
        </w:tblCellMar>
        <w:tblLook w:val="04A0" w:firstRow="1" w:lastRow="0" w:firstColumn="1" w:lastColumn="0" w:noHBand="0" w:noVBand="1"/>
      </w:tblPr>
      <w:tblGrid>
        <w:gridCol w:w="3959"/>
        <w:gridCol w:w="2705"/>
        <w:gridCol w:w="2862"/>
      </w:tblGrid>
      <w:tr w:rsidR="00C1183B" w:rsidTr="00D02722">
        <w:trPr>
          <w:divId w:val="1923684026"/>
          <w:trHeight w:val="360"/>
          <w:tblHeader/>
        </w:trPr>
        <w:tc>
          <w:tcPr>
            <w:tcW w:w="207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42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0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上年同期金额</w:t>
            </w:r>
          </w:p>
        </w:tc>
      </w:tr>
      <w:tr w:rsidR="00C1183B" w:rsidTr="00D02722">
        <w:trPr>
          <w:divId w:val="1923684026"/>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销售前五名客户收入总额</w:t>
            </w:r>
          </w:p>
        </w:tc>
        <w:tc>
          <w:tcPr>
            <w:tcW w:w="1420" w:type="pct"/>
            <w:tcBorders>
              <w:top w:val="nil"/>
              <w:left w:val="nil"/>
              <w:bottom w:val="single" w:sz="8" w:space="0" w:color="auto"/>
              <w:right w:val="single" w:sz="8" w:space="0" w:color="auto"/>
            </w:tcBorders>
            <w:noWrap/>
            <w:tcMar>
              <w:top w:w="0" w:type="dxa"/>
              <w:left w:w="28" w:type="dxa"/>
              <w:bottom w:w="0" w:type="dxa"/>
              <w:right w:w="2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506,026,372.22</w:t>
            </w:r>
          </w:p>
        </w:tc>
        <w:tc>
          <w:tcPr>
            <w:tcW w:w="1502" w:type="pct"/>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396,454,282.92</w:t>
            </w:r>
          </w:p>
        </w:tc>
      </w:tr>
      <w:tr w:rsidR="00C1183B" w:rsidTr="00D02722">
        <w:trPr>
          <w:divId w:val="1923684026"/>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占营业收入总额的比例</w:t>
            </w:r>
          </w:p>
        </w:tc>
        <w:tc>
          <w:tcPr>
            <w:tcW w:w="142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32.55%</w:t>
            </w:r>
          </w:p>
        </w:tc>
        <w:tc>
          <w:tcPr>
            <w:tcW w:w="150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29.72%</w:t>
            </w:r>
          </w:p>
        </w:tc>
      </w:tr>
    </w:tbl>
    <w:p w:rsidR="00334CB7" w:rsidRDefault="002D376B">
      <w:pPr>
        <w:pStyle w:val="3"/>
        <w:spacing w:line="280" w:lineRule="exact"/>
        <w:jc w:val="left"/>
        <w:rPr>
          <w:rFonts w:ascii="宋体" w:hAnsi="宋体" w:cs="宋体"/>
          <w:b/>
          <w:bCs/>
        </w:rPr>
      </w:pPr>
      <w:bookmarkStart w:id="239" w:name="_Toc989127"/>
      <w:r>
        <w:rPr>
          <w:rFonts w:ascii="宋体" w:hAnsi="宋体" w:cs="宋体"/>
          <w:b/>
          <w:bCs/>
        </w:rPr>
        <w:t>35、税金及附加</w:t>
      </w:r>
      <w:bookmarkEnd w:id="23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428,954.15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833,971.94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340,979.76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763,198.11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1,268,071.52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1,203,029.58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470,641.60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256,090.00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6,540.00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5,820.00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1,448,955.92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1,019,347.70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15,765.59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16,694.86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3,979,908.54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4,098,152.19</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C1183B" w:rsidRDefault="002D376B" w:rsidP="00AC0250">
      <w:pPr>
        <w:pStyle w:val="a3"/>
        <w:ind w:firstLineChars="200" w:firstLine="360"/>
        <w:divId w:val="1021130489"/>
        <w:rPr>
          <w:sz w:val="18"/>
          <w:szCs w:val="18"/>
        </w:rPr>
      </w:pPr>
      <w:r>
        <w:rPr>
          <w:rFonts w:hint="eastAsia"/>
          <w:sz w:val="18"/>
          <w:szCs w:val="18"/>
        </w:rPr>
        <w:t>各项税金及附加的计缴标准详见附注六</w:t>
      </w:r>
      <w:r>
        <w:rPr>
          <w:rFonts w:ascii="Times New Roman" w:hAnsi="Times New Roman" w:cs="Times New Roman"/>
          <w:sz w:val="21"/>
          <w:szCs w:val="21"/>
        </w:rPr>
        <w:t> </w:t>
      </w:r>
      <w:r>
        <w:rPr>
          <w:rFonts w:hint="eastAsia"/>
          <w:sz w:val="18"/>
          <w:szCs w:val="18"/>
        </w:rPr>
        <w:t>、税项。</w:t>
      </w:r>
    </w:p>
    <w:p w:rsidR="00334CB7" w:rsidRDefault="002D376B">
      <w:pPr>
        <w:pStyle w:val="3"/>
        <w:spacing w:line="280" w:lineRule="exact"/>
        <w:jc w:val="left"/>
        <w:rPr>
          <w:rFonts w:ascii="宋体" w:hAnsi="宋体" w:cs="宋体"/>
          <w:b/>
          <w:bCs/>
        </w:rPr>
      </w:pPr>
      <w:bookmarkStart w:id="240" w:name="_Toc989128"/>
      <w:r>
        <w:rPr>
          <w:rFonts w:ascii="宋体" w:hAnsi="宋体" w:cs="宋体"/>
          <w:b/>
          <w:bCs/>
        </w:rPr>
        <w:t>36、管理费用</w:t>
      </w:r>
      <w:bookmarkEnd w:id="24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10,755,485.25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9,399,220.29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1,282,647.52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1,271,312.57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3,054,385.17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3,173,926.43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3,769,184.21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4,421,242.39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949,747.55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711,523.14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1,684,748.10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1,377,174.51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420,225.65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672,651.36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装修费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11,203.54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车辆费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363,098.93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492,321.87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财产保险费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995,156.12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568,472.77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58,773.59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58,411.51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诉讼费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272,557.44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477,856.25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2,740,378.64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1,368,859.65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26,346,388.17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24,004,176.28</w:t>
            </w:r>
          </w:p>
        </w:tc>
      </w:tr>
    </w:tbl>
    <w:p w:rsidR="00334CB7" w:rsidRDefault="002D376B">
      <w:pPr>
        <w:pStyle w:val="3"/>
        <w:spacing w:line="280" w:lineRule="exact"/>
        <w:jc w:val="left"/>
        <w:rPr>
          <w:rFonts w:ascii="宋体" w:hAnsi="宋体" w:cs="宋体"/>
          <w:b/>
          <w:bCs/>
        </w:rPr>
      </w:pPr>
      <w:bookmarkStart w:id="241" w:name="_Toc989129"/>
      <w:r>
        <w:rPr>
          <w:rFonts w:ascii="宋体" w:hAnsi="宋体" w:cs="宋体"/>
          <w:b/>
          <w:bCs/>
        </w:rPr>
        <w:t>37、销售费用</w:t>
      </w:r>
      <w:bookmarkEnd w:id="241"/>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销售业务费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2,939,250.56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1,268,167.27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380,304.74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100,772.98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广告费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335,036.00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24,109.46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18,136.24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4,188,700.76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1,897,076.49</w:t>
            </w:r>
          </w:p>
        </w:tc>
      </w:tr>
    </w:tbl>
    <w:p w:rsidR="00334CB7" w:rsidRDefault="002D376B">
      <w:pPr>
        <w:pStyle w:val="3"/>
        <w:spacing w:line="280" w:lineRule="exact"/>
        <w:jc w:val="left"/>
        <w:rPr>
          <w:rFonts w:ascii="宋体" w:hAnsi="宋体" w:cs="宋体"/>
          <w:b/>
          <w:bCs/>
        </w:rPr>
      </w:pPr>
      <w:bookmarkStart w:id="242" w:name="_Toc989130"/>
      <w:r>
        <w:rPr>
          <w:rFonts w:ascii="宋体" w:hAnsi="宋体" w:cs="宋体"/>
          <w:b/>
          <w:bCs/>
        </w:rPr>
        <w:t>38、研发费用</w:t>
      </w:r>
      <w:bookmarkEnd w:id="242"/>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3,164,901.96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3,390,000.00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1,054,112.02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1,121,337.97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261,522.04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334,239.54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62,405.94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47,260.84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4,542,941.96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4,892,838.35</w:t>
            </w:r>
          </w:p>
        </w:tc>
      </w:tr>
    </w:tbl>
    <w:p w:rsidR="00334CB7" w:rsidRDefault="002D376B">
      <w:pPr>
        <w:pStyle w:val="3"/>
        <w:spacing w:line="280" w:lineRule="exact"/>
        <w:jc w:val="left"/>
        <w:rPr>
          <w:rFonts w:ascii="宋体" w:hAnsi="宋体" w:cs="宋体"/>
          <w:b/>
          <w:bCs/>
        </w:rPr>
      </w:pPr>
      <w:bookmarkStart w:id="243" w:name="_Toc989131"/>
      <w:r>
        <w:rPr>
          <w:rFonts w:ascii="宋体" w:hAnsi="宋体" w:cs="宋体"/>
          <w:b/>
          <w:bCs/>
        </w:rPr>
        <w:t>39、财务费用</w:t>
      </w:r>
      <w:bookmarkEnd w:id="24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16,724,463.34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18,706,193.02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其中：银行等金融机构借款利息</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16,724,463.34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18,706,193.02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3,060,113.68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3,937,658.03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-4,750,463.77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-8,185,855.70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金融机构手续费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2,763,406.60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1,438,430.95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11,677,292.49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8,021,110.24</w:t>
            </w:r>
          </w:p>
        </w:tc>
      </w:tr>
    </w:tbl>
    <w:p w:rsidR="00334CB7" w:rsidRDefault="002D376B">
      <w:pPr>
        <w:pStyle w:val="3"/>
        <w:spacing w:line="280" w:lineRule="exact"/>
        <w:jc w:val="left"/>
        <w:rPr>
          <w:rFonts w:ascii="宋体" w:hAnsi="宋体" w:cs="宋体"/>
          <w:b/>
          <w:bCs/>
        </w:rPr>
      </w:pPr>
      <w:bookmarkStart w:id="244" w:name="_Toc989132"/>
      <w:r>
        <w:rPr>
          <w:rFonts w:ascii="宋体" w:hAnsi="宋体" w:cs="宋体"/>
          <w:b/>
          <w:bCs/>
        </w:rPr>
        <w:t>40、其他收益</w:t>
      </w:r>
      <w:bookmarkEnd w:id="24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政府补助</w:t>
            </w:r>
            <w:r w:rsidR="00EA356A">
              <w:rPr>
                <w:rFonts w:ascii="宋体" w:eastAsia="宋体" w:hAnsi="宋体" w:cs="宋体"/>
                <w:sz w:val="18"/>
                <w:szCs w:val="18"/>
              </w:rPr>
              <w:t>（注）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394,500.00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1,534,000.00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代扣个人所得税手续费返还</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95,471.06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44,677.89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增值税加计抵减</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60,500.86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489,971.06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1,639,178.75</w:t>
            </w:r>
          </w:p>
        </w:tc>
      </w:tr>
    </w:tbl>
    <w:p w:rsidR="00AC0250" w:rsidRPr="007A150C" w:rsidRDefault="00AC0250" w:rsidP="00AC0250">
      <w:pPr>
        <w:spacing w:line="400" w:lineRule="exact"/>
        <w:ind w:firstLineChars="200" w:firstLine="360"/>
        <w:rPr>
          <w:rFonts w:asciiTheme="minorEastAsia" w:hAnsiTheme="minorEastAsia" w:cs="Arial"/>
          <w:bCs/>
          <w:sz w:val="18"/>
          <w:szCs w:val="18"/>
        </w:rPr>
      </w:pPr>
      <w:bookmarkStart w:id="245" w:name="_Toc989133"/>
      <w:r>
        <w:rPr>
          <w:rFonts w:asciiTheme="minorEastAsia" w:hAnsiTheme="minorEastAsia" w:cs="Arial" w:hint="eastAsia"/>
          <w:bCs/>
          <w:sz w:val="18"/>
          <w:szCs w:val="18"/>
        </w:rPr>
        <w:t>注：</w:t>
      </w:r>
      <w:r w:rsidR="002B3F2A">
        <w:rPr>
          <w:rFonts w:asciiTheme="minorEastAsia" w:hAnsiTheme="minorEastAsia" w:cs="Arial" w:hint="eastAsia"/>
          <w:bCs/>
          <w:sz w:val="18"/>
          <w:szCs w:val="18"/>
        </w:rPr>
        <w:t>政府补</w:t>
      </w:r>
      <w:r>
        <w:rPr>
          <w:rFonts w:asciiTheme="minorEastAsia" w:hAnsiTheme="minorEastAsia" w:cs="Arial" w:hint="eastAsia"/>
          <w:bCs/>
          <w:sz w:val="18"/>
          <w:szCs w:val="18"/>
        </w:rPr>
        <w:t>助</w:t>
      </w:r>
      <w:r w:rsidR="00D45E24">
        <w:rPr>
          <w:rFonts w:asciiTheme="minorEastAsia" w:hAnsiTheme="minorEastAsia" w:cs="Arial" w:hint="eastAsia"/>
          <w:bCs/>
          <w:sz w:val="18"/>
          <w:szCs w:val="18"/>
        </w:rPr>
        <w:t>明细</w:t>
      </w:r>
      <w:r>
        <w:rPr>
          <w:rFonts w:asciiTheme="minorEastAsia" w:hAnsiTheme="minorEastAsia" w:cs="Arial" w:hint="eastAsia"/>
          <w:bCs/>
          <w:sz w:val="18"/>
          <w:szCs w:val="18"/>
        </w:rPr>
        <w:t>详见附注十</w:t>
      </w:r>
      <w:r w:rsidRPr="007A150C">
        <w:rPr>
          <w:rFonts w:asciiTheme="minorEastAsia" w:hAnsiTheme="minorEastAsia" w:cs="Arial" w:hint="eastAsia"/>
          <w:bCs/>
          <w:sz w:val="18"/>
          <w:szCs w:val="18"/>
        </w:rPr>
        <w:t>。</w:t>
      </w:r>
    </w:p>
    <w:p w:rsidR="00334CB7" w:rsidRDefault="002D376B">
      <w:pPr>
        <w:pStyle w:val="3"/>
        <w:spacing w:line="280" w:lineRule="exact"/>
        <w:jc w:val="left"/>
        <w:rPr>
          <w:rFonts w:ascii="宋体" w:hAnsi="宋体" w:cs="宋体"/>
          <w:b/>
          <w:bCs/>
        </w:rPr>
      </w:pPr>
      <w:r>
        <w:rPr>
          <w:rFonts w:ascii="宋体" w:hAnsi="宋体" w:cs="宋体"/>
          <w:b/>
          <w:bCs/>
        </w:rPr>
        <w:t>41、公允价值变动收益</w:t>
      </w:r>
      <w:bookmarkEnd w:id="24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-6,155,311.91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10,834,577.04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-4,086,365.56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-6,155,311.91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6,748,211.48</w:t>
            </w:r>
          </w:p>
        </w:tc>
      </w:tr>
    </w:tbl>
    <w:p w:rsidR="00334CB7" w:rsidRDefault="002D376B">
      <w:pPr>
        <w:pStyle w:val="3"/>
        <w:spacing w:line="280" w:lineRule="exact"/>
        <w:jc w:val="left"/>
        <w:rPr>
          <w:rFonts w:ascii="宋体" w:hAnsi="宋体" w:cs="宋体"/>
          <w:b/>
          <w:bCs/>
        </w:rPr>
      </w:pPr>
      <w:bookmarkStart w:id="246" w:name="_Toc989134"/>
      <w:r>
        <w:rPr>
          <w:rFonts w:ascii="宋体" w:hAnsi="宋体" w:cs="宋体"/>
          <w:b/>
          <w:bCs/>
        </w:rPr>
        <w:t>42、投资收益</w:t>
      </w:r>
      <w:bookmarkEnd w:id="24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37,145,443.93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-4,810,851.14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6,828,573.60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22,473,272.15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15,459,166.90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66,447,289.68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10,648,315.76</w:t>
            </w:r>
          </w:p>
        </w:tc>
      </w:tr>
    </w:tbl>
    <w:p w:rsidR="00334CB7" w:rsidRDefault="002D376B">
      <w:pPr>
        <w:pStyle w:val="3"/>
        <w:spacing w:line="280" w:lineRule="exact"/>
        <w:jc w:val="left"/>
        <w:rPr>
          <w:rFonts w:ascii="宋体" w:hAnsi="宋体" w:cs="宋体"/>
          <w:b/>
          <w:bCs/>
        </w:rPr>
      </w:pPr>
      <w:bookmarkStart w:id="247" w:name="_Toc989135"/>
      <w:r>
        <w:rPr>
          <w:rFonts w:ascii="宋体" w:hAnsi="宋体" w:cs="宋体"/>
          <w:b/>
          <w:bCs/>
        </w:rPr>
        <w:t>43、信用减值损失</w:t>
      </w:r>
      <w:bookmarkEnd w:id="24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-3,035,326.54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-62,599.49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-345,072.73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-821,082.05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-3,380,399.27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-883,681.54</w:t>
            </w:r>
          </w:p>
        </w:tc>
      </w:tr>
    </w:tbl>
    <w:p w:rsidR="00334CB7" w:rsidRDefault="002D376B">
      <w:pPr>
        <w:pStyle w:val="3"/>
        <w:spacing w:line="280" w:lineRule="exact"/>
        <w:jc w:val="left"/>
        <w:rPr>
          <w:rFonts w:ascii="宋体" w:hAnsi="宋体" w:cs="宋体"/>
          <w:b/>
          <w:bCs/>
        </w:rPr>
      </w:pPr>
      <w:bookmarkStart w:id="248" w:name="_Toc989136"/>
      <w:r>
        <w:rPr>
          <w:rFonts w:ascii="宋体" w:hAnsi="宋体" w:cs="宋体"/>
          <w:b/>
          <w:bCs/>
        </w:rPr>
        <w:t>44、资产减值损失</w:t>
      </w:r>
      <w:bookmarkEnd w:id="24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-2,974,212.01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-459,850.69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二、长期股权投资减值损失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三、投资性房地产减值损失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五、工程物资减值损失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六、在建工程减值损失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七、生产性生物资产减值损失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八、油气资产减值损失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九、无形资产减值损失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十、商誉减值损失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十一、合同资产减值损失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十二、其他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-2,974,212.01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-459,850.69</w:t>
            </w:r>
          </w:p>
        </w:tc>
      </w:tr>
    </w:tbl>
    <w:p w:rsidR="00334CB7" w:rsidRDefault="002D376B">
      <w:pPr>
        <w:pStyle w:val="3"/>
        <w:spacing w:line="280" w:lineRule="exact"/>
        <w:jc w:val="left"/>
        <w:rPr>
          <w:rFonts w:ascii="宋体" w:hAnsi="宋体" w:cs="宋体"/>
          <w:b/>
          <w:bCs/>
        </w:rPr>
      </w:pPr>
      <w:bookmarkStart w:id="249" w:name="_Toc989137"/>
      <w:r>
        <w:rPr>
          <w:rFonts w:ascii="宋体" w:hAnsi="宋体" w:cs="宋体"/>
          <w:b/>
          <w:bCs/>
        </w:rPr>
        <w:t>45、营业外收入</w:t>
      </w:r>
      <w:bookmarkEnd w:id="24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非流动资产毁损报废收益</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50,861.96</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50,861.96</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50,861.96</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50,861.96</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补偿金</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30,200.00</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1,412,721.87</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30,200.00</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10,942.34</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34,440.00</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10,942.34</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92,004.30</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1,447,161.87</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92,004.30</w:t>
            </w:r>
          </w:p>
        </w:tc>
      </w:tr>
    </w:tbl>
    <w:p w:rsidR="00334CB7" w:rsidRDefault="002D376B">
      <w:pPr>
        <w:pStyle w:val="3"/>
        <w:spacing w:line="280" w:lineRule="exact"/>
        <w:jc w:val="left"/>
        <w:rPr>
          <w:rFonts w:ascii="宋体" w:hAnsi="宋体" w:cs="宋体"/>
          <w:b/>
          <w:bCs/>
        </w:rPr>
      </w:pPr>
      <w:bookmarkStart w:id="250" w:name="_Toc989138"/>
      <w:r>
        <w:rPr>
          <w:rFonts w:ascii="宋体" w:hAnsi="宋体" w:cs="宋体"/>
          <w:b/>
          <w:bCs/>
        </w:rPr>
        <w:t>46、营业外支出</w:t>
      </w:r>
      <w:bookmarkEnd w:id="25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103,383.53</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255,194.71</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103,383.53</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103,383.53</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255,194.71</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103,383.53</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非常损失</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62,847.85</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62,847.85</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2,900.00</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2,607.38</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2,900.00</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169,131.38</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357,802.09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169,131.38</w:t>
            </w:r>
          </w:p>
        </w:tc>
      </w:tr>
    </w:tbl>
    <w:p w:rsidR="00334CB7" w:rsidRDefault="002D376B">
      <w:pPr>
        <w:pStyle w:val="3"/>
        <w:spacing w:line="280" w:lineRule="exact"/>
        <w:jc w:val="left"/>
        <w:rPr>
          <w:rFonts w:ascii="宋体" w:hAnsi="宋体" w:cs="宋体"/>
          <w:b/>
          <w:bCs/>
        </w:rPr>
      </w:pPr>
      <w:bookmarkStart w:id="251" w:name="_Toc989139"/>
      <w:r>
        <w:rPr>
          <w:rFonts w:ascii="宋体" w:hAnsi="宋体" w:cs="宋体"/>
          <w:b/>
          <w:bCs/>
        </w:rPr>
        <w:lastRenderedPageBreak/>
        <w:t>47、所得税费用</w:t>
      </w:r>
      <w:bookmarkEnd w:id="251"/>
    </w:p>
    <w:p w:rsidR="00334CB7" w:rsidRDefault="002D376B">
      <w:pPr>
        <w:keepNext/>
        <w:keepLines/>
        <w:spacing w:before="300" w:after="300" w:line="280" w:lineRule="exact"/>
        <w:outlineLvl w:val="3"/>
        <w:rPr>
          <w:rFonts w:ascii="宋体" w:eastAsia="宋体" w:hAnsi="宋体" w:cs="宋体"/>
          <w:b/>
          <w:bCs/>
          <w:szCs w:val="21"/>
        </w:rPr>
      </w:pPr>
      <w:bookmarkStart w:id="252" w:name="_Toc989140"/>
      <w:r>
        <w:rPr>
          <w:rFonts w:ascii="宋体" w:eastAsia="宋体" w:hAnsi="宋体" w:cs="宋体"/>
          <w:b/>
          <w:bCs/>
          <w:szCs w:val="21"/>
        </w:rPr>
        <w:t>（1） 所得税费用表</w:t>
      </w:r>
      <w:bookmarkEnd w:id="252"/>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16,389,602.94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25,531,467.07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-9,835,877.22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-8,185,280.53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6,553,725.72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17,346,186.54</w:t>
            </w:r>
          </w:p>
        </w:tc>
      </w:tr>
    </w:tbl>
    <w:p w:rsidR="00334CB7" w:rsidRDefault="002D376B">
      <w:pPr>
        <w:keepNext/>
        <w:keepLines/>
        <w:spacing w:before="300" w:after="300" w:line="280" w:lineRule="exact"/>
        <w:outlineLvl w:val="3"/>
        <w:rPr>
          <w:rFonts w:ascii="宋体" w:eastAsia="宋体" w:hAnsi="宋体" w:cs="宋体"/>
          <w:b/>
          <w:bCs/>
          <w:szCs w:val="21"/>
        </w:rPr>
      </w:pPr>
      <w:bookmarkStart w:id="253" w:name="_Toc989141"/>
      <w:r>
        <w:rPr>
          <w:rFonts w:ascii="宋体" w:eastAsia="宋体" w:hAnsi="宋体" w:cs="宋体"/>
          <w:b/>
          <w:bCs/>
          <w:szCs w:val="21"/>
        </w:rPr>
        <w:t>（2） 会计利润与所得税费用调整过程</w:t>
      </w:r>
      <w:bookmarkEnd w:id="25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85,928,445.36</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21,482,111.34</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-5,538,622.24</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1,529,465.64</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-1,707,143.40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424,212.77</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78,341.99</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研发加计扣除</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-429,622.20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-9,285,018.18</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6,553,725.72</w:t>
            </w:r>
          </w:p>
        </w:tc>
      </w:tr>
    </w:tbl>
    <w:p w:rsidR="00334CB7" w:rsidRDefault="002D376B">
      <w:pPr>
        <w:pStyle w:val="3"/>
        <w:spacing w:line="280" w:lineRule="exact"/>
        <w:jc w:val="left"/>
        <w:rPr>
          <w:rFonts w:ascii="宋体" w:hAnsi="宋体" w:cs="宋体"/>
          <w:b/>
          <w:bCs/>
        </w:rPr>
      </w:pPr>
      <w:bookmarkStart w:id="254" w:name="_Toc989142"/>
      <w:r>
        <w:rPr>
          <w:rFonts w:ascii="宋体" w:hAnsi="宋体" w:cs="宋体"/>
          <w:b/>
          <w:bCs/>
        </w:rPr>
        <w:t>48、现金流量表项目</w:t>
      </w:r>
      <w:bookmarkEnd w:id="254"/>
    </w:p>
    <w:p w:rsidR="00334CB7" w:rsidRDefault="002D376B">
      <w:pPr>
        <w:keepNext/>
        <w:keepLines/>
        <w:spacing w:before="300" w:after="300" w:line="280" w:lineRule="exact"/>
        <w:outlineLvl w:val="3"/>
        <w:rPr>
          <w:rFonts w:ascii="宋体" w:eastAsia="宋体" w:hAnsi="宋体" w:cs="宋体"/>
          <w:b/>
          <w:bCs/>
          <w:szCs w:val="21"/>
        </w:rPr>
      </w:pPr>
      <w:bookmarkStart w:id="255" w:name="_Toc989143"/>
      <w:r>
        <w:rPr>
          <w:rFonts w:ascii="宋体" w:eastAsia="宋体" w:hAnsi="宋体" w:cs="宋体"/>
          <w:b/>
          <w:bCs/>
          <w:szCs w:val="21"/>
        </w:rPr>
        <w:t>（1） 与经营活动有关的现金</w:t>
      </w:r>
      <w:bookmarkEnd w:id="255"/>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收到的利息收入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3,060,113.68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3,937,658.03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收到的其他暂收暂付款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76,800,000.00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收到的政府补助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255,471.06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1,578,677.89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2,044,407.40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2,221,132.29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5,359,992.14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84,537,468.21</w:t>
            </w:r>
          </w:p>
        </w:tc>
      </w:tr>
    </w:tbl>
    <w:p w:rsidR="00C1183B" w:rsidRDefault="00C1183B">
      <w:pPr>
        <w:divId w:val="2086369954"/>
        <w:rPr>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直接支付的期间费用</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19,056,400.22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14,696,719.11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支付的银行手续费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2,763,406.60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1,438,430.95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支付的往来款等</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5,246,466.27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76,866,945.02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65,747.85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295,543.16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27,132,020.94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93,297,638.24</w:t>
            </w:r>
          </w:p>
        </w:tc>
      </w:tr>
    </w:tbl>
    <w:p w:rsidR="00334CB7" w:rsidRDefault="002D376B">
      <w:pPr>
        <w:keepNext/>
        <w:keepLines/>
        <w:spacing w:before="300" w:after="300" w:line="280" w:lineRule="exact"/>
        <w:outlineLvl w:val="3"/>
        <w:rPr>
          <w:rFonts w:ascii="宋体" w:eastAsia="宋体" w:hAnsi="宋体" w:cs="宋体"/>
          <w:b/>
          <w:bCs/>
          <w:szCs w:val="21"/>
        </w:rPr>
      </w:pPr>
      <w:bookmarkStart w:id="256" w:name="_Toc989144"/>
      <w:r>
        <w:rPr>
          <w:rFonts w:ascii="宋体" w:eastAsia="宋体" w:hAnsi="宋体" w:cs="宋体"/>
          <w:b/>
          <w:bCs/>
          <w:szCs w:val="21"/>
        </w:rPr>
        <w:lastRenderedPageBreak/>
        <w:t>（2） 与投资活动有关的现金</w:t>
      </w:r>
      <w:bookmarkEnd w:id="25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收到的重要的与投资活动有关的现金</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交易性金融资产投资收益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15,959,062.44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10,859,035.54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3D246E">
            <w:pPr>
              <w:spacing w:line="240" w:lineRule="exact"/>
              <w:rPr>
                <w:rFonts w:ascii="宋体" w:eastAsia="宋体" w:hAnsi="宋体" w:cs="宋体"/>
                <w:sz w:val="18"/>
                <w:szCs w:val="18"/>
              </w:rPr>
            </w:pPr>
            <w:r w:rsidRPr="003D246E">
              <w:rPr>
                <w:rFonts w:ascii="宋体" w:eastAsia="宋体" w:hAnsi="宋体" w:cs="宋体" w:hint="eastAsia"/>
                <w:sz w:val="18"/>
                <w:szCs w:val="18"/>
              </w:rPr>
              <w:t>权益法核算的长期股权投资单位的现金股利</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62,063,036.43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720,000.00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交易性金融资产收回投资款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114,003,309.05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99,484,960.91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192,025,407.92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111,063,996.45</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支付的重要的与投资活动有关的现金</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59,309,621.61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12,583,645.56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购买交易性金融资产支付的现金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324,669,368.90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85,683,431.04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383,978,990.51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98,267,076.60</w:t>
            </w:r>
          </w:p>
        </w:tc>
      </w:tr>
    </w:tbl>
    <w:p w:rsidR="00334CB7" w:rsidRDefault="002D376B">
      <w:pPr>
        <w:keepNext/>
        <w:keepLines/>
        <w:spacing w:before="300" w:after="300" w:line="280" w:lineRule="exact"/>
        <w:outlineLvl w:val="3"/>
        <w:rPr>
          <w:rFonts w:ascii="宋体" w:eastAsia="宋体" w:hAnsi="宋体" w:cs="宋体"/>
          <w:b/>
          <w:bCs/>
          <w:szCs w:val="21"/>
        </w:rPr>
      </w:pPr>
      <w:bookmarkStart w:id="257" w:name="_Toc989145"/>
      <w:r>
        <w:rPr>
          <w:rFonts w:ascii="宋体" w:eastAsia="宋体" w:hAnsi="宋体" w:cs="宋体"/>
          <w:b/>
          <w:bCs/>
          <w:szCs w:val="21"/>
        </w:rPr>
        <w:t>（3） 与筹资活动有关的现金</w:t>
      </w:r>
      <w:bookmarkEnd w:id="257"/>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199,309.84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121,118,352.00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199,309.84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121,118,352.00</w:t>
            </w:r>
          </w:p>
        </w:tc>
      </w:tr>
    </w:tbl>
    <w:p w:rsidR="00C1183B" w:rsidRDefault="00C1183B">
      <w:pPr>
        <w:divId w:val="1405103643"/>
        <w:rPr>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筹资活动产生的各项负债变动情况</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258" w:name="_Toc989146"/>
      <w:r>
        <w:rPr>
          <w:rFonts w:ascii="宋体" w:hAnsi="宋体" w:cs="宋体"/>
          <w:b/>
          <w:bCs/>
        </w:rPr>
        <w:t>49、现金流量表补充资料</w:t>
      </w:r>
      <w:bookmarkEnd w:id="258"/>
    </w:p>
    <w:p w:rsidR="00334CB7" w:rsidRDefault="002D376B">
      <w:pPr>
        <w:keepNext/>
        <w:keepLines/>
        <w:spacing w:before="300" w:after="300" w:line="280" w:lineRule="exact"/>
        <w:outlineLvl w:val="3"/>
        <w:rPr>
          <w:rFonts w:ascii="宋体" w:eastAsia="宋体" w:hAnsi="宋体" w:cs="宋体"/>
          <w:b/>
          <w:bCs/>
          <w:szCs w:val="21"/>
        </w:rPr>
      </w:pPr>
      <w:bookmarkStart w:id="259" w:name="_Toc989147"/>
      <w:r>
        <w:rPr>
          <w:rFonts w:ascii="宋体" w:eastAsia="宋体" w:hAnsi="宋体" w:cs="宋体"/>
          <w:b/>
          <w:bCs/>
          <w:szCs w:val="21"/>
        </w:rPr>
        <w:t>（1） 现金流量表补充资料</w:t>
      </w:r>
      <w:bookmarkEnd w:id="25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79,374,719.64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44,377,070.32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2,974,212.01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459,850.69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21,044,244.43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24,786,320.23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389,796.83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389,796.83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255,194.71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52,521.57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6,155,311.91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-6,748,211.48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11,973,999.57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10,520,337.32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-66,447,289.68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-10,648,315.76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-589,024.32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-498,939.25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-9,246,852.90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-7,686,341.28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28,026,193.45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-1,709,899.12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-38,867,346.64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-33,524,789.29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-22,772,779.26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-37,277,235.53</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D13BF2">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3,380,399.27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883,681.54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15,448,105.88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-16,421,480.07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338,250,077.19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456,570,478.55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-172,380,911.73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34,015,928.07</w:t>
            </w:r>
          </w:p>
        </w:tc>
      </w:tr>
    </w:tbl>
    <w:p w:rsidR="00334CB7" w:rsidRDefault="002D376B">
      <w:pPr>
        <w:keepNext/>
        <w:keepLines/>
        <w:spacing w:before="300" w:after="300" w:line="280" w:lineRule="exact"/>
        <w:outlineLvl w:val="3"/>
        <w:rPr>
          <w:rFonts w:ascii="宋体" w:eastAsia="宋体" w:hAnsi="宋体" w:cs="宋体"/>
          <w:b/>
          <w:bCs/>
          <w:szCs w:val="21"/>
        </w:rPr>
      </w:pPr>
      <w:bookmarkStart w:id="260" w:name="_Toc989148"/>
      <w:r>
        <w:rPr>
          <w:rFonts w:ascii="宋体" w:eastAsia="宋体" w:hAnsi="宋体" w:cs="宋体"/>
          <w:b/>
          <w:bCs/>
          <w:szCs w:val="21"/>
        </w:rPr>
        <w:t>（2） 现金和现金等价物的构成</w:t>
      </w:r>
      <w:bookmarkEnd w:id="26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338,250,077.19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510,630,988.92</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321,592,038.37</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6F5C77" w:rsidP="006F5C77">
            <w:pPr>
              <w:spacing w:line="240" w:lineRule="exact"/>
              <w:jc w:val="right"/>
              <w:rPr>
                <w:rFonts w:ascii="宋体" w:eastAsia="宋体" w:hAnsi="宋体" w:cs="宋体"/>
                <w:sz w:val="18"/>
                <w:szCs w:val="18"/>
              </w:rPr>
            </w:pPr>
            <w:r>
              <w:rPr>
                <w:rFonts w:ascii="宋体" w:eastAsia="宋体" w:hAnsi="宋体" w:cs="宋体" w:hint="eastAsia"/>
                <w:sz w:val="18"/>
                <w:szCs w:val="18"/>
              </w:rPr>
              <w:t>427</w:t>
            </w:r>
            <w:r w:rsidR="002D376B">
              <w:rPr>
                <w:rFonts w:ascii="宋体" w:eastAsia="宋体" w:hAnsi="宋体" w:cs="宋体"/>
                <w:sz w:val="18"/>
                <w:szCs w:val="18"/>
              </w:rPr>
              <w:t>,</w:t>
            </w:r>
            <w:r>
              <w:rPr>
                <w:rFonts w:ascii="宋体" w:eastAsia="宋体" w:hAnsi="宋体" w:cs="宋体" w:hint="eastAsia"/>
                <w:sz w:val="18"/>
                <w:szCs w:val="18"/>
              </w:rPr>
              <w:t>765</w:t>
            </w:r>
            <w:r w:rsidR="002D376B">
              <w:rPr>
                <w:rFonts w:ascii="宋体" w:eastAsia="宋体" w:hAnsi="宋体" w:cs="宋体"/>
                <w:sz w:val="18"/>
                <w:szCs w:val="18"/>
              </w:rPr>
              <w:t>,</w:t>
            </w:r>
            <w:r>
              <w:rPr>
                <w:rFonts w:ascii="宋体" w:eastAsia="宋体" w:hAnsi="宋体" w:cs="宋体" w:hint="eastAsia"/>
                <w:sz w:val="18"/>
                <w:szCs w:val="18"/>
              </w:rPr>
              <w:t>657</w:t>
            </w:r>
            <w:r w:rsidR="002D376B">
              <w:rPr>
                <w:rFonts w:ascii="宋体" w:eastAsia="宋体" w:hAnsi="宋体" w:cs="宋体"/>
                <w:sz w:val="18"/>
                <w:szCs w:val="18"/>
              </w:rPr>
              <w:t>.</w:t>
            </w:r>
            <w:r>
              <w:rPr>
                <w:rFonts w:ascii="宋体" w:eastAsia="宋体" w:hAnsi="宋体" w:cs="宋体" w:hint="eastAsia"/>
                <w:sz w:val="18"/>
                <w:szCs w:val="18"/>
              </w:rPr>
              <w:t>20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16,658,038.82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6F5C77" w:rsidP="006F5C77">
            <w:pPr>
              <w:spacing w:line="240" w:lineRule="exact"/>
              <w:jc w:val="right"/>
              <w:rPr>
                <w:rFonts w:ascii="宋体" w:eastAsia="宋体" w:hAnsi="宋体" w:cs="宋体"/>
                <w:sz w:val="18"/>
                <w:szCs w:val="18"/>
              </w:rPr>
            </w:pPr>
            <w:r>
              <w:rPr>
                <w:rFonts w:ascii="宋体" w:eastAsia="宋体" w:hAnsi="宋体" w:cs="宋体" w:hint="eastAsia"/>
                <w:sz w:val="18"/>
                <w:szCs w:val="18"/>
              </w:rPr>
              <w:t>82</w:t>
            </w:r>
            <w:r w:rsidR="002D376B">
              <w:rPr>
                <w:rFonts w:ascii="宋体" w:eastAsia="宋体" w:hAnsi="宋体" w:cs="宋体"/>
                <w:sz w:val="18"/>
                <w:szCs w:val="18"/>
              </w:rPr>
              <w:t>,</w:t>
            </w:r>
            <w:r>
              <w:rPr>
                <w:rFonts w:ascii="宋体" w:eastAsia="宋体" w:hAnsi="宋体" w:cs="宋体" w:hint="eastAsia"/>
                <w:sz w:val="18"/>
                <w:szCs w:val="18"/>
              </w:rPr>
              <w:t>865</w:t>
            </w:r>
            <w:r w:rsidR="002D376B">
              <w:rPr>
                <w:rFonts w:ascii="宋体" w:eastAsia="宋体" w:hAnsi="宋体" w:cs="宋体"/>
                <w:sz w:val="18"/>
                <w:szCs w:val="18"/>
              </w:rPr>
              <w:t>,</w:t>
            </w:r>
            <w:r>
              <w:rPr>
                <w:rFonts w:ascii="宋体" w:eastAsia="宋体" w:hAnsi="宋体" w:cs="宋体" w:hint="eastAsia"/>
                <w:sz w:val="18"/>
                <w:szCs w:val="18"/>
              </w:rPr>
              <w:t>331</w:t>
            </w:r>
            <w:r w:rsidR="002D376B">
              <w:rPr>
                <w:rFonts w:ascii="宋体" w:eastAsia="宋体" w:hAnsi="宋体" w:cs="宋体"/>
                <w:sz w:val="18"/>
                <w:szCs w:val="18"/>
              </w:rPr>
              <w:t>.</w:t>
            </w:r>
            <w:r>
              <w:rPr>
                <w:rFonts w:ascii="宋体" w:eastAsia="宋体" w:hAnsi="宋体" w:cs="宋体" w:hint="eastAsia"/>
                <w:sz w:val="18"/>
                <w:szCs w:val="18"/>
              </w:rPr>
              <w:t>72</w:t>
            </w:r>
          </w:p>
        </w:tc>
      </w:tr>
      <w:tr w:rsidR="00D13BF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3BF2" w:rsidRPr="007A150C" w:rsidRDefault="00D13BF2" w:rsidP="00BD0562">
            <w:pPr>
              <w:widowControl/>
              <w:spacing w:line="400" w:lineRule="exact"/>
              <w:rPr>
                <w:rFonts w:asciiTheme="minorEastAsia" w:hAnsiTheme="minorEastAsia" w:cs="Arial"/>
                <w:b/>
                <w:bCs/>
                <w:kern w:val="0"/>
                <w:sz w:val="18"/>
                <w:szCs w:val="18"/>
              </w:rPr>
            </w:pPr>
            <w:r w:rsidRPr="007A150C">
              <w:rPr>
                <w:rFonts w:asciiTheme="minorEastAsia" w:hAnsiTheme="minorEastAsia" w:cs="Arial"/>
                <w:bCs/>
                <w:kern w:val="0"/>
                <w:sz w:val="18"/>
                <w:szCs w:val="18"/>
              </w:rPr>
              <w:t>二、现金等价物</w:t>
            </w: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p>
        </w:tc>
      </w:tr>
      <w:tr w:rsidR="00D13BF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3BF2" w:rsidRPr="007A150C" w:rsidRDefault="00D13BF2" w:rsidP="00BD0562">
            <w:pPr>
              <w:widowControl/>
              <w:spacing w:line="400" w:lineRule="exact"/>
              <w:rPr>
                <w:rFonts w:asciiTheme="minorEastAsia" w:hAnsiTheme="minorEastAsia" w:cs="Arial"/>
                <w:kern w:val="0"/>
                <w:sz w:val="18"/>
                <w:szCs w:val="18"/>
              </w:rPr>
            </w:pPr>
            <w:r w:rsidRPr="007A150C">
              <w:rPr>
                <w:rFonts w:asciiTheme="minorEastAsia" w:hAnsiTheme="minorEastAsia" w:cs="Arial"/>
                <w:kern w:val="0"/>
                <w:sz w:val="18"/>
                <w:szCs w:val="18"/>
              </w:rPr>
              <w:t>其中：三个月内到期的债券投资</w:t>
            </w: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p>
        </w:tc>
      </w:tr>
      <w:tr w:rsidR="00D13BF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3BF2" w:rsidRDefault="00D13BF2">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r>
              <w:rPr>
                <w:rFonts w:ascii="宋体" w:eastAsia="宋体" w:hAnsi="宋体" w:cs="宋体"/>
                <w:sz w:val="18"/>
                <w:szCs w:val="18"/>
              </w:rPr>
              <w:t>338,250,077.19</w:t>
            </w: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r>
              <w:rPr>
                <w:rFonts w:ascii="宋体" w:eastAsia="宋体" w:hAnsi="宋体" w:cs="宋体"/>
                <w:sz w:val="18"/>
                <w:szCs w:val="18"/>
              </w:rPr>
              <w:t>510,630,988.92</w:t>
            </w:r>
          </w:p>
        </w:tc>
      </w:tr>
      <w:tr w:rsidR="00D13BF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13BF2" w:rsidRDefault="00D13BF2">
            <w:pPr>
              <w:spacing w:before="40" w:after="40" w:line="240" w:lineRule="exact"/>
              <w:rPr>
                <w:rFonts w:ascii="宋体" w:eastAsia="宋体" w:hAnsi="宋体" w:cs="宋体"/>
                <w:sz w:val="18"/>
                <w:szCs w:val="18"/>
              </w:rPr>
            </w:pPr>
            <w:r w:rsidRPr="007A150C">
              <w:rPr>
                <w:rFonts w:asciiTheme="minorEastAsia" w:hAnsiTheme="minorEastAsia" w:cs="Arial"/>
                <w:bCs/>
                <w:kern w:val="0"/>
                <w:sz w:val="18"/>
                <w:szCs w:val="18"/>
              </w:rPr>
              <w:t>其中：母公司或集团内子公司使用受限制的现金和现金等价物</w:t>
            </w: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13BF2" w:rsidRDefault="00D13BF2">
            <w:pPr>
              <w:spacing w:line="240" w:lineRule="exact"/>
              <w:jc w:val="right"/>
              <w:rPr>
                <w:rFonts w:ascii="宋体" w:eastAsia="宋体" w:hAnsi="宋体" w:cs="宋体"/>
                <w:sz w:val="18"/>
                <w:szCs w:val="18"/>
              </w:rPr>
            </w:pPr>
          </w:p>
        </w:tc>
      </w:tr>
    </w:tbl>
    <w:p w:rsidR="00C1183B" w:rsidRPr="00DC5CF8" w:rsidRDefault="002D376B" w:rsidP="00D13BF2">
      <w:pPr>
        <w:keepNext/>
        <w:keepLines/>
        <w:spacing w:before="300" w:after="300" w:line="280" w:lineRule="exact"/>
        <w:outlineLvl w:val="3"/>
        <w:divId w:val="745420699"/>
        <w:rPr>
          <w:rFonts w:ascii="宋体" w:eastAsia="宋体" w:hAnsi="宋体" w:cs="宋体"/>
          <w:bCs/>
          <w:sz w:val="18"/>
          <w:szCs w:val="18"/>
        </w:rPr>
      </w:pPr>
      <w:bookmarkStart w:id="261" w:name="_Toc989149"/>
      <w:r>
        <w:rPr>
          <w:rFonts w:ascii="宋体" w:eastAsia="宋体" w:hAnsi="宋体" w:cs="宋体"/>
          <w:b/>
          <w:bCs/>
          <w:szCs w:val="21"/>
        </w:rPr>
        <w:lastRenderedPageBreak/>
        <w:t>（3）</w:t>
      </w:r>
      <w:bookmarkEnd w:id="261"/>
      <w:r w:rsidRPr="00D13BF2">
        <w:rPr>
          <w:rFonts w:ascii="宋体" w:eastAsia="宋体" w:hAnsi="宋体" w:cs="宋体" w:hint="eastAsia"/>
          <w:b/>
          <w:bCs/>
          <w:szCs w:val="21"/>
        </w:rPr>
        <w:t>分类列示筹资活动产生的各项负债从期初余额到期末余额所发生的变动情况</w:t>
      </w:r>
      <w:r w:rsidR="00DC5CF8">
        <w:rPr>
          <w:rFonts w:ascii="宋体" w:eastAsia="宋体" w:hAnsi="宋体" w:cs="宋体" w:hint="eastAsia"/>
          <w:b/>
          <w:bCs/>
          <w:szCs w:val="21"/>
        </w:rPr>
        <w:t xml:space="preserve">          </w:t>
      </w:r>
      <w:r w:rsidR="00DC5CF8" w:rsidRPr="00DC5CF8">
        <w:rPr>
          <w:rFonts w:ascii="宋体" w:eastAsia="宋体" w:hAnsi="宋体" w:cs="宋体" w:hint="eastAsia"/>
          <w:bCs/>
          <w:sz w:val="18"/>
          <w:szCs w:val="18"/>
        </w:rPr>
        <w:t>单位：元</w:t>
      </w:r>
    </w:p>
    <w:tbl>
      <w:tblPr>
        <w:tblW w:w="9666" w:type="dxa"/>
        <w:jc w:val="center"/>
        <w:tblCellMar>
          <w:left w:w="0" w:type="dxa"/>
          <w:right w:w="0" w:type="dxa"/>
        </w:tblCellMar>
        <w:tblLook w:val="04A0" w:firstRow="1" w:lastRow="0" w:firstColumn="1" w:lastColumn="0" w:noHBand="0" w:noVBand="1"/>
      </w:tblPr>
      <w:tblGrid>
        <w:gridCol w:w="914"/>
        <w:gridCol w:w="1699"/>
        <w:gridCol w:w="1559"/>
        <w:gridCol w:w="1134"/>
        <w:gridCol w:w="1559"/>
        <w:gridCol w:w="1241"/>
        <w:gridCol w:w="1560"/>
      </w:tblGrid>
      <w:tr w:rsidR="00C1183B" w:rsidTr="00DC5CF8">
        <w:trPr>
          <w:divId w:val="745420699"/>
          <w:trHeight w:val="360"/>
          <w:tblHeader/>
          <w:jc w:val="center"/>
        </w:trPr>
        <w:tc>
          <w:tcPr>
            <w:tcW w:w="914" w:type="dxa"/>
            <w:vMerge w:val="restart"/>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69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期初余额</w:t>
            </w:r>
          </w:p>
        </w:tc>
        <w:tc>
          <w:tcPr>
            <w:tcW w:w="2693" w:type="dxa"/>
            <w:gridSpan w:val="2"/>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本期增加</w:t>
            </w:r>
          </w:p>
        </w:tc>
        <w:tc>
          <w:tcPr>
            <w:tcW w:w="2800" w:type="dxa"/>
            <w:gridSpan w:val="2"/>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本期减少</w:t>
            </w:r>
          </w:p>
        </w:tc>
        <w:tc>
          <w:tcPr>
            <w:tcW w:w="1560"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r>
      <w:tr w:rsidR="00C1183B" w:rsidTr="00DC5CF8">
        <w:trPr>
          <w:divId w:val="745420699"/>
          <w:trHeight w:val="36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183B" w:rsidRDefault="00C1183B">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C1183B" w:rsidRDefault="00C1183B">
            <w:pPr>
              <w:rPr>
                <w:rFonts w:ascii="Times New Roman" w:eastAsia="宋体" w:hAnsi="Times New Roman" w:cs="Times New Roman"/>
                <w:szCs w:val="21"/>
              </w:rPr>
            </w:pPr>
          </w:p>
        </w:tc>
        <w:tc>
          <w:tcPr>
            <w:tcW w:w="1559"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现金变动</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非现金变动</w:t>
            </w:r>
          </w:p>
        </w:tc>
        <w:tc>
          <w:tcPr>
            <w:tcW w:w="155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现金变动</w:t>
            </w:r>
          </w:p>
        </w:tc>
        <w:tc>
          <w:tcPr>
            <w:tcW w:w="124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非现金变动</w:t>
            </w:r>
          </w:p>
        </w:tc>
        <w:tc>
          <w:tcPr>
            <w:tcW w:w="1560" w:type="dxa"/>
            <w:vMerge/>
            <w:tcBorders>
              <w:top w:val="single" w:sz="8" w:space="0" w:color="auto"/>
              <w:left w:val="nil"/>
              <w:bottom w:val="single" w:sz="8" w:space="0" w:color="auto"/>
              <w:right w:val="single" w:sz="8" w:space="0" w:color="auto"/>
            </w:tcBorders>
            <w:vAlign w:val="center"/>
            <w:hideMark/>
          </w:tcPr>
          <w:p w:rsidR="00C1183B" w:rsidRDefault="00C1183B">
            <w:pPr>
              <w:rPr>
                <w:rFonts w:ascii="Times New Roman" w:eastAsia="宋体" w:hAnsi="Times New Roman" w:cs="Times New Roman"/>
                <w:szCs w:val="21"/>
              </w:rPr>
            </w:pPr>
          </w:p>
        </w:tc>
      </w:tr>
      <w:tr w:rsidR="00C1183B" w:rsidTr="00DC5CF8">
        <w:trPr>
          <w:divId w:val="745420699"/>
          <w:trHeight w:val="360"/>
          <w:jc w:val="center"/>
        </w:trPr>
        <w:tc>
          <w:tcPr>
            <w:tcW w:w="914"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短期借款</w:t>
            </w:r>
          </w:p>
        </w:tc>
        <w:tc>
          <w:tcPr>
            <w:tcW w:w="16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1,094,175,911.15</w:t>
            </w:r>
          </w:p>
        </w:tc>
        <w:tc>
          <w:tcPr>
            <w:tcW w:w="155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811,117,355.27</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55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814,468,906.68</w:t>
            </w:r>
          </w:p>
        </w:tc>
        <w:tc>
          <w:tcPr>
            <w:tcW w:w="124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115,010.85</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1,090,709,348.89</w:t>
            </w:r>
          </w:p>
        </w:tc>
      </w:tr>
      <w:tr w:rsidR="00C1183B" w:rsidTr="00DC5CF8">
        <w:trPr>
          <w:divId w:val="745420699"/>
          <w:trHeight w:val="360"/>
          <w:jc w:val="center"/>
        </w:trPr>
        <w:tc>
          <w:tcPr>
            <w:tcW w:w="914"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长期借款</w:t>
            </w:r>
          </w:p>
        </w:tc>
        <w:tc>
          <w:tcPr>
            <w:tcW w:w="16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55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20,000,000.00</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55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24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20,000,000.00</w:t>
            </w:r>
          </w:p>
        </w:tc>
      </w:tr>
      <w:tr w:rsidR="00C1183B" w:rsidTr="00DC5CF8">
        <w:trPr>
          <w:divId w:val="745420699"/>
          <w:trHeight w:val="360"/>
          <w:jc w:val="center"/>
        </w:trPr>
        <w:tc>
          <w:tcPr>
            <w:tcW w:w="914"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rsidP="006F5C77">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w:t>
            </w:r>
            <w:r w:rsidR="006F5C77">
              <w:rPr>
                <w:rFonts w:cs="Times New Roman" w:hint="eastAsia"/>
                <w:sz w:val="18"/>
                <w:szCs w:val="18"/>
              </w:rPr>
              <w:t xml:space="preserve"> </w:t>
            </w:r>
            <w:r>
              <w:rPr>
                <w:rFonts w:cs="Times New Roman" w:hint="eastAsia"/>
                <w:sz w:val="18"/>
                <w:szCs w:val="18"/>
              </w:rPr>
              <w:t>计</w:t>
            </w:r>
          </w:p>
        </w:tc>
        <w:tc>
          <w:tcPr>
            <w:tcW w:w="16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1,094,175,911.15</w:t>
            </w:r>
          </w:p>
        </w:tc>
        <w:tc>
          <w:tcPr>
            <w:tcW w:w="155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831,117,355.27</w:t>
            </w:r>
          </w:p>
        </w:tc>
        <w:tc>
          <w:tcPr>
            <w:tcW w:w="113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559"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814,468,906.68</w:t>
            </w:r>
          </w:p>
        </w:tc>
        <w:tc>
          <w:tcPr>
            <w:tcW w:w="124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115,010.85</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1,110,709,348.89</w:t>
            </w:r>
          </w:p>
        </w:tc>
      </w:tr>
    </w:tbl>
    <w:p w:rsidR="00334CB7" w:rsidRDefault="002D376B">
      <w:pPr>
        <w:pStyle w:val="3"/>
        <w:spacing w:line="280" w:lineRule="exact"/>
        <w:jc w:val="left"/>
        <w:rPr>
          <w:rFonts w:ascii="宋体" w:hAnsi="宋体" w:cs="宋体"/>
          <w:b/>
          <w:bCs/>
        </w:rPr>
      </w:pPr>
      <w:bookmarkStart w:id="262" w:name="_Toc989150"/>
      <w:r>
        <w:rPr>
          <w:rFonts w:ascii="宋体" w:hAnsi="宋体" w:cs="宋体"/>
          <w:b/>
          <w:bCs/>
        </w:rPr>
        <w:t>50、外币货币性项目</w:t>
      </w:r>
      <w:bookmarkEnd w:id="262"/>
    </w:p>
    <w:p w:rsidR="00334CB7" w:rsidRDefault="002D376B">
      <w:pPr>
        <w:keepNext/>
        <w:keepLines/>
        <w:spacing w:before="300" w:after="300" w:line="280" w:lineRule="exact"/>
        <w:outlineLvl w:val="3"/>
        <w:rPr>
          <w:rFonts w:ascii="宋体" w:eastAsia="宋体" w:hAnsi="宋体" w:cs="宋体"/>
          <w:b/>
          <w:bCs/>
          <w:szCs w:val="21"/>
        </w:rPr>
      </w:pPr>
      <w:bookmarkStart w:id="263" w:name="_Toc989151"/>
      <w:r>
        <w:rPr>
          <w:rFonts w:ascii="宋体" w:eastAsia="宋体" w:hAnsi="宋体" w:cs="宋体"/>
          <w:b/>
          <w:bCs/>
          <w:szCs w:val="21"/>
        </w:rPr>
        <w:t>（1） 外币货币性项目</w:t>
      </w:r>
      <w:bookmarkEnd w:id="26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24,211,887.14</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2,824,331.47</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rsidP="00D13BF2">
            <w:pPr>
              <w:spacing w:line="240" w:lineRule="exact"/>
              <w:jc w:val="right"/>
              <w:rPr>
                <w:rFonts w:ascii="宋体" w:eastAsia="宋体" w:hAnsi="宋体" w:cs="宋体"/>
                <w:sz w:val="18"/>
                <w:szCs w:val="18"/>
              </w:rPr>
            </w:pPr>
            <w:r>
              <w:rPr>
                <w:rFonts w:ascii="宋体" w:eastAsia="宋体" w:hAnsi="宋体" w:cs="宋体"/>
                <w:sz w:val="18"/>
                <w:szCs w:val="18"/>
              </w:rPr>
              <w:t>7.1268</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20,128,445.52</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532,968.09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rsidP="00D13BF2">
            <w:pPr>
              <w:spacing w:line="240" w:lineRule="exact"/>
              <w:jc w:val="right"/>
              <w:rPr>
                <w:rFonts w:ascii="宋体" w:eastAsia="宋体" w:hAnsi="宋体" w:cs="宋体"/>
                <w:sz w:val="18"/>
                <w:szCs w:val="18"/>
              </w:rPr>
            </w:pPr>
            <w:r>
              <w:rPr>
                <w:rFonts w:ascii="宋体" w:eastAsia="宋体" w:hAnsi="宋体" w:cs="宋体"/>
                <w:sz w:val="18"/>
                <w:szCs w:val="18"/>
              </w:rPr>
              <w:t>7.6617</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4,083,441.62</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13BF2">
            <w:pPr>
              <w:jc w:val="right"/>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128,540,674.31</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18,036,239.87</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rsidP="00D13BF2">
            <w:pPr>
              <w:spacing w:line="240" w:lineRule="exact"/>
              <w:jc w:val="right"/>
              <w:rPr>
                <w:rFonts w:ascii="宋体" w:eastAsia="宋体" w:hAnsi="宋体" w:cs="宋体"/>
                <w:sz w:val="18"/>
                <w:szCs w:val="18"/>
              </w:rPr>
            </w:pPr>
            <w:r>
              <w:rPr>
                <w:rFonts w:ascii="宋体" w:eastAsia="宋体" w:hAnsi="宋体" w:cs="宋体"/>
                <w:sz w:val="18"/>
                <w:szCs w:val="18"/>
              </w:rPr>
              <w:t>7.1268</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128,540,674.31</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rsidP="00D13BF2">
            <w:pPr>
              <w:jc w:val="right"/>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334CB7" w:rsidP="00D13BF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22,686,110.22</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3,183,211.29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rsidP="00D13BF2">
            <w:pPr>
              <w:spacing w:line="240" w:lineRule="exact"/>
              <w:jc w:val="right"/>
              <w:rPr>
                <w:rFonts w:ascii="宋体" w:eastAsia="宋体" w:hAnsi="宋体" w:cs="宋体"/>
                <w:sz w:val="18"/>
                <w:szCs w:val="18"/>
              </w:rPr>
            </w:pPr>
            <w:r>
              <w:rPr>
                <w:rFonts w:ascii="宋体" w:eastAsia="宋体" w:hAnsi="宋体" w:cs="宋体"/>
                <w:sz w:val="18"/>
                <w:szCs w:val="18"/>
              </w:rPr>
              <w:t>7.1268</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22,686,110.22</w:t>
            </w:r>
          </w:p>
        </w:tc>
      </w:tr>
    </w:tbl>
    <w:p w:rsidR="00334CB7" w:rsidRDefault="002D376B">
      <w:pPr>
        <w:pStyle w:val="2"/>
        <w:spacing w:before="300" w:after="300" w:line="320" w:lineRule="exact"/>
        <w:rPr>
          <w:rFonts w:ascii="宋体" w:eastAsia="宋体" w:hAnsi="宋体" w:cs="宋体"/>
          <w:b/>
          <w:bCs/>
          <w:sz w:val="24"/>
          <w:szCs w:val="24"/>
        </w:rPr>
      </w:pPr>
      <w:bookmarkStart w:id="264" w:name="_Toc989152"/>
      <w:r>
        <w:rPr>
          <w:rFonts w:ascii="宋体" w:eastAsia="宋体" w:hAnsi="宋体" w:cs="宋体"/>
          <w:b/>
          <w:bCs/>
          <w:sz w:val="24"/>
          <w:szCs w:val="24"/>
        </w:rPr>
        <w:t>八、研发支出</w:t>
      </w:r>
      <w:bookmarkEnd w:id="26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领用材料</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1,054,112.02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1,121,337.97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3,164,901.96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3,390,000.00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261,522.04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334,239.54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62,405.94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47,260.84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4,542,941.96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4,892,838.35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4,542,941.96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4,892,838.35</w:t>
            </w:r>
          </w:p>
        </w:tc>
      </w:tr>
    </w:tbl>
    <w:p w:rsidR="00334CB7" w:rsidRDefault="002D376B">
      <w:pPr>
        <w:pStyle w:val="2"/>
        <w:spacing w:before="300" w:after="300" w:line="320" w:lineRule="exact"/>
        <w:rPr>
          <w:rFonts w:ascii="宋体" w:eastAsia="宋体" w:hAnsi="宋体" w:cs="宋体"/>
          <w:b/>
          <w:bCs/>
          <w:sz w:val="24"/>
          <w:szCs w:val="24"/>
        </w:rPr>
      </w:pPr>
      <w:bookmarkStart w:id="265" w:name="_Toc989153"/>
      <w:r>
        <w:rPr>
          <w:rFonts w:ascii="宋体" w:eastAsia="宋体" w:hAnsi="宋体" w:cs="宋体"/>
          <w:b/>
          <w:bCs/>
          <w:sz w:val="24"/>
          <w:szCs w:val="24"/>
        </w:rPr>
        <w:lastRenderedPageBreak/>
        <w:t>九、在其他主体中的权益</w:t>
      </w:r>
      <w:bookmarkEnd w:id="265"/>
    </w:p>
    <w:p w:rsidR="00334CB7" w:rsidRDefault="002D376B">
      <w:pPr>
        <w:pStyle w:val="3"/>
        <w:spacing w:line="280" w:lineRule="exact"/>
        <w:jc w:val="left"/>
        <w:rPr>
          <w:rFonts w:ascii="宋体" w:hAnsi="宋体" w:cs="宋体"/>
          <w:b/>
          <w:bCs/>
        </w:rPr>
      </w:pPr>
      <w:bookmarkStart w:id="266" w:name="_Toc989154"/>
      <w:r>
        <w:rPr>
          <w:rFonts w:ascii="宋体" w:hAnsi="宋体" w:cs="宋体"/>
          <w:b/>
          <w:bCs/>
        </w:rPr>
        <w:t>1、在子公司中的权益</w:t>
      </w:r>
      <w:bookmarkEnd w:id="266"/>
    </w:p>
    <w:p w:rsidR="00334CB7" w:rsidRDefault="002D376B">
      <w:pPr>
        <w:keepNext/>
        <w:keepLines/>
        <w:spacing w:before="300" w:after="300" w:line="280" w:lineRule="exact"/>
        <w:outlineLvl w:val="3"/>
        <w:rPr>
          <w:rFonts w:ascii="宋体" w:eastAsia="宋体" w:hAnsi="宋体" w:cs="宋体"/>
          <w:b/>
          <w:bCs/>
          <w:sz w:val="18"/>
          <w:szCs w:val="18"/>
        </w:rPr>
      </w:pPr>
      <w:bookmarkStart w:id="267" w:name="_Toc989155"/>
      <w:r>
        <w:rPr>
          <w:rFonts w:ascii="宋体" w:eastAsia="宋体" w:hAnsi="宋体" w:cs="宋体"/>
          <w:b/>
          <w:bCs/>
          <w:sz w:val="18"/>
          <w:szCs w:val="18"/>
        </w:rPr>
        <w:t>（1） 企业集团的构成</w:t>
      </w:r>
      <w:bookmarkEnd w:id="26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334CB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334CB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204,421,913.00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码头的建设经营、仓储</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334CB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700,000,000.00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股权投资；化纤等销售</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设立</w:t>
            </w:r>
          </w:p>
        </w:tc>
      </w:tr>
      <w:tr w:rsidR="00334CB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新材料的技术开发</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设立</w:t>
            </w:r>
          </w:p>
        </w:tc>
      </w:tr>
      <w:tr w:rsidR="00334CB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产业用纺织制成品的生产与销售</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设立</w:t>
            </w:r>
          </w:p>
        </w:tc>
      </w:tr>
      <w:tr w:rsidR="00334CB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针纺织品及原料销售</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设立</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在子公司的持股比例不同于表决权比例的说明：</w:t>
      </w:r>
    </w:p>
    <w:p w:rsidR="00C1183B" w:rsidRDefault="002D376B">
      <w:pPr>
        <w:pStyle w:val="a3"/>
        <w:divId w:val="1677995264"/>
        <w:rPr>
          <w:sz w:val="18"/>
          <w:szCs w:val="18"/>
        </w:rPr>
      </w:pPr>
      <w:r>
        <w:rPr>
          <w:rFonts w:hint="eastAsia"/>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持有半数或以下表决权但仍控制被投资单位、以及持有半数以上表决权但不控制被投资单位的依据：</w:t>
      </w:r>
    </w:p>
    <w:p w:rsidR="00C1183B" w:rsidRDefault="002D376B">
      <w:pPr>
        <w:pStyle w:val="a3"/>
        <w:divId w:val="1974172935"/>
        <w:rPr>
          <w:sz w:val="18"/>
          <w:szCs w:val="18"/>
        </w:rPr>
      </w:pPr>
      <w:r>
        <w:rPr>
          <w:rFonts w:hint="eastAsia"/>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对于纳入合并范围的重要的结构化主体，控制的依据：</w:t>
      </w:r>
    </w:p>
    <w:p w:rsidR="00C1183B" w:rsidRDefault="002D376B">
      <w:pPr>
        <w:pStyle w:val="a3"/>
        <w:spacing w:before="0" w:beforeAutospacing="0" w:after="0" w:afterAutospacing="0" w:line="400" w:lineRule="atLeast"/>
        <w:ind w:firstLine="360"/>
        <w:jc w:val="both"/>
        <w:divId w:val="1034964423"/>
        <w:rPr>
          <w:rFonts w:cs="Times New Roman"/>
          <w:sz w:val="18"/>
          <w:szCs w:val="18"/>
        </w:rPr>
      </w:pPr>
      <w:r>
        <w:rPr>
          <w:rFonts w:cs="Times New Roman" w:hint="eastAsia"/>
          <w:sz w:val="18"/>
          <w:szCs w:val="18"/>
        </w:rPr>
        <w:t>截至2024年6月30日，纳入公司合并财务报表范围的结构化主体的净资产为人民币99,087.18万元。公司确定是否合并特定结构化主体是基于：对结构化主体所拥有的权力；通过参与结构化主体的相关活动而享有的可变回报；以及有能力运用对结构化主体的权力影响公司回报金额的评估结果。基于上述标准，2024年6月末纳入公司合并报表范围的结构化主体信息如下：</w:t>
      </w:r>
    </w:p>
    <w:tbl>
      <w:tblPr>
        <w:tblW w:w="9424" w:type="dxa"/>
        <w:tblCellMar>
          <w:left w:w="0" w:type="dxa"/>
          <w:right w:w="0" w:type="dxa"/>
        </w:tblCellMar>
        <w:tblLook w:val="04A0" w:firstRow="1" w:lastRow="0" w:firstColumn="1" w:lastColumn="0" w:noHBand="0" w:noVBand="1"/>
      </w:tblPr>
      <w:tblGrid>
        <w:gridCol w:w="2350"/>
        <w:gridCol w:w="1286"/>
        <w:gridCol w:w="1025"/>
        <w:gridCol w:w="1542"/>
        <w:gridCol w:w="1008"/>
        <w:gridCol w:w="889"/>
        <w:gridCol w:w="1324"/>
      </w:tblGrid>
      <w:tr w:rsidR="00C1183B" w:rsidTr="00D13BF2">
        <w:trPr>
          <w:divId w:val="1034964423"/>
          <w:trHeight w:val="384"/>
          <w:tblHeader/>
        </w:trPr>
        <w:tc>
          <w:tcPr>
            <w:tcW w:w="23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结构化主体名称</w:t>
            </w:r>
          </w:p>
        </w:tc>
        <w:tc>
          <w:tcPr>
            <w:tcW w:w="12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主要经营地</w:t>
            </w:r>
          </w:p>
        </w:tc>
        <w:tc>
          <w:tcPr>
            <w:tcW w:w="10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注册地</w:t>
            </w:r>
          </w:p>
        </w:tc>
        <w:tc>
          <w:tcPr>
            <w:tcW w:w="15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业务性质</w:t>
            </w:r>
          </w:p>
        </w:tc>
        <w:tc>
          <w:tcPr>
            <w:tcW w:w="18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Pr="00A20100" w:rsidRDefault="002D376B">
            <w:pPr>
              <w:pStyle w:val="a3"/>
              <w:spacing w:before="0" w:beforeAutospacing="0" w:after="0" w:afterAutospacing="0" w:line="400" w:lineRule="atLeast"/>
              <w:jc w:val="center"/>
              <w:rPr>
                <w:rFonts w:asciiTheme="minorEastAsia" w:eastAsiaTheme="minorEastAsia" w:hAnsiTheme="minorEastAsia"/>
              </w:rPr>
            </w:pPr>
            <w:r w:rsidRPr="00A20100">
              <w:rPr>
                <w:rFonts w:asciiTheme="minorEastAsia" w:eastAsiaTheme="minorEastAsia" w:hAnsiTheme="minorEastAsia" w:hint="eastAsia"/>
                <w:sz w:val="18"/>
                <w:szCs w:val="18"/>
              </w:rPr>
              <w:t>出资比例（</w:t>
            </w:r>
            <w:r w:rsidRPr="00A20100">
              <w:rPr>
                <w:rFonts w:asciiTheme="minorEastAsia" w:eastAsiaTheme="minorEastAsia" w:hAnsiTheme="minorEastAsia" w:cs="Arial"/>
                <w:sz w:val="18"/>
                <w:szCs w:val="18"/>
              </w:rPr>
              <w:t>%</w:t>
            </w:r>
            <w:r w:rsidRPr="00A20100">
              <w:rPr>
                <w:rFonts w:asciiTheme="minorEastAsia" w:eastAsiaTheme="minorEastAsia" w:hAnsiTheme="minorEastAsia" w:hint="eastAsia"/>
                <w:sz w:val="18"/>
                <w:szCs w:val="18"/>
              </w:rPr>
              <w:t>）</w:t>
            </w:r>
          </w:p>
        </w:tc>
        <w:tc>
          <w:tcPr>
            <w:tcW w:w="132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取得方式</w:t>
            </w:r>
          </w:p>
        </w:tc>
      </w:tr>
      <w:tr w:rsidR="00C1183B" w:rsidTr="00D13BF2">
        <w:trPr>
          <w:divId w:val="1034964423"/>
          <w:trHeight w:val="139"/>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183B" w:rsidRDefault="00C1183B">
            <w:pPr>
              <w:rPr>
                <w:rFonts w:ascii="宋体" w:eastAsia="宋体" w:hAnsi="宋体" w:cs="宋体"/>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1183B" w:rsidRDefault="00C1183B">
            <w:pPr>
              <w:rPr>
                <w:rFonts w:ascii="宋体" w:eastAsia="宋体" w:hAnsi="宋体" w:cs="宋体"/>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1183B" w:rsidRDefault="00C1183B">
            <w:pPr>
              <w:rPr>
                <w:rFonts w:ascii="宋体" w:eastAsia="宋体" w:hAnsi="宋体" w:cs="宋体"/>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1183B" w:rsidRDefault="00C1183B">
            <w:pPr>
              <w:rPr>
                <w:rFonts w:ascii="宋体" w:eastAsia="宋体" w:hAnsi="宋体" w:cs="宋体"/>
                <w:sz w:val="24"/>
                <w:szCs w:val="24"/>
              </w:rPr>
            </w:pPr>
          </w:p>
        </w:tc>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直接</w:t>
            </w:r>
          </w:p>
        </w:tc>
        <w:tc>
          <w:tcPr>
            <w:tcW w:w="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间接</w:t>
            </w:r>
          </w:p>
        </w:tc>
        <w:tc>
          <w:tcPr>
            <w:tcW w:w="0" w:type="auto"/>
            <w:vMerge/>
            <w:tcBorders>
              <w:top w:val="single" w:sz="8" w:space="0" w:color="auto"/>
              <w:left w:val="nil"/>
              <w:bottom w:val="single" w:sz="8" w:space="0" w:color="auto"/>
              <w:right w:val="single" w:sz="8" w:space="0" w:color="auto"/>
            </w:tcBorders>
            <w:vAlign w:val="center"/>
            <w:hideMark/>
          </w:tcPr>
          <w:p w:rsidR="00C1183B" w:rsidRDefault="00C1183B">
            <w:pPr>
              <w:rPr>
                <w:rFonts w:ascii="宋体" w:eastAsia="宋体" w:hAnsi="宋体" w:cs="宋体"/>
                <w:sz w:val="24"/>
                <w:szCs w:val="24"/>
              </w:rPr>
            </w:pPr>
          </w:p>
        </w:tc>
      </w:tr>
      <w:tr w:rsidR="00C1183B" w:rsidTr="00D13BF2">
        <w:trPr>
          <w:divId w:val="1034964423"/>
          <w:trHeight w:val="1163"/>
        </w:trPr>
        <w:tc>
          <w:tcPr>
            <w:tcW w:w="2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both"/>
            </w:pPr>
            <w:r>
              <w:rPr>
                <w:rFonts w:hint="eastAsia"/>
                <w:sz w:val="18"/>
                <w:szCs w:val="18"/>
              </w:rPr>
              <w:t>上海启</w:t>
            </w:r>
            <w:proofErr w:type="gramStart"/>
            <w:r>
              <w:rPr>
                <w:rFonts w:hint="eastAsia"/>
                <w:sz w:val="18"/>
                <w:szCs w:val="18"/>
              </w:rPr>
              <w:t>澜</w:t>
            </w:r>
            <w:proofErr w:type="gramEnd"/>
            <w:r>
              <w:rPr>
                <w:rFonts w:hint="eastAsia"/>
                <w:sz w:val="18"/>
                <w:szCs w:val="18"/>
              </w:rPr>
              <w:t>企业管理咨询合伙企业（有限合伙）</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上海市</w:t>
            </w:r>
          </w:p>
        </w:tc>
        <w:tc>
          <w:tcPr>
            <w:tcW w:w="1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上海市</w:t>
            </w:r>
          </w:p>
        </w:tc>
        <w:tc>
          <w:tcPr>
            <w:tcW w:w="1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both"/>
            </w:pPr>
            <w:r>
              <w:rPr>
                <w:rFonts w:hint="eastAsia"/>
                <w:sz w:val="18"/>
                <w:szCs w:val="18"/>
              </w:rPr>
              <w:t>企业管理咨询</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both"/>
            </w:pPr>
            <w:r>
              <w:rPr>
                <w:rFonts w:ascii="Arial" w:hAnsi="Arial" w:cs="Arial"/>
                <w:sz w:val="18"/>
                <w:szCs w:val="18"/>
              </w:rPr>
              <w:t>100.00</w:t>
            </w:r>
          </w:p>
        </w:tc>
        <w:tc>
          <w:tcPr>
            <w:tcW w:w="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both"/>
            </w:pPr>
            <w:r>
              <w:rPr>
                <w:rFonts w:ascii="Arial" w:hAnsi="Arial" w:cs="Arial"/>
                <w:sz w:val="18"/>
                <w:szCs w:val="18"/>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设立</w:t>
            </w:r>
          </w:p>
        </w:tc>
      </w:tr>
    </w:tbl>
    <w:p w:rsidR="00C1183B" w:rsidRDefault="002D376B">
      <w:pPr>
        <w:pStyle w:val="a3"/>
        <w:spacing w:before="0" w:beforeAutospacing="0" w:after="0" w:afterAutospacing="0"/>
        <w:divId w:val="1034964423"/>
        <w:rPr>
          <w:rFonts w:ascii="Calibri" w:hAnsi="Calibri" w:cs="Calibri"/>
          <w:sz w:val="21"/>
          <w:szCs w:val="21"/>
        </w:rPr>
      </w:pPr>
      <w:r>
        <w:rPr>
          <w:rFonts w:cs="Calibri" w:hint="eastAsia"/>
        </w:rPr>
        <w:t> </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确定公司是代理人还是委托人的依据：</w:t>
      </w:r>
    </w:p>
    <w:p w:rsidR="00C1183B" w:rsidRDefault="002D376B">
      <w:pPr>
        <w:pStyle w:val="a3"/>
        <w:divId w:val="1513374107"/>
        <w:rPr>
          <w:sz w:val="18"/>
          <w:szCs w:val="18"/>
        </w:rPr>
      </w:pPr>
      <w:r>
        <w:rPr>
          <w:rFonts w:hint="eastAsia"/>
          <w:sz w:val="18"/>
          <w:szCs w:val="18"/>
        </w:rPr>
        <w:lastRenderedPageBreak/>
        <w:t>不适用。</w:t>
      </w:r>
    </w:p>
    <w:p w:rsidR="00334CB7" w:rsidRDefault="002D376B">
      <w:pPr>
        <w:pStyle w:val="3"/>
        <w:spacing w:line="280" w:lineRule="exact"/>
        <w:jc w:val="left"/>
        <w:rPr>
          <w:rFonts w:ascii="宋体" w:hAnsi="宋体" w:cs="宋体"/>
          <w:b/>
          <w:bCs/>
        </w:rPr>
      </w:pPr>
      <w:bookmarkStart w:id="268" w:name="_Toc989156"/>
      <w:r>
        <w:rPr>
          <w:rFonts w:ascii="宋体" w:hAnsi="宋体" w:cs="宋体"/>
          <w:b/>
          <w:bCs/>
        </w:rPr>
        <w:t>2、在合营安排或联营企业中的权益</w:t>
      </w:r>
      <w:bookmarkEnd w:id="268"/>
    </w:p>
    <w:p w:rsidR="00334CB7" w:rsidRDefault="002D376B">
      <w:pPr>
        <w:keepNext/>
        <w:keepLines/>
        <w:spacing w:before="300" w:after="300" w:line="280" w:lineRule="exact"/>
        <w:outlineLvl w:val="3"/>
        <w:rPr>
          <w:rFonts w:ascii="宋体" w:eastAsia="宋体" w:hAnsi="宋体" w:cs="宋体"/>
          <w:b/>
          <w:bCs/>
          <w:szCs w:val="21"/>
        </w:rPr>
      </w:pPr>
      <w:bookmarkStart w:id="269" w:name="_Toc989157"/>
      <w:r>
        <w:rPr>
          <w:rFonts w:ascii="宋体" w:eastAsia="宋体" w:hAnsi="宋体" w:cs="宋体"/>
          <w:b/>
          <w:bCs/>
          <w:szCs w:val="21"/>
        </w:rPr>
        <w:t>（1） 重要的合营企业或联营企业</w:t>
      </w:r>
      <w:bookmarkEnd w:id="26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矿石开采销售</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权益法</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深圳市</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青岛市</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证券经纪</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11.73%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权益法</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港口拖轮服务等</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14.40%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权益法</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无锡市</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投资与管理</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40.92%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权益法</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Source Photonics Holdings (Cayman)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中国、美国</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27.66%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权益法</w:t>
            </w:r>
          </w:p>
        </w:tc>
      </w:tr>
    </w:tbl>
    <w:p w:rsidR="005D7A2B" w:rsidRDefault="005D7A2B" w:rsidP="005D7A2B">
      <w:pPr>
        <w:pStyle w:val="a3"/>
        <w:rPr>
          <w:sz w:val="18"/>
          <w:szCs w:val="18"/>
        </w:rPr>
      </w:pPr>
      <w:r>
        <w:rPr>
          <w:rFonts w:hint="eastAsia"/>
          <w:sz w:val="18"/>
          <w:szCs w:val="18"/>
        </w:rPr>
        <w:t>注：公司在上述公司董事会均派有代表，对其有重要影响，公司对上述公司长期股权投资采用权益法核算。</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在合营企业或联营企业的持股比例不同于表决权比例的说明：</w:t>
      </w:r>
    </w:p>
    <w:p w:rsidR="00C1183B" w:rsidRDefault="002D376B">
      <w:pPr>
        <w:pStyle w:val="a3"/>
        <w:divId w:val="32966389"/>
        <w:rPr>
          <w:sz w:val="18"/>
          <w:szCs w:val="18"/>
        </w:rPr>
      </w:pPr>
      <w:r>
        <w:rPr>
          <w:rFonts w:hint="eastAsia"/>
          <w:sz w:val="18"/>
          <w:szCs w:val="18"/>
        </w:rPr>
        <w:t>不适用</w:t>
      </w:r>
      <w:r w:rsidR="005D7A2B">
        <w:rPr>
          <w:rFonts w:hint="eastAsia"/>
          <w:sz w:val="18"/>
          <w:szCs w:val="18"/>
        </w:rPr>
        <w:t>。</w:t>
      </w:r>
    </w:p>
    <w:p w:rsidR="00334CB7" w:rsidRDefault="002D376B">
      <w:pPr>
        <w:keepNext/>
        <w:keepLines/>
        <w:spacing w:before="300" w:after="300" w:line="280" w:lineRule="exact"/>
        <w:outlineLvl w:val="3"/>
        <w:rPr>
          <w:rFonts w:ascii="宋体" w:eastAsia="宋体" w:hAnsi="宋体" w:cs="宋体"/>
          <w:b/>
          <w:bCs/>
          <w:szCs w:val="21"/>
        </w:rPr>
      </w:pPr>
      <w:bookmarkStart w:id="270" w:name="_Toc989158"/>
      <w:r>
        <w:rPr>
          <w:rFonts w:ascii="宋体" w:eastAsia="宋体" w:hAnsi="宋体" w:cs="宋体"/>
          <w:b/>
          <w:bCs/>
          <w:szCs w:val="21"/>
        </w:rPr>
        <w:t>（2） 重要联营企业的主要财务信息</w:t>
      </w:r>
      <w:bookmarkEnd w:id="27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Source Photonics Holdings (Cayman)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Source Photonics Holdings (Cayman) Limited</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24,821,067,339.05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497,651,154.88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1,618,084,405.76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20,620,241,865.93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305,833,645.89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1,425,398,250.02</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1,608,606,472.94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5,187,402,890.13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1,069,315,600.14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3,381,583,937.91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5,018,601,261.55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1,102,419,654.59</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26,429,673,811.99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5,685,054,045.01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2,687,400,005.90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24,001,825,803.84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5,324,434,907.44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2,527,817,904.61</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13,903,201,946.90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55,056,826.37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1,619,575,126.64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12,381,623,478.09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119,774,928.00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1,511,396,742.10</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4,751,356,682.23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858,345,061.00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208,951,454.74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3,851,589,205.98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326,192,299.95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207,835,947.55</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18,654,558,629.13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913,401,887.37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1,828,526,581.38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16,233,212,684.07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445,967,227.95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1,719,232,689.65</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少数股东权益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1,242,595,182.15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8,207,919.54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1,249,419,909.70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8,157,129.67</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7,775,115,182.86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3,529,056,975.49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850,665,504.98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7,768,613,119.77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3,629,047,769.79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800,428,085.29</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911,949,703.69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1,444,238,398.32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235,253,744.16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911,187,071.32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1,485,158,767.39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221,361,761.41</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753,231,805.20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753,231,805.20</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D246E">
            <w:pPr>
              <w:spacing w:line="240" w:lineRule="exact"/>
              <w:jc w:val="right"/>
              <w:rPr>
                <w:rFonts w:ascii="宋体" w:eastAsia="宋体" w:hAnsi="宋体" w:cs="宋体"/>
                <w:sz w:val="18"/>
                <w:szCs w:val="18"/>
              </w:rPr>
            </w:pPr>
            <w:r w:rsidRPr="003D246E">
              <w:rPr>
                <w:rFonts w:ascii="宋体" w:eastAsia="宋体" w:hAnsi="宋体" w:cs="宋体" w:hint="eastAsia"/>
                <w:sz w:val="18"/>
                <w:szCs w:val="18"/>
              </w:rPr>
              <w:t>1,263,355,923.99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1,307,047,363.60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988,485,549.36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1,262,593,291.62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974,593,566.61</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394,321,201.76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17,512,922.86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997,557,905.16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218,270,649.62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19,127,296.53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514,630,005.03</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10,439,774.97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74,456,270.96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58,014,354.23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-114,184,652.74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71,196,011.64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-49,706,620.77</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-2,738,692.60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-14,875,820.90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104,790,863.78</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-1,635,705.17</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7,701,082.37</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74,456,270.96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43,138,533.33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-9,393,788.96</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71,196,011.64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-51,342,325.94</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bl>
    <w:p w:rsidR="00C1183B" w:rsidRDefault="002D376B">
      <w:pPr>
        <w:pStyle w:val="a3"/>
        <w:divId w:val="1006246048"/>
        <w:rPr>
          <w:sz w:val="18"/>
          <w:szCs w:val="18"/>
        </w:rPr>
      </w:pPr>
      <w:r>
        <w:rPr>
          <w:rFonts w:hint="eastAsia"/>
          <w:sz w:val="18"/>
          <w:szCs w:val="18"/>
        </w:rPr>
        <w:t xml:space="preserve">  </w:t>
      </w:r>
      <w:r w:rsidR="00647844">
        <w:rPr>
          <w:rFonts w:hint="eastAsia"/>
          <w:sz w:val="18"/>
          <w:szCs w:val="18"/>
        </w:rPr>
        <w:t>注：</w:t>
      </w:r>
      <w:r>
        <w:rPr>
          <w:rFonts w:hint="eastAsia"/>
          <w:sz w:val="18"/>
          <w:szCs w:val="18"/>
        </w:rPr>
        <w:t>考虑Source Photonics Holdings (Cayman) Limited股权架构拆分影响，以上数据为还原后VENUS PEARL SPV2 CO LIMITED的数据。</w:t>
      </w:r>
    </w:p>
    <w:p w:rsidR="00334CB7" w:rsidRDefault="002D376B">
      <w:pPr>
        <w:keepNext/>
        <w:keepLines/>
        <w:spacing w:before="300" w:after="300" w:line="280" w:lineRule="exact"/>
        <w:outlineLvl w:val="3"/>
        <w:rPr>
          <w:rFonts w:ascii="宋体" w:eastAsia="宋体" w:hAnsi="宋体" w:cs="宋体"/>
          <w:b/>
          <w:bCs/>
          <w:szCs w:val="21"/>
        </w:rPr>
      </w:pPr>
      <w:bookmarkStart w:id="271" w:name="_Toc989159"/>
      <w:r>
        <w:rPr>
          <w:rFonts w:ascii="宋体" w:eastAsia="宋体" w:hAnsi="宋体" w:cs="宋体"/>
          <w:b/>
          <w:bCs/>
          <w:szCs w:val="21"/>
        </w:rPr>
        <w:t>（3） 不重要的合营企业和联营企业的汇总财务信息</w:t>
      </w:r>
      <w:bookmarkEnd w:id="271"/>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18,317,386.06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19,442,579.57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-448,393.51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-173,029.64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-448,393.51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-173,029.64</w:t>
            </w:r>
          </w:p>
        </w:tc>
      </w:tr>
    </w:tbl>
    <w:p w:rsidR="00334CB7" w:rsidRDefault="00334CB7">
      <w:pPr>
        <w:spacing w:before="100" w:after="100" w:line="240" w:lineRule="exact"/>
        <w:rPr>
          <w:rFonts w:ascii="宋体" w:eastAsia="宋体" w:hAnsi="宋体" w:cs="宋体"/>
          <w:sz w:val="18"/>
          <w:szCs w:val="18"/>
        </w:rPr>
      </w:pPr>
    </w:p>
    <w:tbl>
      <w:tblPr>
        <w:tblW w:w="9505" w:type="dxa"/>
        <w:jc w:val="center"/>
        <w:tblInd w:w="-265" w:type="dxa"/>
        <w:tblCellMar>
          <w:left w:w="0" w:type="dxa"/>
          <w:right w:w="0" w:type="dxa"/>
        </w:tblCellMar>
        <w:tblLook w:val="04A0" w:firstRow="1" w:lastRow="0" w:firstColumn="1" w:lastColumn="0" w:noHBand="0" w:noVBand="1"/>
      </w:tblPr>
      <w:tblGrid>
        <w:gridCol w:w="4342"/>
        <w:gridCol w:w="2628"/>
        <w:gridCol w:w="2535"/>
      </w:tblGrid>
      <w:tr w:rsidR="00C1183B" w:rsidTr="005D7A2B">
        <w:trPr>
          <w:divId w:val="1532264102"/>
          <w:trHeight w:val="364"/>
          <w:tblHeader/>
          <w:jc w:val="center"/>
        </w:trPr>
        <w:tc>
          <w:tcPr>
            <w:tcW w:w="434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262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期末余额/本期金额</w:t>
            </w:r>
          </w:p>
        </w:tc>
        <w:tc>
          <w:tcPr>
            <w:tcW w:w="25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上年年末余额/上年同期金额</w:t>
            </w:r>
          </w:p>
        </w:tc>
      </w:tr>
      <w:tr w:rsidR="00C1183B" w:rsidTr="005D7A2B">
        <w:trPr>
          <w:divId w:val="1532264102"/>
          <w:trHeight w:val="364"/>
          <w:jc w:val="center"/>
        </w:trPr>
        <w:tc>
          <w:tcPr>
            <w:tcW w:w="434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联营企业：</w:t>
            </w:r>
          </w:p>
        </w:tc>
        <w:tc>
          <w:tcPr>
            <w:tcW w:w="26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25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C1183B" w:rsidTr="005D7A2B">
        <w:trPr>
          <w:divId w:val="1532264102"/>
          <w:trHeight w:val="364"/>
          <w:jc w:val="center"/>
        </w:trPr>
        <w:tc>
          <w:tcPr>
            <w:tcW w:w="434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云南屏边华西村矿业有限公司</w:t>
            </w:r>
          </w:p>
        </w:tc>
        <w:tc>
          <w:tcPr>
            <w:tcW w:w="26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13,987,728.19</w:t>
            </w:r>
          </w:p>
        </w:tc>
        <w:tc>
          <w:tcPr>
            <w:tcW w:w="25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14,449,549.72</w:t>
            </w:r>
          </w:p>
        </w:tc>
      </w:tr>
      <w:tr w:rsidR="00C1183B" w:rsidTr="005D7A2B">
        <w:trPr>
          <w:divId w:val="1532264102"/>
          <w:trHeight w:val="364"/>
          <w:jc w:val="center"/>
        </w:trPr>
        <w:tc>
          <w:tcPr>
            <w:tcW w:w="434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江阴华西船务有限公司</w:t>
            </w:r>
          </w:p>
        </w:tc>
        <w:tc>
          <w:tcPr>
            <w:tcW w:w="26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4,329,657.87</w:t>
            </w:r>
          </w:p>
        </w:tc>
        <w:tc>
          <w:tcPr>
            <w:tcW w:w="25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4,993,029.85</w:t>
            </w:r>
          </w:p>
        </w:tc>
      </w:tr>
      <w:tr w:rsidR="00C1183B" w:rsidTr="005D7A2B">
        <w:trPr>
          <w:divId w:val="1532264102"/>
          <w:trHeight w:val="364"/>
          <w:jc w:val="center"/>
        </w:trPr>
        <w:tc>
          <w:tcPr>
            <w:tcW w:w="434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投资账面价值合计</w:t>
            </w:r>
          </w:p>
        </w:tc>
        <w:tc>
          <w:tcPr>
            <w:tcW w:w="26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18,317,386.06</w:t>
            </w:r>
          </w:p>
        </w:tc>
        <w:tc>
          <w:tcPr>
            <w:tcW w:w="25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19,442,579.57</w:t>
            </w:r>
          </w:p>
        </w:tc>
      </w:tr>
      <w:tr w:rsidR="00C1183B" w:rsidTr="005D7A2B">
        <w:trPr>
          <w:divId w:val="1532264102"/>
          <w:trHeight w:val="364"/>
          <w:jc w:val="center"/>
        </w:trPr>
        <w:tc>
          <w:tcPr>
            <w:tcW w:w="434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下列各项按持股比例计算的合计数</w:t>
            </w:r>
          </w:p>
        </w:tc>
        <w:tc>
          <w:tcPr>
            <w:tcW w:w="26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25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C1183B" w:rsidTr="005D7A2B">
        <w:trPr>
          <w:divId w:val="1532264102"/>
          <w:trHeight w:val="364"/>
          <w:jc w:val="center"/>
        </w:trPr>
        <w:tc>
          <w:tcPr>
            <w:tcW w:w="434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proofErr w:type="gramStart"/>
            <w:r>
              <w:rPr>
                <w:rFonts w:cs="Times New Roman" w:hint="eastAsia"/>
                <w:sz w:val="18"/>
                <w:szCs w:val="18"/>
              </w:rPr>
              <w:t>—净利润</w:t>
            </w:r>
            <w:proofErr w:type="gramEnd"/>
          </w:p>
        </w:tc>
        <w:tc>
          <w:tcPr>
            <w:tcW w:w="26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-448,393.51</w:t>
            </w:r>
          </w:p>
        </w:tc>
        <w:tc>
          <w:tcPr>
            <w:tcW w:w="25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-173,029.64</w:t>
            </w:r>
          </w:p>
        </w:tc>
      </w:tr>
      <w:tr w:rsidR="00C1183B" w:rsidTr="005D7A2B">
        <w:trPr>
          <w:divId w:val="1532264102"/>
          <w:trHeight w:val="364"/>
          <w:jc w:val="center"/>
        </w:trPr>
        <w:tc>
          <w:tcPr>
            <w:tcW w:w="434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proofErr w:type="gramStart"/>
            <w:r>
              <w:rPr>
                <w:rFonts w:cs="Times New Roman" w:hint="eastAsia"/>
                <w:sz w:val="18"/>
                <w:szCs w:val="18"/>
              </w:rPr>
              <w:t>—其他</w:t>
            </w:r>
            <w:proofErr w:type="gramEnd"/>
            <w:r>
              <w:rPr>
                <w:rFonts w:cs="Times New Roman" w:hint="eastAsia"/>
                <w:sz w:val="18"/>
                <w:szCs w:val="18"/>
              </w:rPr>
              <w:t>综合收益</w:t>
            </w:r>
          </w:p>
        </w:tc>
        <w:tc>
          <w:tcPr>
            <w:tcW w:w="262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25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bl>
    <w:p w:rsidR="00334CB7" w:rsidRDefault="002D376B">
      <w:pPr>
        <w:pStyle w:val="2"/>
        <w:spacing w:before="300" w:after="300" w:line="320" w:lineRule="exact"/>
        <w:rPr>
          <w:rFonts w:ascii="宋体" w:eastAsia="宋体" w:hAnsi="宋体" w:cs="宋体"/>
          <w:b/>
          <w:bCs/>
          <w:sz w:val="24"/>
          <w:szCs w:val="24"/>
        </w:rPr>
      </w:pPr>
      <w:bookmarkStart w:id="272" w:name="_Toc989160"/>
      <w:r>
        <w:rPr>
          <w:rFonts w:ascii="宋体" w:eastAsia="宋体" w:hAnsi="宋体" w:cs="宋体"/>
          <w:b/>
          <w:bCs/>
          <w:sz w:val="24"/>
          <w:szCs w:val="24"/>
        </w:rPr>
        <w:t>十、政府补助</w:t>
      </w:r>
      <w:bookmarkEnd w:id="272"/>
    </w:p>
    <w:p w:rsidR="00334CB7" w:rsidRDefault="002D376B">
      <w:pPr>
        <w:pStyle w:val="3"/>
        <w:spacing w:line="280" w:lineRule="exact"/>
        <w:jc w:val="left"/>
        <w:rPr>
          <w:rFonts w:ascii="宋体" w:hAnsi="宋体" w:cs="宋体"/>
          <w:b/>
          <w:bCs/>
        </w:rPr>
      </w:pPr>
      <w:bookmarkStart w:id="273" w:name="_Toc989161"/>
      <w:r>
        <w:rPr>
          <w:rFonts w:ascii="宋体" w:hAnsi="宋体" w:cs="宋体"/>
          <w:b/>
          <w:bCs/>
        </w:rPr>
        <w:t>1、涉及政府补助的负债项目</w:t>
      </w:r>
      <w:bookmarkEnd w:id="273"/>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334CB7" w:rsidTr="005D7A2B">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本期转入其他收益金额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与资产/收益相关</w:t>
            </w:r>
          </w:p>
        </w:tc>
      </w:tr>
      <w:tr w:rsidR="00334CB7" w:rsidTr="005D7A2B">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递延收益</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3,986,500.00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与资产相关</w:t>
            </w:r>
          </w:p>
        </w:tc>
      </w:tr>
      <w:tr w:rsidR="00334CB7" w:rsidTr="005D7A2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334CB7" w:rsidRDefault="002D376B" w:rsidP="00647844">
            <w:pPr>
              <w:spacing w:line="240" w:lineRule="exact"/>
              <w:jc w:val="center"/>
              <w:rPr>
                <w:rFonts w:ascii="宋体" w:eastAsia="宋体" w:hAnsi="宋体" w:cs="宋体"/>
                <w:sz w:val="18"/>
                <w:szCs w:val="18"/>
              </w:rPr>
            </w:pPr>
            <w:r>
              <w:rPr>
                <w:rFonts w:ascii="宋体" w:eastAsia="宋体" w:hAnsi="宋体" w:cs="宋体"/>
                <w:sz w:val="18"/>
                <w:szCs w:val="18"/>
              </w:rPr>
              <w:t>合</w:t>
            </w:r>
            <w:r w:rsidR="00647844">
              <w:rPr>
                <w:rFonts w:ascii="宋体" w:eastAsia="宋体" w:hAnsi="宋体" w:cs="宋体" w:hint="eastAsia"/>
                <w:sz w:val="18"/>
                <w:szCs w:val="18"/>
              </w:rPr>
              <w:t xml:space="preserve"> </w:t>
            </w:r>
            <w:r>
              <w:rPr>
                <w:rFonts w:ascii="宋体" w:eastAsia="宋体" w:hAnsi="宋体" w:cs="宋体"/>
                <w:sz w:val="18"/>
                <w:szCs w:val="18"/>
              </w:rPr>
              <w:t>计</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234,500.00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3,986,500.00</w:t>
            </w:r>
          </w:p>
        </w:tc>
        <w:tc>
          <w:tcPr>
            <w:tcW w:w="1205"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bl>
    <w:p w:rsidR="00CA05B2" w:rsidRDefault="00CA05B2" w:rsidP="005D7A2B">
      <w:pPr>
        <w:tabs>
          <w:tab w:val="left" w:pos="9000"/>
        </w:tabs>
        <w:spacing w:line="400" w:lineRule="exact"/>
        <w:ind w:rightChars="171" w:right="359" w:firstLineChars="200" w:firstLine="360"/>
        <w:rPr>
          <w:rFonts w:asciiTheme="minorEastAsia" w:hAnsiTheme="minorEastAsia" w:cs="Arial"/>
          <w:bCs/>
          <w:sz w:val="18"/>
          <w:szCs w:val="18"/>
        </w:rPr>
      </w:pPr>
      <w:bookmarkStart w:id="274" w:name="_Toc989162"/>
    </w:p>
    <w:p w:rsidR="005D7A2B" w:rsidRPr="007A150C" w:rsidRDefault="005D7A2B" w:rsidP="005D7A2B">
      <w:pPr>
        <w:tabs>
          <w:tab w:val="left" w:pos="9000"/>
        </w:tabs>
        <w:spacing w:line="400" w:lineRule="exact"/>
        <w:ind w:rightChars="171" w:right="359" w:firstLineChars="200" w:firstLine="360"/>
        <w:rPr>
          <w:rFonts w:asciiTheme="minorEastAsia" w:hAnsiTheme="minorEastAsia" w:cs="Arial"/>
          <w:bCs/>
          <w:sz w:val="18"/>
          <w:szCs w:val="18"/>
        </w:rPr>
      </w:pPr>
      <w:r w:rsidRPr="007A150C">
        <w:rPr>
          <w:rFonts w:asciiTheme="minorEastAsia" w:hAnsiTheme="minorEastAsia" w:cs="Arial" w:hint="eastAsia"/>
          <w:bCs/>
          <w:sz w:val="18"/>
          <w:szCs w:val="18"/>
        </w:rPr>
        <w:t>其中，政府补助明细详见下表</w:t>
      </w:r>
      <w:r w:rsidRPr="007A150C">
        <w:rPr>
          <w:rFonts w:asciiTheme="minorEastAsia" w:hAnsiTheme="minorEastAsia" w:cs="Arial"/>
          <w:bCs/>
          <w:sz w:val="18"/>
          <w:szCs w:val="18"/>
        </w:rPr>
        <w:t>：</w:t>
      </w:r>
    </w:p>
    <w:tbl>
      <w:tblPr>
        <w:tblW w:w="970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30"/>
        <w:gridCol w:w="1470"/>
        <w:gridCol w:w="1030"/>
        <w:gridCol w:w="1617"/>
        <w:gridCol w:w="1323"/>
        <w:gridCol w:w="588"/>
        <w:gridCol w:w="1470"/>
        <w:gridCol w:w="1176"/>
      </w:tblGrid>
      <w:tr w:rsidR="005D7A2B" w:rsidRPr="007A150C" w:rsidTr="00647844">
        <w:trPr>
          <w:trHeight w:val="825"/>
          <w:tblHeader/>
        </w:trPr>
        <w:tc>
          <w:tcPr>
            <w:tcW w:w="1030" w:type="dxa"/>
            <w:vAlign w:val="center"/>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补助项目</w:t>
            </w:r>
          </w:p>
        </w:tc>
        <w:tc>
          <w:tcPr>
            <w:tcW w:w="1470" w:type="dxa"/>
            <w:vAlign w:val="center"/>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上年年末余额</w:t>
            </w:r>
          </w:p>
        </w:tc>
        <w:tc>
          <w:tcPr>
            <w:tcW w:w="1030" w:type="dxa"/>
            <w:vAlign w:val="center"/>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本期新增补助金额</w:t>
            </w:r>
          </w:p>
        </w:tc>
        <w:tc>
          <w:tcPr>
            <w:tcW w:w="1617" w:type="dxa"/>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本期计入营业外收入金额</w:t>
            </w:r>
          </w:p>
        </w:tc>
        <w:tc>
          <w:tcPr>
            <w:tcW w:w="1323" w:type="dxa"/>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本期计入其他收益金额</w:t>
            </w:r>
          </w:p>
        </w:tc>
        <w:tc>
          <w:tcPr>
            <w:tcW w:w="588" w:type="dxa"/>
            <w:vAlign w:val="center"/>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其他变动</w:t>
            </w:r>
          </w:p>
        </w:tc>
        <w:tc>
          <w:tcPr>
            <w:tcW w:w="1470" w:type="dxa"/>
            <w:vAlign w:val="center"/>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期末余额</w:t>
            </w:r>
          </w:p>
        </w:tc>
        <w:tc>
          <w:tcPr>
            <w:tcW w:w="1176" w:type="dxa"/>
            <w:vAlign w:val="center"/>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与资产/收益相关</w:t>
            </w:r>
          </w:p>
        </w:tc>
      </w:tr>
      <w:tr w:rsidR="005D7A2B" w:rsidRPr="007A150C" w:rsidTr="00647844">
        <w:trPr>
          <w:trHeight w:val="787"/>
        </w:trPr>
        <w:tc>
          <w:tcPr>
            <w:tcW w:w="1030" w:type="dxa"/>
            <w:vAlign w:val="center"/>
          </w:tcPr>
          <w:p w:rsidR="005D7A2B" w:rsidRPr="007A150C" w:rsidRDefault="005D7A2B" w:rsidP="00BD0562">
            <w:pPr>
              <w:spacing w:line="400" w:lineRule="exact"/>
              <w:textAlignment w:val="baseline"/>
              <w:rPr>
                <w:rFonts w:asciiTheme="minorEastAsia" w:hAnsiTheme="minorEastAsia" w:cs="Arial"/>
                <w:sz w:val="18"/>
                <w:szCs w:val="18"/>
              </w:rPr>
            </w:pPr>
            <w:r w:rsidRPr="007A150C">
              <w:rPr>
                <w:rFonts w:asciiTheme="minorEastAsia" w:hAnsiTheme="minorEastAsia" w:hint="eastAsia"/>
                <w:sz w:val="18"/>
                <w:szCs w:val="18"/>
              </w:rPr>
              <w:t>生态环境保护专款</w:t>
            </w:r>
          </w:p>
        </w:tc>
        <w:tc>
          <w:tcPr>
            <w:tcW w:w="1470"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 xml:space="preserve"> 4,221,000.00 </w:t>
            </w:r>
          </w:p>
        </w:tc>
        <w:tc>
          <w:tcPr>
            <w:tcW w:w="1030"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p>
        </w:tc>
        <w:tc>
          <w:tcPr>
            <w:tcW w:w="1617"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p>
        </w:tc>
        <w:tc>
          <w:tcPr>
            <w:tcW w:w="1323"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 xml:space="preserve"> </w:t>
            </w:r>
            <w:r w:rsidRPr="007A150C">
              <w:rPr>
                <w:rFonts w:asciiTheme="minorEastAsia" w:hAnsiTheme="minorEastAsia" w:cs="Arial" w:hint="eastAsia"/>
                <w:kern w:val="0"/>
                <w:sz w:val="18"/>
                <w:szCs w:val="18"/>
              </w:rPr>
              <w:t>234</w:t>
            </w:r>
            <w:r w:rsidRPr="007A150C">
              <w:rPr>
                <w:rFonts w:asciiTheme="minorEastAsia" w:hAnsiTheme="minorEastAsia" w:cs="Arial"/>
                <w:kern w:val="0"/>
                <w:sz w:val="18"/>
                <w:szCs w:val="18"/>
              </w:rPr>
              <w:t>,</w:t>
            </w:r>
            <w:r w:rsidRPr="007A150C">
              <w:rPr>
                <w:rFonts w:asciiTheme="minorEastAsia" w:hAnsiTheme="minorEastAsia" w:cs="Arial" w:hint="eastAsia"/>
                <w:kern w:val="0"/>
                <w:sz w:val="18"/>
                <w:szCs w:val="18"/>
              </w:rPr>
              <w:t>5</w:t>
            </w:r>
            <w:r w:rsidRPr="007A150C">
              <w:rPr>
                <w:rFonts w:asciiTheme="minorEastAsia" w:hAnsiTheme="minorEastAsia" w:cs="Arial"/>
                <w:kern w:val="0"/>
                <w:sz w:val="18"/>
                <w:szCs w:val="18"/>
              </w:rPr>
              <w:t xml:space="preserve">00.00 </w:t>
            </w:r>
          </w:p>
        </w:tc>
        <w:tc>
          <w:tcPr>
            <w:tcW w:w="588"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p>
        </w:tc>
        <w:tc>
          <w:tcPr>
            <w:tcW w:w="1470"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 xml:space="preserve"> </w:t>
            </w:r>
            <w:r w:rsidRPr="007A150C">
              <w:rPr>
                <w:rFonts w:asciiTheme="minorEastAsia" w:hAnsiTheme="minorEastAsia" w:cs="Arial" w:hint="eastAsia"/>
                <w:kern w:val="0"/>
                <w:sz w:val="18"/>
                <w:szCs w:val="18"/>
              </w:rPr>
              <w:t>3</w:t>
            </w:r>
            <w:r w:rsidRPr="007A150C">
              <w:rPr>
                <w:rFonts w:asciiTheme="minorEastAsia" w:hAnsiTheme="minorEastAsia" w:cs="Arial"/>
                <w:kern w:val="0"/>
                <w:sz w:val="18"/>
                <w:szCs w:val="18"/>
              </w:rPr>
              <w:t>,</w:t>
            </w:r>
            <w:r w:rsidRPr="007A150C">
              <w:rPr>
                <w:rFonts w:asciiTheme="minorEastAsia" w:hAnsiTheme="minorEastAsia" w:cs="Arial" w:hint="eastAsia"/>
                <w:kern w:val="0"/>
                <w:sz w:val="18"/>
                <w:szCs w:val="18"/>
              </w:rPr>
              <w:t>986</w:t>
            </w:r>
            <w:r w:rsidRPr="007A150C">
              <w:rPr>
                <w:rFonts w:asciiTheme="minorEastAsia" w:hAnsiTheme="minorEastAsia" w:cs="Arial"/>
                <w:kern w:val="0"/>
                <w:sz w:val="18"/>
                <w:szCs w:val="18"/>
              </w:rPr>
              <w:t>,</w:t>
            </w:r>
            <w:r w:rsidRPr="007A150C">
              <w:rPr>
                <w:rFonts w:asciiTheme="minorEastAsia" w:hAnsiTheme="minorEastAsia" w:cs="Arial" w:hint="eastAsia"/>
                <w:kern w:val="0"/>
                <w:sz w:val="18"/>
                <w:szCs w:val="18"/>
              </w:rPr>
              <w:t>5</w:t>
            </w:r>
            <w:r w:rsidRPr="007A150C">
              <w:rPr>
                <w:rFonts w:asciiTheme="minorEastAsia" w:hAnsiTheme="minorEastAsia" w:cs="Arial"/>
                <w:kern w:val="0"/>
                <w:sz w:val="18"/>
                <w:szCs w:val="18"/>
              </w:rPr>
              <w:t xml:space="preserve">00.00 </w:t>
            </w:r>
          </w:p>
        </w:tc>
        <w:tc>
          <w:tcPr>
            <w:tcW w:w="1176" w:type="dxa"/>
            <w:vAlign w:val="center"/>
          </w:tcPr>
          <w:p w:rsidR="005D7A2B" w:rsidRPr="007A150C" w:rsidRDefault="005D7A2B" w:rsidP="00BD0562">
            <w:pPr>
              <w:spacing w:line="400" w:lineRule="exact"/>
              <w:textAlignment w:val="baseline"/>
              <w:rPr>
                <w:rFonts w:asciiTheme="minorEastAsia" w:hAnsiTheme="minorEastAsia" w:cs="Arial"/>
                <w:sz w:val="18"/>
                <w:szCs w:val="18"/>
              </w:rPr>
            </w:pPr>
            <w:r w:rsidRPr="007A150C">
              <w:rPr>
                <w:rFonts w:asciiTheme="minorEastAsia" w:hAnsiTheme="minorEastAsia" w:cs="Arial" w:hint="eastAsia"/>
                <w:sz w:val="18"/>
                <w:szCs w:val="18"/>
              </w:rPr>
              <w:t>与资产相关</w:t>
            </w:r>
          </w:p>
        </w:tc>
      </w:tr>
      <w:tr w:rsidR="005D7A2B" w:rsidRPr="007A150C" w:rsidTr="00647844">
        <w:trPr>
          <w:trHeight w:val="278"/>
        </w:trPr>
        <w:tc>
          <w:tcPr>
            <w:tcW w:w="1030" w:type="dxa"/>
            <w:vAlign w:val="center"/>
          </w:tcPr>
          <w:p w:rsidR="005D7A2B" w:rsidRPr="007A150C" w:rsidRDefault="005D7A2B" w:rsidP="00BD0562">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合计</w:t>
            </w:r>
          </w:p>
        </w:tc>
        <w:tc>
          <w:tcPr>
            <w:tcW w:w="1470"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 xml:space="preserve"> 4,221,000.00 </w:t>
            </w:r>
          </w:p>
        </w:tc>
        <w:tc>
          <w:tcPr>
            <w:tcW w:w="1030"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p>
        </w:tc>
        <w:tc>
          <w:tcPr>
            <w:tcW w:w="1617"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p>
        </w:tc>
        <w:tc>
          <w:tcPr>
            <w:tcW w:w="1323"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 xml:space="preserve"> </w:t>
            </w:r>
            <w:r w:rsidRPr="007A150C">
              <w:rPr>
                <w:rFonts w:asciiTheme="minorEastAsia" w:hAnsiTheme="minorEastAsia" w:cs="Arial" w:hint="eastAsia"/>
                <w:kern w:val="0"/>
                <w:sz w:val="18"/>
                <w:szCs w:val="18"/>
              </w:rPr>
              <w:t>234</w:t>
            </w:r>
            <w:r w:rsidRPr="007A150C">
              <w:rPr>
                <w:rFonts w:asciiTheme="minorEastAsia" w:hAnsiTheme="minorEastAsia" w:cs="Arial"/>
                <w:kern w:val="0"/>
                <w:sz w:val="18"/>
                <w:szCs w:val="18"/>
              </w:rPr>
              <w:t>,</w:t>
            </w:r>
            <w:r w:rsidRPr="007A150C">
              <w:rPr>
                <w:rFonts w:asciiTheme="minorEastAsia" w:hAnsiTheme="minorEastAsia" w:cs="Arial" w:hint="eastAsia"/>
                <w:kern w:val="0"/>
                <w:sz w:val="18"/>
                <w:szCs w:val="18"/>
              </w:rPr>
              <w:t>5</w:t>
            </w:r>
            <w:r w:rsidRPr="007A150C">
              <w:rPr>
                <w:rFonts w:asciiTheme="minorEastAsia" w:hAnsiTheme="minorEastAsia" w:cs="Arial"/>
                <w:kern w:val="0"/>
                <w:sz w:val="18"/>
                <w:szCs w:val="18"/>
              </w:rPr>
              <w:t xml:space="preserve">00.00 </w:t>
            </w:r>
          </w:p>
        </w:tc>
        <w:tc>
          <w:tcPr>
            <w:tcW w:w="588"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p>
        </w:tc>
        <w:tc>
          <w:tcPr>
            <w:tcW w:w="1470" w:type="dxa"/>
            <w:vAlign w:val="center"/>
          </w:tcPr>
          <w:p w:rsidR="005D7A2B" w:rsidRPr="007A150C" w:rsidRDefault="005D7A2B" w:rsidP="00BD0562">
            <w:pPr>
              <w:widowControl/>
              <w:spacing w:line="400" w:lineRule="exact"/>
              <w:jc w:val="right"/>
              <w:rPr>
                <w:rFonts w:asciiTheme="minorEastAsia" w:hAnsiTheme="minorEastAsia" w:cs="Arial"/>
                <w:kern w:val="0"/>
                <w:sz w:val="18"/>
                <w:szCs w:val="18"/>
              </w:rPr>
            </w:pPr>
            <w:r w:rsidRPr="007A150C">
              <w:rPr>
                <w:rFonts w:asciiTheme="minorEastAsia" w:hAnsiTheme="minorEastAsia" w:cs="Arial"/>
                <w:kern w:val="0"/>
                <w:sz w:val="18"/>
                <w:szCs w:val="18"/>
              </w:rPr>
              <w:t xml:space="preserve"> </w:t>
            </w:r>
            <w:r w:rsidRPr="007A150C">
              <w:rPr>
                <w:rFonts w:asciiTheme="minorEastAsia" w:hAnsiTheme="minorEastAsia" w:cs="Arial" w:hint="eastAsia"/>
                <w:kern w:val="0"/>
                <w:sz w:val="18"/>
                <w:szCs w:val="18"/>
              </w:rPr>
              <w:t>3</w:t>
            </w:r>
            <w:r w:rsidRPr="007A150C">
              <w:rPr>
                <w:rFonts w:asciiTheme="minorEastAsia" w:hAnsiTheme="minorEastAsia" w:cs="Arial"/>
                <w:kern w:val="0"/>
                <w:sz w:val="18"/>
                <w:szCs w:val="18"/>
              </w:rPr>
              <w:t>,</w:t>
            </w:r>
            <w:r w:rsidRPr="007A150C">
              <w:rPr>
                <w:rFonts w:asciiTheme="minorEastAsia" w:hAnsiTheme="minorEastAsia" w:cs="Arial" w:hint="eastAsia"/>
                <w:kern w:val="0"/>
                <w:sz w:val="18"/>
                <w:szCs w:val="18"/>
              </w:rPr>
              <w:t>986</w:t>
            </w:r>
            <w:r w:rsidRPr="007A150C">
              <w:rPr>
                <w:rFonts w:asciiTheme="minorEastAsia" w:hAnsiTheme="minorEastAsia" w:cs="Arial"/>
                <w:kern w:val="0"/>
                <w:sz w:val="18"/>
                <w:szCs w:val="18"/>
              </w:rPr>
              <w:t>,</w:t>
            </w:r>
            <w:r w:rsidRPr="007A150C">
              <w:rPr>
                <w:rFonts w:asciiTheme="minorEastAsia" w:hAnsiTheme="minorEastAsia" w:cs="Arial" w:hint="eastAsia"/>
                <w:kern w:val="0"/>
                <w:sz w:val="18"/>
                <w:szCs w:val="18"/>
              </w:rPr>
              <w:t>5</w:t>
            </w:r>
            <w:r w:rsidRPr="007A150C">
              <w:rPr>
                <w:rFonts w:asciiTheme="minorEastAsia" w:hAnsiTheme="minorEastAsia" w:cs="Arial"/>
                <w:kern w:val="0"/>
                <w:sz w:val="18"/>
                <w:szCs w:val="18"/>
              </w:rPr>
              <w:t xml:space="preserve">00.00 </w:t>
            </w:r>
          </w:p>
        </w:tc>
        <w:tc>
          <w:tcPr>
            <w:tcW w:w="1176" w:type="dxa"/>
          </w:tcPr>
          <w:p w:rsidR="005D7A2B" w:rsidRPr="007A150C" w:rsidRDefault="005D7A2B" w:rsidP="00647844">
            <w:pPr>
              <w:spacing w:line="400" w:lineRule="exact"/>
              <w:jc w:val="center"/>
              <w:textAlignment w:val="baseline"/>
              <w:rPr>
                <w:rFonts w:asciiTheme="minorEastAsia" w:hAnsiTheme="minorEastAsia" w:cs="Arial"/>
                <w:sz w:val="18"/>
                <w:szCs w:val="18"/>
              </w:rPr>
            </w:pPr>
            <w:r w:rsidRPr="007A150C">
              <w:rPr>
                <w:rFonts w:asciiTheme="minorEastAsia" w:hAnsiTheme="minorEastAsia" w:cs="Arial"/>
                <w:sz w:val="18"/>
                <w:szCs w:val="18"/>
              </w:rPr>
              <w:t>—</w:t>
            </w:r>
          </w:p>
        </w:tc>
      </w:tr>
    </w:tbl>
    <w:p w:rsidR="00334CB7" w:rsidRDefault="002D376B">
      <w:pPr>
        <w:pStyle w:val="3"/>
        <w:spacing w:line="280" w:lineRule="exact"/>
        <w:jc w:val="left"/>
        <w:rPr>
          <w:rFonts w:ascii="宋体" w:hAnsi="宋体" w:cs="宋体"/>
          <w:b/>
          <w:bCs/>
        </w:rPr>
      </w:pPr>
      <w:r>
        <w:rPr>
          <w:rFonts w:ascii="宋体" w:hAnsi="宋体" w:cs="宋体"/>
          <w:b/>
          <w:bCs/>
        </w:rPr>
        <w:t>2、计入当期损益的政府补助</w:t>
      </w:r>
      <w:bookmarkEnd w:id="274"/>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CA05B2" w:rsidRDefault="00CA05B2">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1,534,000.00</w:t>
            </w:r>
          </w:p>
        </w:tc>
      </w:tr>
    </w:tbl>
    <w:p w:rsidR="00C1183B" w:rsidRDefault="002D376B" w:rsidP="00100904">
      <w:pPr>
        <w:pStyle w:val="a3"/>
        <w:ind w:firstLineChars="200" w:firstLine="360"/>
        <w:divId w:val="299071390"/>
        <w:rPr>
          <w:sz w:val="18"/>
          <w:szCs w:val="18"/>
        </w:rPr>
      </w:pPr>
      <w:r>
        <w:rPr>
          <w:rFonts w:hint="eastAsia"/>
          <w:sz w:val="18"/>
          <w:szCs w:val="18"/>
        </w:rPr>
        <w:lastRenderedPageBreak/>
        <w:t>其中，政府补助明细详见下表：</w:t>
      </w:r>
    </w:p>
    <w:tbl>
      <w:tblPr>
        <w:tblW w:w="9538" w:type="dxa"/>
        <w:jc w:val="center"/>
        <w:tblInd w:w="-381" w:type="dxa"/>
        <w:tblCellMar>
          <w:left w:w="0" w:type="dxa"/>
          <w:right w:w="0" w:type="dxa"/>
        </w:tblCellMar>
        <w:tblLook w:val="04A0" w:firstRow="1" w:lastRow="0" w:firstColumn="1" w:lastColumn="0" w:noHBand="0" w:noVBand="1"/>
      </w:tblPr>
      <w:tblGrid>
        <w:gridCol w:w="4225"/>
        <w:gridCol w:w="1579"/>
        <w:gridCol w:w="1499"/>
        <w:gridCol w:w="2235"/>
      </w:tblGrid>
      <w:tr w:rsidR="00C1183B" w:rsidTr="00647844">
        <w:trPr>
          <w:divId w:val="299071390"/>
          <w:trHeight w:val="348"/>
          <w:tblHeader/>
          <w:jc w:val="center"/>
        </w:trPr>
        <w:tc>
          <w:tcPr>
            <w:tcW w:w="422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补助项目</w:t>
            </w:r>
          </w:p>
        </w:tc>
        <w:tc>
          <w:tcPr>
            <w:tcW w:w="157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49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上年同期金额</w:t>
            </w:r>
          </w:p>
        </w:tc>
        <w:tc>
          <w:tcPr>
            <w:tcW w:w="22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与资产相关/与收益相关</w:t>
            </w:r>
          </w:p>
        </w:tc>
      </w:tr>
      <w:tr w:rsidR="00C1183B" w:rsidTr="00647844">
        <w:trPr>
          <w:divId w:val="299071390"/>
          <w:trHeight w:val="348"/>
          <w:jc w:val="center"/>
        </w:trPr>
        <w:tc>
          <w:tcPr>
            <w:tcW w:w="4225"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textAlignment w:val="baseline"/>
              <w:rPr>
                <w:rFonts w:ascii="Times New Roman" w:hAnsi="Times New Roman" w:cs="Times New Roman"/>
                <w:sz w:val="21"/>
                <w:szCs w:val="21"/>
              </w:rPr>
            </w:pPr>
            <w:r>
              <w:rPr>
                <w:rFonts w:cs="Times New Roman" w:hint="eastAsia"/>
                <w:sz w:val="18"/>
                <w:szCs w:val="18"/>
              </w:rPr>
              <w:t>节能专项资金</w:t>
            </w:r>
          </w:p>
        </w:tc>
        <w:tc>
          <w:tcPr>
            <w:tcW w:w="15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80,000.00</w:t>
            </w:r>
          </w:p>
        </w:tc>
        <w:tc>
          <w:tcPr>
            <w:tcW w:w="14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400,000.00</w:t>
            </w:r>
          </w:p>
        </w:tc>
        <w:tc>
          <w:tcPr>
            <w:tcW w:w="22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C1183B" w:rsidTr="00647844">
        <w:trPr>
          <w:divId w:val="299071390"/>
          <w:trHeight w:val="348"/>
          <w:jc w:val="center"/>
        </w:trPr>
        <w:tc>
          <w:tcPr>
            <w:tcW w:w="4225"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textAlignment w:val="baseline"/>
              <w:rPr>
                <w:rFonts w:ascii="Times New Roman" w:hAnsi="Times New Roman" w:cs="Times New Roman"/>
                <w:sz w:val="21"/>
                <w:szCs w:val="21"/>
              </w:rPr>
            </w:pPr>
            <w:r>
              <w:rPr>
                <w:rFonts w:cs="Times New Roman" w:hint="eastAsia"/>
                <w:sz w:val="18"/>
                <w:szCs w:val="18"/>
              </w:rPr>
              <w:t>产业强区奖励款</w:t>
            </w:r>
          </w:p>
        </w:tc>
        <w:tc>
          <w:tcPr>
            <w:tcW w:w="15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 xml:space="preserve">　</w:t>
            </w:r>
          </w:p>
        </w:tc>
        <w:tc>
          <w:tcPr>
            <w:tcW w:w="14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1,000,000.00</w:t>
            </w:r>
          </w:p>
        </w:tc>
        <w:tc>
          <w:tcPr>
            <w:tcW w:w="2235" w:type="dxa"/>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C1183B" w:rsidTr="00647844">
        <w:trPr>
          <w:divId w:val="299071390"/>
          <w:trHeight w:val="348"/>
          <w:jc w:val="center"/>
        </w:trPr>
        <w:tc>
          <w:tcPr>
            <w:tcW w:w="4225"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textAlignment w:val="baseline"/>
              <w:rPr>
                <w:rFonts w:ascii="Times New Roman" w:hAnsi="Times New Roman" w:cs="Times New Roman"/>
                <w:sz w:val="21"/>
                <w:szCs w:val="21"/>
              </w:rPr>
            </w:pPr>
            <w:proofErr w:type="gramStart"/>
            <w:r>
              <w:rPr>
                <w:rFonts w:cs="Times New Roman" w:hint="eastAsia"/>
                <w:sz w:val="18"/>
                <w:szCs w:val="18"/>
              </w:rPr>
              <w:t>稳岗补贴</w:t>
            </w:r>
            <w:proofErr w:type="gramEnd"/>
          </w:p>
        </w:tc>
        <w:tc>
          <w:tcPr>
            <w:tcW w:w="15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 xml:space="preserve">　</w:t>
            </w:r>
          </w:p>
        </w:tc>
        <w:tc>
          <w:tcPr>
            <w:tcW w:w="14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6,000.00</w:t>
            </w:r>
          </w:p>
        </w:tc>
        <w:tc>
          <w:tcPr>
            <w:tcW w:w="2235" w:type="dxa"/>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C1183B" w:rsidTr="00647844">
        <w:trPr>
          <w:divId w:val="299071390"/>
          <w:trHeight w:val="348"/>
          <w:jc w:val="center"/>
        </w:trPr>
        <w:tc>
          <w:tcPr>
            <w:tcW w:w="4225"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textAlignment w:val="baseline"/>
              <w:rPr>
                <w:rFonts w:ascii="Times New Roman" w:hAnsi="Times New Roman" w:cs="Times New Roman"/>
                <w:sz w:val="21"/>
                <w:szCs w:val="21"/>
              </w:rPr>
            </w:pPr>
            <w:r>
              <w:rPr>
                <w:rFonts w:cs="Times New Roman" w:hint="eastAsia"/>
                <w:sz w:val="18"/>
                <w:szCs w:val="18"/>
              </w:rPr>
              <w:t>商务发展专项资金</w:t>
            </w:r>
          </w:p>
        </w:tc>
        <w:tc>
          <w:tcPr>
            <w:tcW w:w="15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 xml:space="preserve">　</w:t>
            </w:r>
          </w:p>
        </w:tc>
        <w:tc>
          <w:tcPr>
            <w:tcW w:w="14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100,000.00</w:t>
            </w:r>
          </w:p>
        </w:tc>
        <w:tc>
          <w:tcPr>
            <w:tcW w:w="2235" w:type="dxa"/>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C1183B" w:rsidTr="00647844">
        <w:trPr>
          <w:divId w:val="299071390"/>
          <w:trHeight w:val="348"/>
          <w:jc w:val="center"/>
        </w:trPr>
        <w:tc>
          <w:tcPr>
            <w:tcW w:w="4225"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textAlignment w:val="baseline"/>
              <w:rPr>
                <w:rFonts w:ascii="Times New Roman" w:hAnsi="Times New Roman" w:cs="Times New Roman"/>
                <w:sz w:val="21"/>
                <w:szCs w:val="21"/>
              </w:rPr>
            </w:pPr>
            <w:r>
              <w:rPr>
                <w:rFonts w:cs="Times New Roman" w:hint="eastAsia"/>
                <w:sz w:val="18"/>
                <w:szCs w:val="18"/>
              </w:rPr>
              <w:t>税收返还</w:t>
            </w:r>
          </w:p>
        </w:tc>
        <w:tc>
          <w:tcPr>
            <w:tcW w:w="15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 xml:space="preserve">　</w:t>
            </w:r>
          </w:p>
        </w:tc>
        <w:tc>
          <w:tcPr>
            <w:tcW w:w="149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28,000.00</w:t>
            </w:r>
          </w:p>
        </w:tc>
        <w:tc>
          <w:tcPr>
            <w:tcW w:w="2235" w:type="dxa"/>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C1183B" w:rsidTr="00647844">
        <w:trPr>
          <w:divId w:val="299071390"/>
          <w:trHeight w:val="348"/>
          <w:jc w:val="center"/>
        </w:trPr>
        <w:tc>
          <w:tcPr>
            <w:tcW w:w="422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C1183B" w:rsidRDefault="002D376B">
            <w:pPr>
              <w:pStyle w:val="a3"/>
              <w:spacing w:before="0" w:beforeAutospacing="0" w:after="0" w:afterAutospacing="0" w:line="400" w:lineRule="atLeast"/>
              <w:jc w:val="both"/>
              <w:textAlignment w:val="baseline"/>
              <w:rPr>
                <w:rFonts w:ascii="Times New Roman" w:hAnsi="Times New Roman" w:cs="Times New Roman"/>
                <w:sz w:val="21"/>
                <w:szCs w:val="21"/>
              </w:rPr>
            </w:pPr>
            <w:r>
              <w:rPr>
                <w:rFonts w:cs="Times New Roman" w:hint="eastAsia"/>
                <w:sz w:val="18"/>
                <w:szCs w:val="18"/>
              </w:rPr>
              <w:t>高新技术企业奖励款</w:t>
            </w:r>
          </w:p>
        </w:tc>
        <w:tc>
          <w:tcPr>
            <w:tcW w:w="157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80,000.00</w:t>
            </w:r>
          </w:p>
        </w:tc>
        <w:tc>
          <w:tcPr>
            <w:tcW w:w="1499" w:type="dxa"/>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 xml:space="preserve">　</w:t>
            </w:r>
          </w:p>
        </w:tc>
        <w:tc>
          <w:tcPr>
            <w:tcW w:w="22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与收益相关</w:t>
            </w:r>
          </w:p>
        </w:tc>
      </w:tr>
      <w:tr w:rsidR="00C1183B" w:rsidTr="00647844">
        <w:trPr>
          <w:divId w:val="299071390"/>
          <w:trHeight w:val="348"/>
          <w:jc w:val="center"/>
        </w:trPr>
        <w:tc>
          <w:tcPr>
            <w:tcW w:w="422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C1183B" w:rsidRDefault="002D376B">
            <w:pPr>
              <w:pStyle w:val="a3"/>
              <w:spacing w:before="0" w:beforeAutospacing="0" w:after="0" w:afterAutospacing="0" w:line="400" w:lineRule="atLeast"/>
              <w:jc w:val="center"/>
              <w:textAlignment w:val="baseline"/>
              <w:rPr>
                <w:rFonts w:ascii="Times New Roman" w:hAnsi="Times New Roman" w:cs="Times New Roman"/>
                <w:sz w:val="21"/>
                <w:szCs w:val="21"/>
              </w:rPr>
            </w:pPr>
            <w:r>
              <w:rPr>
                <w:rFonts w:cs="Times New Roman" w:hint="eastAsia"/>
                <w:sz w:val="18"/>
                <w:szCs w:val="18"/>
              </w:rPr>
              <w:t>合</w:t>
            </w:r>
            <w:r w:rsidR="005D7A2B">
              <w:rPr>
                <w:rFonts w:cs="Times New Roman" w:hint="eastAsia"/>
                <w:sz w:val="18"/>
                <w:szCs w:val="18"/>
              </w:rPr>
              <w:t xml:space="preserve">  </w:t>
            </w:r>
            <w:r>
              <w:rPr>
                <w:rFonts w:cs="Times New Roman" w:hint="eastAsia"/>
                <w:sz w:val="18"/>
                <w:szCs w:val="18"/>
              </w:rPr>
              <w:t>计</w:t>
            </w:r>
          </w:p>
        </w:tc>
        <w:tc>
          <w:tcPr>
            <w:tcW w:w="1579" w:type="dxa"/>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160,000.00</w:t>
            </w:r>
          </w:p>
        </w:tc>
        <w:tc>
          <w:tcPr>
            <w:tcW w:w="1499" w:type="dxa"/>
            <w:tcBorders>
              <w:top w:val="nil"/>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right"/>
              <w:textAlignment w:val="baseline"/>
              <w:rPr>
                <w:rFonts w:ascii="Times New Roman" w:hAnsi="Times New Roman" w:cs="Times New Roman"/>
                <w:sz w:val="21"/>
                <w:szCs w:val="21"/>
              </w:rPr>
            </w:pPr>
            <w:r>
              <w:rPr>
                <w:rFonts w:cs="Times New Roman" w:hint="eastAsia"/>
                <w:sz w:val="18"/>
                <w:szCs w:val="18"/>
              </w:rPr>
              <w:t>1,534,000.00</w:t>
            </w:r>
          </w:p>
        </w:tc>
        <w:tc>
          <w:tcPr>
            <w:tcW w:w="22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r>
    </w:tbl>
    <w:p w:rsidR="00334CB7" w:rsidRDefault="002D376B">
      <w:pPr>
        <w:pStyle w:val="2"/>
        <w:spacing w:before="300" w:after="300" w:line="320" w:lineRule="exact"/>
        <w:rPr>
          <w:rFonts w:ascii="宋体" w:eastAsia="宋体" w:hAnsi="宋体" w:cs="宋体"/>
          <w:b/>
          <w:bCs/>
          <w:sz w:val="24"/>
          <w:szCs w:val="24"/>
        </w:rPr>
      </w:pPr>
      <w:bookmarkStart w:id="275" w:name="_Toc989163"/>
      <w:r>
        <w:rPr>
          <w:rFonts w:ascii="宋体" w:eastAsia="宋体" w:hAnsi="宋体" w:cs="宋体"/>
          <w:b/>
          <w:bCs/>
          <w:sz w:val="24"/>
          <w:szCs w:val="24"/>
        </w:rPr>
        <w:t>十一、与金融工具相关的风险</w:t>
      </w:r>
      <w:bookmarkEnd w:id="275"/>
    </w:p>
    <w:p w:rsidR="00334CB7" w:rsidRDefault="002D376B">
      <w:pPr>
        <w:pStyle w:val="3"/>
        <w:spacing w:line="280" w:lineRule="exact"/>
        <w:jc w:val="left"/>
        <w:rPr>
          <w:rFonts w:ascii="宋体" w:hAnsi="宋体" w:cs="宋体"/>
          <w:b/>
          <w:bCs/>
        </w:rPr>
      </w:pPr>
      <w:bookmarkStart w:id="276" w:name="_Toc989164"/>
      <w:r>
        <w:rPr>
          <w:rFonts w:ascii="宋体" w:hAnsi="宋体" w:cs="宋体"/>
          <w:b/>
          <w:bCs/>
        </w:rPr>
        <w:t>1、金融工具产生的各类风险</w:t>
      </w:r>
      <w:bookmarkEnd w:id="276"/>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本公司的主要金融工具包括股权投资、借款、应收账款、应付账款等，各项金融工具的详细情况说明见本附注</w:t>
      </w:r>
      <w:proofErr w:type="gramStart"/>
      <w:r>
        <w:rPr>
          <w:rFonts w:cs="Times New Roman" w:hint="eastAsia"/>
          <w:sz w:val="18"/>
          <w:szCs w:val="18"/>
        </w:rPr>
        <w:t>五相关</w:t>
      </w:r>
      <w:proofErr w:type="gramEnd"/>
      <w:r>
        <w:rPr>
          <w:rFonts w:cs="Times New Roman" w:hint="eastAsia"/>
          <w:sz w:val="18"/>
          <w:szCs w:val="18"/>
        </w:rPr>
        <w:t>项目。与这些金融工具有关的风险，以及本公司为降低这些风险所采取的风险管理政策如下所述。本公司管理层对这些风险敞口进行管理和监控以确保将上述风险控制在限定的范围之内。</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C1183B" w:rsidRDefault="002D376B">
      <w:pPr>
        <w:pStyle w:val="a3"/>
        <w:spacing w:before="0" w:beforeAutospacing="0" w:after="0" w:afterAutospacing="0" w:line="400" w:lineRule="atLeast"/>
        <w:ind w:firstLine="361"/>
        <w:jc w:val="both"/>
        <w:divId w:val="1269389456"/>
        <w:rPr>
          <w:rFonts w:ascii="Times New Roman" w:hAnsi="Times New Roman" w:cs="Times New Roman"/>
          <w:sz w:val="21"/>
          <w:szCs w:val="21"/>
        </w:rPr>
      </w:pPr>
      <w:r>
        <w:rPr>
          <w:rStyle w:val="a4"/>
          <w:rFonts w:cs="Times New Roman" w:hint="eastAsia"/>
          <w:sz w:val="18"/>
          <w:szCs w:val="18"/>
        </w:rPr>
        <w:t>（一）风险管理目标和政策</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本公司从事风险管理的目标是在风险和收益之间取得适当的平衡，将风险对本公司经营业绩的负面影响降低到最低水平，使股东及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C1183B" w:rsidRDefault="002D376B">
      <w:pPr>
        <w:pStyle w:val="a3"/>
        <w:spacing w:before="0" w:beforeAutospacing="0" w:after="0" w:afterAutospacing="0" w:line="400" w:lineRule="atLeast"/>
        <w:ind w:firstLine="361"/>
        <w:jc w:val="both"/>
        <w:divId w:val="1269389456"/>
        <w:rPr>
          <w:rFonts w:ascii="Times New Roman" w:hAnsi="Times New Roman" w:cs="Times New Roman"/>
          <w:sz w:val="21"/>
          <w:szCs w:val="21"/>
        </w:rPr>
      </w:pPr>
      <w:r>
        <w:rPr>
          <w:rStyle w:val="a4"/>
          <w:rFonts w:cs="Times New Roman" w:hint="eastAsia"/>
          <w:sz w:val="18"/>
          <w:szCs w:val="18"/>
        </w:rPr>
        <w:t>1、市场风险</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（1）外汇风险</w:t>
      </w:r>
    </w:p>
    <w:p w:rsidR="00C1183B" w:rsidRDefault="002D376B">
      <w:pPr>
        <w:pStyle w:val="a3"/>
        <w:spacing w:before="0" w:beforeAutospacing="0" w:after="0" w:afterAutospacing="0" w:line="400" w:lineRule="atLeast"/>
        <w:ind w:firstLine="360"/>
        <w:jc w:val="both"/>
        <w:divId w:val="1269389456"/>
        <w:rPr>
          <w:rFonts w:cs="Times New Roman"/>
          <w:sz w:val="18"/>
          <w:szCs w:val="18"/>
        </w:rPr>
      </w:pPr>
      <w:r>
        <w:rPr>
          <w:rFonts w:cs="Times New Roman" w:hint="eastAsia"/>
          <w:sz w:val="18"/>
          <w:szCs w:val="18"/>
        </w:rPr>
        <w:t>外汇风险指因汇率变动产生损失的风险。本公司承受外汇风险主要与美元及欧元有关。于2024年6月30日，除下表所述资产或负债为美元及欧元余额外，本公司的资产及负债均为人民币余额。该等外币余额的资产和负债产生的外汇风险可能对本公司的经营业绩产生影响。</w:t>
      </w:r>
    </w:p>
    <w:tbl>
      <w:tblPr>
        <w:tblW w:w="4872" w:type="pct"/>
        <w:tblCellMar>
          <w:left w:w="0" w:type="dxa"/>
          <w:right w:w="0" w:type="dxa"/>
        </w:tblCellMar>
        <w:tblLook w:val="04A0" w:firstRow="1" w:lastRow="0" w:firstColumn="1" w:lastColumn="0" w:noHBand="0" w:noVBand="1"/>
      </w:tblPr>
      <w:tblGrid>
        <w:gridCol w:w="3307"/>
        <w:gridCol w:w="3147"/>
        <w:gridCol w:w="3147"/>
      </w:tblGrid>
      <w:tr w:rsidR="00C1183B" w:rsidTr="005D7A2B">
        <w:trPr>
          <w:divId w:val="1269389456"/>
          <w:trHeight w:val="213"/>
          <w:tblHeader/>
        </w:trPr>
        <w:tc>
          <w:tcPr>
            <w:tcW w:w="17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6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2024年6月30日</w:t>
            </w:r>
          </w:p>
        </w:tc>
        <w:tc>
          <w:tcPr>
            <w:tcW w:w="1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2023年12月31日</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现金及现金等价物</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24,211,887.14</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105,227,701.48</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20,128,445.52</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105,100,477.61</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t>欧元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4,083,441.62</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127,223.87</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lastRenderedPageBreak/>
              <w:t>应收账款</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128,540,674.31</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85,414,025.36</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128,540,674.31</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81,674,696.59</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t>欧元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xml:space="preserve">　</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3,739,328.77</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应付账款</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22,686,110.22</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29,001,435.70</w:t>
            </w:r>
          </w:p>
        </w:tc>
      </w:tr>
      <w:tr w:rsidR="00C1183B" w:rsidTr="005D7A2B">
        <w:trPr>
          <w:divId w:val="1269389456"/>
          <w:trHeight w:val="409"/>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其中：美元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22,686,110.22</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28,962,347.97</w:t>
            </w:r>
          </w:p>
        </w:tc>
      </w:tr>
      <w:tr w:rsidR="00C1183B" w:rsidTr="005D7A2B">
        <w:trPr>
          <w:divId w:val="1269389456"/>
          <w:trHeight w:val="421"/>
        </w:trPr>
        <w:tc>
          <w:tcPr>
            <w:tcW w:w="17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ind w:firstLine="540"/>
              <w:rPr>
                <w:rFonts w:ascii="Times New Roman" w:hAnsi="Times New Roman" w:cs="Times New Roman"/>
                <w:sz w:val="21"/>
                <w:szCs w:val="21"/>
              </w:rPr>
            </w:pPr>
            <w:r>
              <w:rPr>
                <w:rFonts w:cs="Times New Roman" w:hint="eastAsia"/>
                <w:sz w:val="18"/>
                <w:szCs w:val="18"/>
              </w:rPr>
              <w:t>欧元</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jc w:val="right"/>
              <w:rPr>
                <w:rFonts w:ascii="Times New Roman" w:hAnsi="Times New Roman" w:cs="Times New Roman"/>
                <w:sz w:val="21"/>
                <w:szCs w:val="21"/>
              </w:rPr>
            </w:pPr>
            <w:r>
              <w:rPr>
                <w:rFonts w:cs="Times New Roman" w:hint="eastAsia"/>
                <w:color w:val="000000"/>
                <w:sz w:val="18"/>
                <w:szCs w:val="18"/>
              </w:rPr>
              <w:t xml:space="preserve">　</w:t>
            </w:r>
          </w:p>
        </w:tc>
        <w:tc>
          <w:tcPr>
            <w:tcW w:w="16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39,087.73</w:t>
            </w:r>
          </w:p>
        </w:tc>
      </w:tr>
    </w:tbl>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外汇风险敏感性分析：</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外汇风险敏感性分析假设：所有境外经营净投资套期及现金流量套期均高度有效。在上述假设的基础上，在其他变量不变的情况下，汇率可能发生的合理变动对当期损益和股东权益的影响如下：</w:t>
      </w:r>
    </w:p>
    <w:tbl>
      <w:tblPr>
        <w:tblW w:w="4896" w:type="pct"/>
        <w:tblCellMar>
          <w:left w:w="0" w:type="dxa"/>
          <w:right w:w="0" w:type="dxa"/>
        </w:tblCellMar>
        <w:tblLook w:val="04A0" w:firstRow="1" w:lastRow="0" w:firstColumn="1" w:lastColumn="0" w:noHBand="0" w:noVBand="1"/>
      </w:tblPr>
      <w:tblGrid>
        <w:gridCol w:w="2127"/>
        <w:gridCol w:w="1798"/>
        <w:gridCol w:w="2026"/>
        <w:gridCol w:w="1584"/>
        <w:gridCol w:w="2113"/>
      </w:tblGrid>
      <w:tr w:rsidR="00C1183B" w:rsidTr="005D7A2B">
        <w:trPr>
          <w:divId w:val="1269389456"/>
          <w:trHeight w:val="433"/>
          <w:tblHeader/>
        </w:trPr>
        <w:tc>
          <w:tcPr>
            <w:tcW w:w="110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汇率变动</w:t>
            </w:r>
          </w:p>
        </w:tc>
        <w:tc>
          <w:tcPr>
            <w:tcW w:w="1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w:t>
            </w:r>
          </w:p>
        </w:tc>
        <w:tc>
          <w:tcPr>
            <w:tcW w:w="19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上年同期</w:t>
            </w:r>
          </w:p>
        </w:tc>
      </w:tr>
      <w:tr w:rsidR="00C1183B" w:rsidTr="005D7A2B">
        <w:trPr>
          <w:divId w:val="1269389456"/>
          <w:trHeight w:val="157"/>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183B" w:rsidRDefault="00C1183B">
            <w:pPr>
              <w:rPr>
                <w:rFonts w:ascii="Times New Roman" w:eastAsia="宋体" w:hAnsi="Times New Roman" w:cs="Times New Roman"/>
                <w:szCs w:val="21"/>
              </w:rPr>
            </w:pPr>
          </w:p>
        </w:tc>
        <w:tc>
          <w:tcPr>
            <w:tcW w:w="9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c>
          <w:tcPr>
            <w:tcW w:w="8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对利润的影响</w:t>
            </w:r>
          </w:p>
        </w:tc>
        <w:tc>
          <w:tcPr>
            <w:tcW w:w="10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对股东权益的影响</w:t>
            </w:r>
          </w:p>
        </w:tc>
      </w:tr>
      <w:tr w:rsidR="00C1183B" w:rsidTr="005D7A2B">
        <w:trPr>
          <w:divId w:val="1269389456"/>
          <w:trHeight w:val="433"/>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对人民币升值1%</w:t>
            </w:r>
          </w:p>
        </w:tc>
        <w:tc>
          <w:tcPr>
            <w:tcW w:w="9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c>
          <w:tcPr>
            <w:tcW w:w="8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c>
          <w:tcPr>
            <w:tcW w:w="10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r>
      <w:tr w:rsidR="00C1183B" w:rsidTr="005D7A2B">
        <w:trPr>
          <w:divId w:val="1269389456"/>
          <w:trHeight w:val="433"/>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对人民币贬值1%</w:t>
            </w:r>
          </w:p>
        </w:tc>
        <w:tc>
          <w:tcPr>
            <w:tcW w:w="9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-975,498.38</w:t>
            </w:r>
          </w:p>
        </w:tc>
        <w:tc>
          <w:tcPr>
            <w:tcW w:w="8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c>
          <w:tcPr>
            <w:tcW w:w="10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-1,246,122.11</w:t>
            </w:r>
          </w:p>
        </w:tc>
      </w:tr>
    </w:tbl>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（2）利率风险－现金流量变动风险</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利率风险，是指金融工具的公允价值或未来现金流量因市场利率变动而发生波动的风险。利率风险可源于已确认的计息金融工具和未确认的金融工具（如某些货款承诺）。</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本公司的利率风险主要产生于银行借款。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本公司密切关注利率变动对本公司利率风险的影响。本公司目前并未采取利率对冲政策。但管理</w:t>
      </w:r>
      <w:proofErr w:type="gramStart"/>
      <w:r>
        <w:rPr>
          <w:rFonts w:cs="Times New Roman" w:hint="eastAsia"/>
          <w:sz w:val="18"/>
          <w:szCs w:val="18"/>
        </w:rPr>
        <w:t>层负责</w:t>
      </w:r>
      <w:proofErr w:type="gramEnd"/>
      <w:r>
        <w:rPr>
          <w:rFonts w:cs="Times New Roman" w:hint="eastAsia"/>
          <w:sz w:val="18"/>
          <w:szCs w:val="18"/>
        </w:rPr>
        <w:t>监控利率风险，并将于需要时考虑对</w:t>
      </w:r>
      <w:proofErr w:type="gramStart"/>
      <w:r>
        <w:rPr>
          <w:rFonts w:cs="Times New Roman" w:hint="eastAsia"/>
          <w:sz w:val="18"/>
          <w:szCs w:val="18"/>
        </w:rPr>
        <w:t>冲重大</w:t>
      </w:r>
      <w:proofErr w:type="gramEnd"/>
      <w:r>
        <w:rPr>
          <w:rFonts w:cs="Times New Roman" w:hint="eastAsia"/>
          <w:sz w:val="18"/>
          <w:szCs w:val="18"/>
        </w:rPr>
        <w:t>利率风险。由于定期存款为短期存款，故银行存款的公允价值利率风险并不重大。</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（3）其他价格风险</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本公司持有的分类为以公允价值计量且其变动计入当期损益的金融资产的投资在资产负债表日以公允价值计量。因此，本公司承担着证券市场变动的风险。本公司采取持有多种权益证券组合的方式降低权益证券投资的价格风险。</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其他价格风险敏感性分析：</w:t>
      </w:r>
    </w:p>
    <w:p w:rsidR="00C1183B" w:rsidRDefault="002D376B">
      <w:pPr>
        <w:pStyle w:val="a3"/>
        <w:spacing w:before="0" w:beforeAutospacing="0" w:after="0" w:afterAutospacing="0" w:line="400" w:lineRule="atLeast"/>
        <w:ind w:firstLine="360"/>
        <w:jc w:val="both"/>
        <w:divId w:val="1269389456"/>
        <w:rPr>
          <w:rFonts w:cs="Times New Roman"/>
          <w:sz w:val="18"/>
          <w:szCs w:val="18"/>
        </w:rPr>
      </w:pPr>
      <w:r>
        <w:rPr>
          <w:rFonts w:cs="Times New Roman" w:hint="eastAsia"/>
          <w:sz w:val="18"/>
          <w:szCs w:val="18"/>
        </w:rPr>
        <w:t>于2024年6月30日，如上述公允价值的交易性金融资产中理财产品、货币基金利率上升/下降50个基点；以公允价值计价的交易性金融资产中权益工具投资、以公允价值计价的其他非流动金融资产的价格升高/降低10%，则公司的归属于母公司股东权益的增减变动情况如下：</w:t>
      </w:r>
    </w:p>
    <w:tbl>
      <w:tblPr>
        <w:tblW w:w="9464" w:type="dxa"/>
        <w:tblCellMar>
          <w:left w:w="0" w:type="dxa"/>
          <w:right w:w="0" w:type="dxa"/>
        </w:tblCellMar>
        <w:tblLook w:val="04A0" w:firstRow="1" w:lastRow="0" w:firstColumn="1" w:lastColumn="0" w:noHBand="0" w:noVBand="1"/>
      </w:tblPr>
      <w:tblGrid>
        <w:gridCol w:w="5209"/>
        <w:gridCol w:w="2171"/>
        <w:gridCol w:w="2084"/>
      </w:tblGrid>
      <w:tr w:rsidR="00C1183B" w:rsidTr="005D7A2B">
        <w:trPr>
          <w:divId w:val="1269389456"/>
          <w:trHeight w:val="335"/>
          <w:tblHeader/>
        </w:trPr>
        <w:tc>
          <w:tcPr>
            <w:tcW w:w="5209"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金融资产</w:t>
            </w:r>
          </w:p>
        </w:tc>
        <w:tc>
          <w:tcPr>
            <w:tcW w:w="21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价格升高</w:t>
            </w:r>
          </w:p>
        </w:tc>
        <w:tc>
          <w:tcPr>
            <w:tcW w:w="20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价格降低</w:t>
            </w:r>
          </w:p>
        </w:tc>
      </w:tr>
      <w:tr w:rsidR="00C1183B" w:rsidTr="005D7A2B">
        <w:trPr>
          <w:divId w:val="1269389456"/>
          <w:trHeight w:val="33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183B" w:rsidRDefault="00C1183B">
            <w:pPr>
              <w:rPr>
                <w:rFonts w:ascii="Times New Roman" w:eastAsia="宋体" w:hAnsi="Times New Roman" w:cs="Times New Roman"/>
                <w:szCs w:val="21"/>
              </w:rPr>
            </w:pPr>
          </w:p>
        </w:tc>
        <w:tc>
          <w:tcPr>
            <w:tcW w:w="21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归母股东权益增加</w:t>
            </w:r>
          </w:p>
        </w:tc>
        <w:tc>
          <w:tcPr>
            <w:tcW w:w="20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归母股东权益减少</w:t>
            </w:r>
          </w:p>
        </w:tc>
      </w:tr>
      <w:tr w:rsidR="00C1183B" w:rsidTr="005D7A2B">
        <w:trPr>
          <w:divId w:val="1269389456"/>
          <w:trHeight w:val="335"/>
        </w:trPr>
        <w:tc>
          <w:tcPr>
            <w:tcW w:w="52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以公允价值计量且其变动计入当期损益的金融资产</w:t>
            </w:r>
          </w:p>
        </w:tc>
        <w:tc>
          <w:tcPr>
            <w:tcW w:w="21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20,547,034.93</w:t>
            </w:r>
          </w:p>
        </w:tc>
        <w:tc>
          <w:tcPr>
            <w:tcW w:w="20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-20,547,034.93</w:t>
            </w:r>
          </w:p>
        </w:tc>
      </w:tr>
      <w:tr w:rsidR="00C1183B" w:rsidTr="005D7A2B">
        <w:trPr>
          <w:divId w:val="1269389456"/>
          <w:trHeight w:val="335"/>
        </w:trPr>
        <w:tc>
          <w:tcPr>
            <w:tcW w:w="52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以公允价值计量的其他非流动金融资产</w:t>
            </w:r>
          </w:p>
        </w:tc>
        <w:tc>
          <w:tcPr>
            <w:tcW w:w="21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62,055,739.78</w:t>
            </w:r>
          </w:p>
        </w:tc>
        <w:tc>
          <w:tcPr>
            <w:tcW w:w="20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-62,055,739.78</w:t>
            </w:r>
          </w:p>
        </w:tc>
      </w:tr>
    </w:tbl>
    <w:p w:rsidR="00C1183B" w:rsidRDefault="002D376B">
      <w:pPr>
        <w:pStyle w:val="a3"/>
        <w:spacing w:before="0" w:beforeAutospacing="0" w:after="0" w:afterAutospacing="0" w:line="400" w:lineRule="atLeast"/>
        <w:ind w:firstLine="361"/>
        <w:jc w:val="both"/>
        <w:divId w:val="1269389456"/>
        <w:rPr>
          <w:rFonts w:ascii="Times New Roman" w:hAnsi="Times New Roman" w:cs="Times New Roman"/>
          <w:sz w:val="21"/>
          <w:szCs w:val="21"/>
        </w:rPr>
      </w:pPr>
      <w:r>
        <w:rPr>
          <w:rStyle w:val="a4"/>
          <w:rFonts w:cs="Times New Roman" w:hint="eastAsia"/>
          <w:sz w:val="18"/>
          <w:szCs w:val="18"/>
        </w:rPr>
        <w:lastRenderedPageBreak/>
        <w:t>2、信用风险</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2024年6月30日，可能引起本公司财务损失的最大信用风险敞口主要来自于合同另一方未能履行义务而导致本公司金融资产产生的损失以及本公司承担的财务担保，具体包括：合并资产负债表中已确认的金融资产的账面金额；对于以公允价值计量的金融工具而言，账面价值反映了其风险敞口，但并非最大风险敞口，其最大风险敞口将随着未来公允价值的变化而改变。</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本公司的流动资金存放在信用评级较高的银行，故流动资金的信用风险较低。</w:t>
      </w:r>
    </w:p>
    <w:p w:rsidR="00CA05B2" w:rsidRDefault="00CA05B2">
      <w:pPr>
        <w:pStyle w:val="a3"/>
        <w:spacing w:before="0" w:beforeAutospacing="0" w:after="0" w:afterAutospacing="0" w:line="400" w:lineRule="atLeast"/>
        <w:ind w:firstLine="361"/>
        <w:jc w:val="both"/>
        <w:divId w:val="1269389456"/>
        <w:rPr>
          <w:rStyle w:val="a4"/>
          <w:rFonts w:cs="Times New Roman"/>
          <w:sz w:val="18"/>
          <w:szCs w:val="18"/>
        </w:rPr>
      </w:pPr>
    </w:p>
    <w:p w:rsidR="00C1183B" w:rsidRDefault="002D376B">
      <w:pPr>
        <w:pStyle w:val="a3"/>
        <w:spacing w:before="0" w:beforeAutospacing="0" w:after="0" w:afterAutospacing="0" w:line="400" w:lineRule="atLeast"/>
        <w:ind w:firstLine="361"/>
        <w:jc w:val="both"/>
        <w:divId w:val="1269389456"/>
        <w:rPr>
          <w:rFonts w:ascii="Times New Roman" w:hAnsi="Times New Roman" w:cs="Times New Roman"/>
          <w:sz w:val="21"/>
          <w:szCs w:val="21"/>
        </w:rPr>
      </w:pPr>
      <w:r>
        <w:rPr>
          <w:rStyle w:val="a4"/>
          <w:rFonts w:cs="Times New Roman" w:hint="eastAsia"/>
          <w:sz w:val="18"/>
          <w:szCs w:val="18"/>
        </w:rPr>
        <w:t>3、流动风险</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C1183B" w:rsidRDefault="002D376B">
      <w:pPr>
        <w:pStyle w:val="a3"/>
        <w:spacing w:before="0" w:beforeAutospacing="0" w:after="0" w:afterAutospacing="0" w:line="400" w:lineRule="atLeast"/>
        <w:ind w:firstLine="360"/>
        <w:jc w:val="both"/>
        <w:divId w:val="1269389456"/>
        <w:rPr>
          <w:rFonts w:ascii="Times New Roman" w:hAnsi="Times New Roman" w:cs="Times New Roman"/>
          <w:sz w:val="21"/>
          <w:szCs w:val="21"/>
        </w:rPr>
      </w:pPr>
      <w:r>
        <w:rPr>
          <w:rFonts w:cs="Times New Roman" w:hint="eastAsia"/>
          <w:sz w:val="18"/>
          <w:szCs w:val="18"/>
        </w:rPr>
        <w:t>于2024年6月30日，本公司持有的金融负债按未折现剩余合同义务的到期期限分析如下：</w:t>
      </w:r>
    </w:p>
    <w:tbl>
      <w:tblPr>
        <w:tblW w:w="4803" w:type="pct"/>
        <w:tblCellMar>
          <w:left w:w="0" w:type="dxa"/>
          <w:right w:w="0" w:type="dxa"/>
        </w:tblCellMar>
        <w:tblLook w:val="04A0" w:firstRow="1" w:lastRow="0" w:firstColumn="1" w:lastColumn="0" w:noHBand="0" w:noVBand="1"/>
      </w:tblPr>
      <w:tblGrid>
        <w:gridCol w:w="3390"/>
        <w:gridCol w:w="2334"/>
        <w:gridCol w:w="2039"/>
        <w:gridCol w:w="1702"/>
      </w:tblGrid>
      <w:tr w:rsidR="00C1183B" w:rsidTr="005D7A2B">
        <w:trPr>
          <w:divId w:val="1269389456"/>
          <w:tblHeader/>
        </w:trPr>
        <w:tc>
          <w:tcPr>
            <w:tcW w:w="17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2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1年以内</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1-5年</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5年以上</w:t>
            </w:r>
          </w:p>
        </w:tc>
      </w:tr>
      <w:tr w:rsidR="00C1183B" w:rsidTr="005D7A2B">
        <w:trPr>
          <w:divId w:val="126938945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短期借款</w:t>
            </w:r>
          </w:p>
        </w:tc>
        <w:tc>
          <w:tcPr>
            <w:tcW w:w="1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1,090,709,348.89</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C1183B" w:rsidTr="005D7A2B">
        <w:trPr>
          <w:divId w:val="126938945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应付账款</w:t>
            </w:r>
          </w:p>
        </w:tc>
        <w:tc>
          <w:tcPr>
            <w:tcW w:w="1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83,170,821.99</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C1183B" w:rsidTr="005D7A2B">
        <w:trPr>
          <w:divId w:val="126938945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其他应付款</w:t>
            </w:r>
          </w:p>
        </w:tc>
        <w:tc>
          <w:tcPr>
            <w:tcW w:w="1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18,309,599.26</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C1183B" w:rsidTr="005D7A2B">
        <w:trPr>
          <w:divId w:val="126938945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其他流动负债</w:t>
            </w:r>
          </w:p>
        </w:tc>
        <w:tc>
          <w:tcPr>
            <w:tcW w:w="1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34,788,411.58</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r w:rsidR="00C1183B" w:rsidTr="005D7A2B">
        <w:trPr>
          <w:divId w:val="1269389456"/>
        </w:trPr>
        <w:tc>
          <w:tcPr>
            <w:tcW w:w="17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长期借款</w:t>
            </w:r>
          </w:p>
        </w:tc>
        <w:tc>
          <w:tcPr>
            <w:tcW w:w="1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20,000,000.00</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 </w:t>
            </w:r>
          </w:p>
        </w:tc>
      </w:tr>
    </w:tbl>
    <w:p w:rsidR="00334CB7" w:rsidRDefault="002D376B">
      <w:pPr>
        <w:pStyle w:val="2"/>
        <w:spacing w:before="300" w:after="300" w:line="320" w:lineRule="exact"/>
        <w:rPr>
          <w:rFonts w:ascii="宋体" w:eastAsia="宋体" w:hAnsi="宋体" w:cs="宋体"/>
          <w:b/>
          <w:bCs/>
          <w:sz w:val="24"/>
          <w:szCs w:val="24"/>
        </w:rPr>
      </w:pPr>
      <w:bookmarkStart w:id="277" w:name="_Toc989165"/>
      <w:r>
        <w:rPr>
          <w:rFonts w:ascii="宋体" w:eastAsia="宋体" w:hAnsi="宋体" w:cs="宋体"/>
          <w:b/>
          <w:bCs/>
          <w:sz w:val="24"/>
          <w:szCs w:val="24"/>
        </w:rPr>
        <w:t>十二、公允价值的披露</w:t>
      </w:r>
      <w:bookmarkEnd w:id="277"/>
    </w:p>
    <w:p w:rsidR="00334CB7" w:rsidRDefault="002D376B">
      <w:pPr>
        <w:pStyle w:val="3"/>
        <w:spacing w:line="280" w:lineRule="exact"/>
        <w:jc w:val="left"/>
        <w:rPr>
          <w:rFonts w:ascii="宋体" w:hAnsi="宋体" w:cs="宋体"/>
          <w:b/>
          <w:bCs/>
        </w:rPr>
      </w:pPr>
      <w:bookmarkStart w:id="278" w:name="_Toc989166"/>
      <w:r>
        <w:rPr>
          <w:rFonts w:ascii="宋体" w:hAnsi="宋体" w:cs="宋体"/>
          <w:b/>
          <w:bCs/>
        </w:rPr>
        <w:t>1、以公允价值计量的资产和负债的期末公允价值</w:t>
      </w:r>
      <w:bookmarkEnd w:id="27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（一）交易性金融资产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361,777,515.76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361,777,515.76</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361,777,515.76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361,777,515.76</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231,849,578.40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231,849,578.40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（3）衍生金融资产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34,634,378.76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34,634,378.76</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（4）基金</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95,293,558.60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95,293,558.60</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（二）其他债权投资</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（三）其他权益工具投资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（四）投资性房地产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（五）生物资产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（六）其他非流动金融资产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827,409,863.78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827,409,863.78</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（七）应收款项融资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170,587,490.34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170,587,490.34</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361,777,515.76</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170,587,490.34</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827,409,863.78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1,359,774,869.88</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w:t>
            </w:r>
            <w:r w:rsidR="00AB0CEB">
              <w:rPr>
                <w:rFonts w:ascii="宋体" w:eastAsia="宋体" w:hAnsi="宋体" w:cs="宋体"/>
                <w:sz w:val="18"/>
                <w:szCs w:val="18"/>
              </w:rPr>
              <w:t>八</w:t>
            </w:r>
            <w:r>
              <w:rPr>
                <w:rFonts w:ascii="宋体" w:eastAsia="宋体" w:hAnsi="宋体" w:cs="宋体"/>
                <w:sz w:val="18"/>
                <w:szCs w:val="18"/>
              </w:rPr>
              <w:t>）交易性金融负债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AB0CEB">
            <w:pPr>
              <w:spacing w:before="40" w:after="40" w:line="240" w:lineRule="exact"/>
              <w:rPr>
                <w:rFonts w:ascii="宋体" w:eastAsia="宋体" w:hAnsi="宋体" w:cs="宋体"/>
                <w:sz w:val="18"/>
                <w:szCs w:val="18"/>
              </w:rPr>
            </w:pPr>
            <w:r>
              <w:rPr>
                <w:rFonts w:ascii="宋体" w:eastAsia="宋体" w:hAnsi="宋体" w:cs="宋体"/>
                <w:sz w:val="18"/>
                <w:szCs w:val="18"/>
              </w:rPr>
              <w:t>（九</w:t>
            </w:r>
            <w:r w:rsidR="002D376B">
              <w:rPr>
                <w:rFonts w:ascii="宋体" w:eastAsia="宋体" w:hAnsi="宋体" w:cs="宋体"/>
                <w:sz w:val="18"/>
                <w:szCs w:val="18"/>
              </w:rPr>
              <w:t>）指定为以公允价值计量且变动计入当期损益的金融负债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（一）持有待售资产</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bl>
    <w:p w:rsidR="00334CB7" w:rsidRDefault="002D376B">
      <w:pPr>
        <w:pStyle w:val="3"/>
        <w:spacing w:line="280" w:lineRule="exact"/>
        <w:jc w:val="left"/>
        <w:rPr>
          <w:rFonts w:ascii="宋体" w:hAnsi="宋体" w:cs="宋体"/>
          <w:b/>
          <w:bCs/>
        </w:rPr>
      </w:pPr>
      <w:bookmarkStart w:id="279" w:name="_Toc989167"/>
      <w:r>
        <w:rPr>
          <w:rFonts w:ascii="宋体" w:hAnsi="宋体" w:cs="宋体"/>
          <w:b/>
          <w:bCs/>
        </w:rPr>
        <w:t>2、持续和非持续第一层次公允价值计量项目市价的确定依据</w:t>
      </w:r>
      <w:bookmarkEnd w:id="279"/>
    </w:p>
    <w:p w:rsidR="00C1183B" w:rsidRDefault="002D376B">
      <w:pPr>
        <w:pStyle w:val="a3"/>
        <w:spacing w:before="0" w:beforeAutospacing="0" w:after="0" w:afterAutospacing="0" w:line="400" w:lineRule="atLeast"/>
        <w:ind w:firstLine="360"/>
        <w:jc w:val="both"/>
        <w:divId w:val="961034178"/>
        <w:rPr>
          <w:rFonts w:ascii="Times New Roman" w:hAnsi="Times New Roman" w:cs="Times New Roman"/>
          <w:sz w:val="21"/>
          <w:szCs w:val="21"/>
        </w:rPr>
      </w:pPr>
      <w:r>
        <w:rPr>
          <w:rFonts w:cs="Times New Roman" w:hint="eastAsia"/>
          <w:sz w:val="18"/>
          <w:szCs w:val="18"/>
        </w:rPr>
        <w:t>第一层输入值是在计量</w:t>
      </w:r>
      <w:proofErr w:type="gramStart"/>
      <w:r>
        <w:rPr>
          <w:rFonts w:cs="Times New Roman" w:hint="eastAsia"/>
          <w:sz w:val="18"/>
          <w:szCs w:val="18"/>
        </w:rPr>
        <w:t>日能够</w:t>
      </w:r>
      <w:proofErr w:type="gramEnd"/>
      <w:r>
        <w:rPr>
          <w:rFonts w:cs="Times New Roman" w:hint="eastAsia"/>
          <w:sz w:val="18"/>
          <w:szCs w:val="18"/>
        </w:rPr>
        <w:t>取得的相同资产或负债在活跃市场上未经调整的报价。</w:t>
      </w:r>
    </w:p>
    <w:p w:rsidR="00334CB7" w:rsidRDefault="002D376B">
      <w:pPr>
        <w:pStyle w:val="3"/>
        <w:spacing w:line="280" w:lineRule="exact"/>
        <w:jc w:val="left"/>
        <w:rPr>
          <w:rFonts w:ascii="宋体" w:hAnsi="宋体" w:cs="宋体"/>
          <w:b/>
          <w:bCs/>
        </w:rPr>
      </w:pPr>
      <w:bookmarkStart w:id="280" w:name="_Toc989168"/>
      <w:r>
        <w:rPr>
          <w:rFonts w:ascii="宋体" w:hAnsi="宋体" w:cs="宋体"/>
          <w:b/>
          <w:bCs/>
        </w:rPr>
        <w:t>3、持续和非持续第二层次公允价值计量项目，采用的估值技术和重要参数的定性及定量信息</w:t>
      </w:r>
      <w:bookmarkEnd w:id="280"/>
    </w:p>
    <w:p w:rsidR="00C1183B" w:rsidRDefault="002D376B">
      <w:pPr>
        <w:pStyle w:val="a3"/>
        <w:spacing w:before="0" w:beforeAutospacing="0" w:after="0" w:afterAutospacing="0" w:line="400" w:lineRule="atLeast"/>
        <w:ind w:firstLine="360"/>
        <w:jc w:val="both"/>
        <w:divId w:val="1092093639"/>
        <w:rPr>
          <w:rFonts w:ascii="Times New Roman" w:hAnsi="Times New Roman" w:cs="Times New Roman"/>
          <w:sz w:val="21"/>
          <w:szCs w:val="21"/>
        </w:rPr>
      </w:pPr>
      <w:r>
        <w:rPr>
          <w:rFonts w:cs="Times New Roman" w:hint="eastAsia"/>
          <w:sz w:val="18"/>
          <w:szCs w:val="18"/>
        </w:rPr>
        <w:t>第二层次输入值：除第一层次输入</w:t>
      </w:r>
      <w:proofErr w:type="gramStart"/>
      <w:r>
        <w:rPr>
          <w:rFonts w:cs="Times New Roman" w:hint="eastAsia"/>
          <w:sz w:val="18"/>
          <w:szCs w:val="18"/>
        </w:rPr>
        <w:t>值外相关</w:t>
      </w:r>
      <w:proofErr w:type="gramEnd"/>
      <w:r w:rsidR="006E3E6C">
        <w:rPr>
          <w:rFonts w:cs="Times New Roman" w:hint="eastAsia"/>
          <w:sz w:val="18"/>
          <w:szCs w:val="18"/>
        </w:rPr>
        <w:t>资产或负债直接或</w:t>
      </w:r>
      <w:proofErr w:type="gramStart"/>
      <w:r w:rsidR="006E3E6C">
        <w:rPr>
          <w:rFonts w:cs="Times New Roman" w:hint="eastAsia"/>
          <w:sz w:val="18"/>
          <w:szCs w:val="18"/>
        </w:rPr>
        <w:t>间</w:t>
      </w:r>
      <w:r>
        <w:rPr>
          <w:rFonts w:cs="Times New Roman" w:hint="eastAsia"/>
          <w:sz w:val="18"/>
          <w:szCs w:val="18"/>
        </w:rPr>
        <w:t>接可</w:t>
      </w:r>
      <w:proofErr w:type="gramEnd"/>
      <w:r>
        <w:rPr>
          <w:rFonts w:cs="Times New Roman" w:hint="eastAsia"/>
          <w:sz w:val="18"/>
          <w:szCs w:val="18"/>
        </w:rPr>
        <w:t>观察的输入值，期末公司持续和非持续第二层次公允价值计量项目主要为应收款项融资。</w:t>
      </w:r>
    </w:p>
    <w:tbl>
      <w:tblPr>
        <w:tblW w:w="4841" w:type="pct"/>
        <w:tblCellMar>
          <w:left w:w="0" w:type="dxa"/>
          <w:right w:w="0" w:type="dxa"/>
        </w:tblCellMar>
        <w:tblLook w:val="04A0" w:firstRow="1" w:lastRow="0" w:firstColumn="1" w:lastColumn="0" w:noHBand="0" w:noVBand="1"/>
      </w:tblPr>
      <w:tblGrid>
        <w:gridCol w:w="2760"/>
        <w:gridCol w:w="2510"/>
        <w:gridCol w:w="1896"/>
        <w:gridCol w:w="2219"/>
      </w:tblGrid>
      <w:tr w:rsidR="00C1183B" w:rsidTr="00647844">
        <w:trPr>
          <w:divId w:val="1092093639"/>
          <w:trHeight w:val="345"/>
          <w:tblHeader/>
        </w:trPr>
        <w:tc>
          <w:tcPr>
            <w:tcW w:w="147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33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101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118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可间接观察输入值</w:t>
            </w:r>
          </w:p>
        </w:tc>
      </w:tr>
      <w:tr w:rsidR="00C1183B" w:rsidTr="00647844">
        <w:trPr>
          <w:divId w:val="1092093639"/>
          <w:trHeight w:val="345"/>
        </w:trPr>
        <w:tc>
          <w:tcPr>
            <w:tcW w:w="147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应收款项融资</w:t>
            </w:r>
          </w:p>
        </w:tc>
        <w:tc>
          <w:tcPr>
            <w:tcW w:w="133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170,587,490.34</w:t>
            </w:r>
          </w:p>
        </w:tc>
        <w:tc>
          <w:tcPr>
            <w:tcW w:w="101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现金流量折现法</w:t>
            </w:r>
          </w:p>
        </w:tc>
        <w:tc>
          <w:tcPr>
            <w:tcW w:w="118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折现率（注）</w:t>
            </w:r>
          </w:p>
        </w:tc>
      </w:tr>
    </w:tbl>
    <w:p w:rsidR="00C1183B" w:rsidRDefault="002D376B">
      <w:pPr>
        <w:pStyle w:val="a3"/>
        <w:spacing w:before="0" w:beforeAutospacing="0" w:after="0" w:afterAutospacing="0" w:line="400" w:lineRule="atLeast"/>
        <w:ind w:firstLine="360"/>
        <w:jc w:val="both"/>
        <w:divId w:val="1092093639"/>
        <w:rPr>
          <w:rFonts w:ascii="Times New Roman" w:hAnsi="Times New Roman" w:cs="Times New Roman"/>
          <w:sz w:val="21"/>
          <w:szCs w:val="21"/>
        </w:rPr>
      </w:pPr>
      <w:r>
        <w:rPr>
          <w:rFonts w:cs="Times New Roman" w:hint="eastAsia"/>
          <w:sz w:val="18"/>
          <w:szCs w:val="18"/>
        </w:rPr>
        <w:t>注：应收款项融资为银行承兑汇票，期限较短且风险较低，票面金额与公允价值接近，采用票面金额作为公允价值。</w:t>
      </w:r>
    </w:p>
    <w:p w:rsidR="00334CB7" w:rsidRDefault="002D376B">
      <w:pPr>
        <w:pStyle w:val="3"/>
        <w:spacing w:line="280" w:lineRule="exact"/>
        <w:jc w:val="left"/>
        <w:rPr>
          <w:rFonts w:ascii="宋体" w:hAnsi="宋体" w:cs="宋体"/>
          <w:b/>
          <w:bCs/>
        </w:rPr>
      </w:pPr>
      <w:bookmarkStart w:id="281" w:name="_Toc989169"/>
      <w:r>
        <w:rPr>
          <w:rFonts w:ascii="宋体" w:hAnsi="宋体" w:cs="宋体"/>
          <w:b/>
          <w:bCs/>
        </w:rPr>
        <w:t>4、持续和非持续第三层次公允价值计量项目，采用的估值技术和重要参数的定性及定量信息</w:t>
      </w:r>
      <w:bookmarkEnd w:id="281"/>
    </w:p>
    <w:p w:rsidR="00C1183B" w:rsidRDefault="002D376B">
      <w:pPr>
        <w:pStyle w:val="a3"/>
        <w:spacing w:before="0" w:beforeAutospacing="0" w:after="0" w:afterAutospacing="0" w:line="400" w:lineRule="atLeast"/>
        <w:ind w:firstLine="360"/>
        <w:jc w:val="both"/>
        <w:divId w:val="974260066"/>
        <w:rPr>
          <w:rFonts w:ascii="Times New Roman" w:hAnsi="Times New Roman" w:cs="Times New Roman"/>
          <w:sz w:val="21"/>
          <w:szCs w:val="21"/>
        </w:rPr>
      </w:pPr>
      <w:r>
        <w:rPr>
          <w:rFonts w:cs="Times New Roman" w:hint="eastAsia"/>
          <w:sz w:val="18"/>
          <w:szCs w:val="18"/>
        </w:rPr>
        <w:t>本公司分类为第三层次公允价值计量项目主要为非上市公司权益工具投资，估值技术包括市场比较法、现金流量折现法。</w:t>
      </w:r>
    </w:p>
    <w:p w:rsidR="00C1183B" w:rsidRDefault="002D376B">
      <w:pPr>
        <w:pStyle w:val="a3"/>
        <w:spacing w:before="0" w:beforeAutospacing="0" w:after="0" w:afterAutospacing="0" w:line="400" w:lineRule="atLeast"/>
        <w:ind w:firstLine="360"/>
        <w:jc w:val="both"/>
        <w:divId w:val="974260066"/>
        <w:rPr>
          <w:rFonts w:ascii="Times New Roman" w:hAnsi="Times New Roman" w:cs="Times New Roman"/>
          <w:sz w:val="21"/>
          <w:szCs w:val="21"/>
        </w:rPr>
      </w:pPr>
      <w:r>
        <w:rPr>
          <w:rFonts w:cs="Times New Roman" w:hint="eastAsia"/>
          <w:sz w:val="18"/>
          <w:szCs w:val="18"/>
        </w:rPr>
        <w:t>以下为第三层次公允价值计量项目的重要不可观察输入值概述：</w:t>
      </w:r>
    </w:p>
    <w:tbl>
      <w:tblPr>
        <w:tblW w:w="4914" w:type="pct"/>
        <w:tblCellMar>
          <w:left w:w="0" w:type="dxa"/>
          <w:right w:w="0" w:type="dxa"/>
        </w:tblCellMar>
        <w:tblLook w:val="04A0" w:firstRow="1" w:lastRow="0" w:firstColumn="1" w:lastColumn="0" w:noHBand="0" w:noVBand="1"/>
      </w:tblPr>
      <w:tblGrid>
        <w:gridCol w:w="2762"/>
        <w:gridCol w:w="1670"/>
        <w:gridCol w:w="3488"/>
        <w:gridCol w:w="1606"/>
      </w:tblGrid>
      <w:tr w:rsidR="00C1183B" w:rsidTr="00647844">
        <w:trPr>
          <w:divId w:val="974260066"/>
          <w:trHeight w:val="345"/>
          <w:tblHeader/>
        </w:trPr>
        <w:tc>
          <w:tcPr>
            <w:tcW w:w="144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87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183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84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不可观察输入值</w:t>
            </w:r>
          </w:p>
        </w:tc>
      </w:tr>
      <w:tr w:rsidR="00C1183B" w:rsidTr="00647844">
        <w:trPr>
          <w:divId w:val="974260066"/>
          <w:trHeight w:val="345"/>
        </w:trPr>
        <w:tc>
          <w:tcPr>
            <w:tcW w:w="1449"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其他非流动金融资产汇总</w:t>
            </w:r>
          </w:p>
        </w:tc>
        <w:tc>
          <w:tcPr>
            <w:tcW w:w="87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827,409,863.78</w:t>
            </w:r>
          </w:p>
        </w:tc>
        <w:tc>
          <w:tcPr>
            <w:tcW w:w="183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参照可比上市</w:t>
            </w:r>
            <w:proofErr w:type="gramStart"/>
            <w:r>
              <w:rPr>
                <w:rFonts w:cs="Times New Roman" w:hint="eastAsia"/>
                <w:sz w:val="18"/>
                <w:szCs w:val="18"/>
              </w:rPr>
              <w:t>公司市净率</w:t>
            </w:r>
            <w:proofErr w:type="gramEnd"/>
            <w:r>
              <w:rPr>
                <w:rFonts w:cs="Times New Roman" w:hint="eastAsia"/>
                <w:sz w:val="18"/>
                <w:szCs w:val="18"/>
              </w:rPr>
              <w:t>、流动性系数计算</w:t>
            </w:r>
          </w:p>
        </w:tc>
        <w:tc>
          <w:tcPr>
            <w:tcW w:w="84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流动性折扣系数</w:t>
            </w:r>
          </w:p>
        </w:tc>
      </w:tr>
    </w:tbl>
    <w:p w:rsidR="00334CB7" w:rsidRDefault="002D376B">
      <w:pPr>
        <w:pStyle w:val="2"/>
        <w:spacing w:before="300" w:after="300" w:line="320" w:lineRule="exact"/>
        <w:rPr>
          <w:rFonts w:ascii="宋体" w:eastAsia="宋体" w:hAnsi="宋体" w:cs="宋体"/>
          <w:b/>
          <w:bCs/>
          <w:sz w:val="24"/>
          <w:szCs w:val="24"/>
        </w:rPr>
      </w:pPr>
      <w:bookmarkStart w:id="282" w:name="_Toc989170"/>
      <w:r>
        <w:rPr>
          <w:rFonts w:ascii="宋体" w:eastAsia="宋体" w:hAnsi="宋体" w:cs="宋体"/>
          <w:b/>
          <w:bCs/>
          <w:sz w:val="24"/>
          <w:szCs w:val="24"/>
        </w:rPr>
        <w:lastRenderedPageBreak/>
        <w:t>十三、关联方及关联交易</w:t>
      </w:r>
      <w:bookmarkEnd w:id="282"/>
    </w:p>
    <w:p w:rsidR="00334CB7" w:rsidRDefault="002D376B">
      <w:pPr>
        <w:pStyle w:val="3"/>
        <w:spacing w:line="280" w:lineRule="exact"/>
        <w:jc w:val="left"/>
        <w:rPr>
          <w:rFonts w:ascii="宋体" w:hAnsi="宋体" w:cs="宋体"/>
          <w:b/>
          <w:bCs/>
        </w:rPr>
      </w:pPr>
      <w:bookmarkStart w:id="283" w:name="_Toc989171"/>
      <w:r>
        <w:rPr>
          <w:rFonts w:ascii="宋体" w:hAnsi="宋体" w:cs="宋体"/>
          <w:b/>
          <w:bCs/>
        </w:rPr>
        <w:t>1、本企业的母公司情况</w:t>
      </w:r>
      <w:bookmarkEnd w:id="28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生产销售</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900,000.00万元人民币</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29.34%</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p w:rsidR="00C1183B" w:rsidRDefault="002D376B">
      <w:pPr>
        <w:pStyle w:val="a3"/>
        <w:spacing w:before="0" w:beforeAutospacing="0" w:after="0" w:afterAutospacing="0" w:line="400" w:lineRule="atLeast"/>
        <w:ind w:firstLine="360"/>
        <w:jc w:val="both"/>
        <w:divId w:val="1020088957"/>
        <w:rPr>
          <w:rFonts w:asciiTheme="minorEastAsia" w:eastAsiaTheme="minorEastAsia" w:hAnsiTheme="minorEastAsia"/>
          <w:sz w:val="18"/>
          <w:szCs w:val="18"/>
        </w:rPr>
      </w:pPr>
      <w:r w:rsidRPr="00AB0CEB">
        <w:rPr>
          <w:rFonts w:asciiTheme="minorEastAsia" w:eastAsiaTheme="minorEastAsia" w:hAnsiTheme="minorEastAsia" w:hint="eastAsia"/>
          <w:sz w:val="18"/>
          <w:szCs w:val="18"/>
        </w:rPr>
        <w:t>注：截至</w:t>
      </w:r>
      <w:r w:rsidRPr="00AB0CEB">
        <w:rPr>
          <w:rFonts w:asciiTheme="minorEastAsia" w:eastAsiaTheme="minorEastAsia" w:hAnsiTheme="minorEastAsia" w:cs="Arial"/>
          <w:sz w:val="18"/>
          <w:szCs w:val="18"/>
        </w:rPr>
        <w:t>2024</w:t>
      </w:r>
      <w:r w:rsidRPr="00AB0CEB">
        <w:rPr>
          <w:rFonts w:asciiTheme="minorEastAsia" w:eastAsiaTheme="minorEastAsia" w:hAnsiTheme="minorEastAsia" w:hint="eastAsia"/>
          <w:sz w:val="18"/>
          <w:szCs w:val="18"/>
        </w:rPr>
        <w:t>年</w:t>
      </w:r>
      <w:r w:rsidRPr="00AB0CEB">
        <w:rPr>
          <w:rFonts w:asciiTheme="minorEastAsia" w:eastAsiaTheme="minorEastAsia" w:hAnsiTheme="minorEastAsia" w:cs="Arial"/>
          <w:sz w:val="18"/>
          <w:szCs w:val="18"/>
        </w:rPr>
        <w:t>6</w:t>
      </w:r>
      <w:r w:rsidRPr="00AB0CEB">
        <w:rPr>
          <w:rFonts w:asciiTheme="minorEastAsia" w:eastAsiaTheme="minorEastAsia" w:hAnsiTheme="minorEastAsia" w:hint="eastAsia"/>
          <w:sz w:val="18"/>
          <w:szCs w:val="18"/>
        </w:rPr>
        <w:t>月</w:t>
      </w:r>
      <w:r w:rsidRPr="00AB0CEB">
        <w:rPr>
          <w:rFonts w:asciiTheme="minorEastAsia" w:eastAsiaTheme="minorEastAsia" w:hAnsiTheme="minorEastAsia" w:cs="Arial"/>
          <w:sz w:val="18"/>
          <w:szCs w:val="18"/>
        </w:rPr>
        <w:t>30</w:t>
      </w:r>
      <w:r w:rsidRPr="00AB0CEB">
        <w:rPr>
          <w:rFonts w:asciiTheme="minorEastAsia" w:eastAsiaTheme="minorEastAsia" w:hAnsiTheme="minorEastAsia" w:hint="eastAsia"/>
          <w:sz w:val="18"/>
          <w:szCs w:val="18"/>
        </w:rPr>
        <w:t>日，江苏华西集团有限公司累计持有本公司</w:t>
      </w:r>
      <w:r w:rsidRPr="00AB0CEB">
        <w:rPr>
          <w:rFonts w:asciiTheme="minorEastAsia" w:eastAsiaTheme="minorEastAsia" w:hAnsiTheme="minorEastAsia" w:cs="Arial"/>
          <w:sz w:val="18"/>
          <w:szCs w:val="18"/>
        </w:rPr>
        <w:t>29.34%</w:t>
      </w:r>
      <w:r w:rsidRPr="00AB0CEB">
        <w:rPr>
          <w:rFonts w:asciiTheme="minorEastAsia" w:eastAsiaTheme="minorEastAsia" w:hAnsiTheme="minorEastAsia" w:hint="eastAsia"/>
          <w:sz w:val="18"/>
          <w:szCs w:val="18"/>
        </w:rPr>
        <w:t>股份，持股数</w:t>
      </w:r>
      <w:r w:rsidRPr="00AB0CEB">
        <w:rPr>
          <w:rFonts w:asciiTheme="minorEastAsia" w:eastAsiaTheme="minorEastAsia" w:hAnsiTheme="minorEastAsia" w:cs="Arial"/>
          <w:sz w:val="18"/>
          <w:szCs w:val="18"/>
        </w:rPr>
        <w:t>260,000,000</w:t>
      </w:r>
      <w:r w:rsidRPr="00AB0CEB">
        <w:rPr>
          <w:rFonts w:asciiTheme="minorEastAsia" w:eastAsiaTheme="minorEastAsia" w:hAnsiTheme="minorEastAsia" w:hint="eastAsia"/>
          <w:sz w:val="18"/>
          <w:szCs w:val="18"/>
        </w:rPr>
        <w:t>股。</w:t>
      </w:r>
    </w:p>
    <w:p w:rsidR="00647844" w:rsidRPr="00AB0CEB" w:rsidRDefault="00647844">
      <w:pPr>
        <w:pStyle w:val="a3"/>
        <w:spacing w:before="0" w:beforeAutospacing="0" w:after="0" w:afterAutospacing="0" w:line="400" w:lineRule="atLeast"/>
        <w:ind w:firstLine="360"/>
        <w:jc w:val="both"/>
        <w:divId w:val="1020088957"/>
        <w:rPr>
          <w:rFonts w:asciiTheme="minorEastAsia" w:eastAsiaTheme="minorEastAsia" w:hAnsiTheme="minorEastAsia"/>
        </w:rPr>
      </w:pPr>
    </w:p>
    <w:p w:rsidR="00C1183B" w:rsidRDefault="002D376B">
      <w:pPr>
        <w:pStyle w:val="a3"/>
        <w:spacing w:before="0" w:beforeAutospacing="0" w:after="0" w:afterAutospacing="0" w:line="400" w:lineRule="atLeast"/>
        <w:ind w:firstLine="360"/>
        <w:jc w:val="both"/>
        <w:divId w:val="1020088957"/>
      </w:pPr>
      <w:r>
        <w:rPr>
          <w:rFonts w:hint="eastAsia"/>
          <w:sz w:val="18"/>
          <w:szCs w:val="18"/>
        </w:rPr>
        <w:t>江苏华西集团有限公司持有华西股份股权质押情况：</w:t>
      </w:r>
    </w:p>
    <w:tbl>
      <w:tblPr>
        <w:tblW w:w="9526" w:type="dxa"/>
        <w:tblCellMar>
          <w:left w:w="0" w:type="dxa"/>
          <w:right w:w="0" w:type="dxa"/>
        </w:tblCellMar>
        <w:tblLook w:val="04A0" w:firstRow="1" w:lastRow="0" w:firstColumn="1" w:lastColumn="0" w:noHBand="0" w:noVBand="1"/>
      </w:tblPr>
      <w:tblGrid>
        <w:gridCol w:w="2204"/>
        <w:gridCol w:w="1605"/>
        <w:gridCol w:w="1313"/>
        <w:gridCol w:w="1313"/>
        <w:gridCol w:w="3091"/>
      </w:tblGrid>
      <w:tr w:rsidR="00C1183B" w:rsidTr="00AB0CEB">
        <w:trPr>
          <w:divId w:val="1020088957"/>
          <w:trHeight w:val="360"/>
          <w:tblHeader/>
        </w:trPr>
        <w:tc>
          <w:tcPr>
            <w:tcW w:w="220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股东名称</w:t>
            </w:r>
          </w:p>
        </w:tc>
        <w:tc>
          <w:tcPr>
            <w:tcW w:w="160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center"/>
            </w:pPr>
            <w:r>
              <w:rPr>
                <w:rFonts w:hint="eastAsia"/>
                <w:sz w:val="18"/>
                <w:szCs w:val="18"/>
              </w:rPr>
              <w:t>质押数量（股）</w:t>
            </w:r>
          </w:p>
        </w:tc>
        <w:tc>
          <w:tcPr>
            <w:tcW w:w="131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center"/>
            </w:pPr>
            <w:r>
              <w:rPr>
                <w:rFonts w:hint="eastAsia"/>
                <w:sz w:val="18"/>
                <w:szCs w:val="18"/>
              </w:rPr>
              <w:t>质押起始日</w:t>
            </w:r>
          </w:p>
        </w:tc>
        <w:tc>
          <w:tcPr>
            <w:tcW w:w="131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C1183B" w:rsidRDefault="002D376B">
            <w:pPr>
              <w:pStyle w:val="a3"/>
              <w:spacing w:before="0" w:beforeAutospacing="0" w:after="0" w:afterAutospacing="0" w:line="400" w:lineRule="atLeast"/>
              <w:jc w:val="center"/>
            </w:pPr>
            <w:r>
              <w:rPr>
                <w:rFonts w:hint="eastAsia"/>
                <w:sz w:val="18"/>
                <w:szCs w:val="18"/>
              </w:rPr>
              <w:t>质押到期日</w:t>
            </w:r>
          </w:p>
        </w:tc>
        <w:tc>
          <w:tcPr>
            <w:tcW w:w="309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质权人</w:t>
            </w:r>
          </w:p>
        </w:tc>
      </w:tr>
      <w:tr w:rsidR="00C1183B" w:rsidTr="00AB0CEB">
        <w:trPr>
          <w:divId w:val="1020088957"/>
          <w:trHeight w:val="360"/>
        </w:trPr>
        <w:tc>
          <w:tcPr>
            <w:tcW w:w="220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江苏华西集团有限公司</w:t>
            </w:r>
          </w:p>
        </w:tc>
        <w:tc>
          <w:tcPr>
            <w:tcW w:w="16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pPr>
            <w:r>
              <w:rPr>
                <w:rFonts w:hint="eastAsia"/>
                <w:sz w:val="18"/>
                <w:szCs w:val="18"/>
              </w:rPr>
              <w:t xml:space="preserve">82,400,000.00 </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2019/09/11</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2025/09/05</w:t>
            </w:r>
          </w:p>
        </w:tc>
        <w:tc>
          <w:tcPr>
            <w:tcW w:w="30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中国工商银行股份有限公司江阴支行</w:t>
            </w:r>
          </w:p>
        </w:tc>
      </w:tr>
      <w:tr w:rsidR="00C1183B" w:rsidTr="00AB0CEB">
        <w:trPr>
          <w:divId w:val="1020088957"/>
          <w:trHeight w:val="360"/>
        </w:trPr>
        <w:tc>
          <w:tcPr>
            <w:tcW w:w="220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江苏华西集团有限公司</w:t>
            </w:r>
          </w:p>
        </w:tc>
        <w:tc>
          <w:tcPr>
            <w:tcW w:w="16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pPr>
            <w:r>
              <w:rPr>
                <w:rFonts w:hint="eastAsia"/>
                <w:sz w:val="18"/>
                <w:szCs w:val="18"/>
              </w:rPr>
              <w:t xml:space="preserve">50,000,000.00 </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2021/09/08</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2026/08/30</w:t>
            </w:r>
          </w:p>
        </w:tc>
        <w:tc>
          <w:tcPr>
            <w:tcW w:w="30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中国工商银行股份有限公司江阴支行</w:t>
            </w:r>
          </w:p>
        </w:tc>
      </w:tr>
      <w:tr w:rsidR="00C1183B" w:rsidTr="00AB0CEB">
        <w:trPr>
          <w:divId w:val="1020088957"/>
          <w:trHeight w:val="360"/>
        </w:trPr>
        <w:tc>
          <w:tcPr>
            <w:tcW w:w="220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江苏华西集团有限公司</w:t>
            </w:r>
          </w:p>
        </w:tc>
        <w:tc>
          <w:tcPr>
            <w:tcW w:w="16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pPr>
            <w:r>
              <w:rPr>
                <w:rFonts w:hint="eastAsia"/>
                <w:sz w:val="18"/>
                <w:szCs w:val="18"/>
              </w:rPr>
              <w:t xml:space="preserve">40,000,000.00 </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2021/09/08</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2026/08/30</w:t>
            </w:r>
          </w:p>
        </w:tc>
        <w:tc>
          <w:tcPr>
            <w:tcW w:w="30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中国工商银行股份有限公司江阴支行</w:t>
            </w:r>
          </w:p>
        </w:tc>
      </w:tr>
      <w:tr w:rsidR="00C1183B" w:rsidTr="00AB0CEB">
        <w:trPr>
          <w:divId w:val="1020088957"/>
          <w:trHeight w:val="360"/>
        </w:trPr>
        <w:tc>
          <w:tcPr>
            <w:tcW w:w="220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江苏华西集团有限公司</w:t>
            </w:r>
          </w:p>
        </w:tc>
        <w:tc>
          <w:tcPr>
            <w:tcW w:w="16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pPr>
            <w:r>
              <w:rPr>
                <w:rFonts w:hint="eastAsia"/>
                <w:sz w:val="18"/>
                <w:szCs w:val="18"/>
              </w:rPr>
              <w:t xml:space="preserve">30,000,000.00 </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2021/09/08</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2026/08/30</w:t>
            </w:r>
          </w:p>
        </w:tc>
        <w:tc>
          <w:tcPr>
            <w:tcW w:w="30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中国工商银行股份有限公司江阴支行</w:t>
            </w:r>
          </w:p>
        </w:tc>
      </w:tr>
      <w:tr w:rsidR="00C1183B" w:rsidTr="00AB0CEB">
        <w:trPr>
          <w:divId w:val="1020088957"/>
          <w:trHeight w:val="360"/>
        </w:trPr>
        <w:tc>
          <w:tcPr>
            <w:tcW w:w="220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江苏华西集团有限公司</w:t>
            </w:r>
          </w:p>
        </w:tc>
        <w:tc>
          <w:tcPr>
            <w:tcW w:w="16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pPr>
            <w:r>
              <w:rPr>
                <w:rFonts w:hint="eastAsia"/>
                <w:sz w:val="18"/>
                <w:szCs w:val="18"/>
              </w:rPr>
              <w:t xml:space="preserve">40,000,000.00 </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2021/09/08</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2026/08/30</w:t>
            </w:r>
          </w:p>
        </w:tc>
        <w:tc>
          <w:tcPr>
            <w:tcW w:w="30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中国工商银行股份有限公司江阴支行</w:t>
            </w:r>
          </w:p>
        </w:tc>
      </w:tr>
      <w:tr w:rsidR="00C1183B" w:rsidTr="00AB0CEB">
        <w:trPr>
          <w:divId w:val="1020088957"/>
          <w:trHeight w:val="360"/>
        </w:trPr>
        <w:tc>
          <w:tcPr>
            <w:tcW w:w="220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江苏华西集团有限公司</w:t>
            </w:r>
          </w:p>
        </w:tc>
        <w:tc>
          <w:tcPr>
            <w:tcW w:w="16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pPr>
            <w:r>
              <w:rPr>
                <w:rFonts w:hint="eastAsia"/>
                <w:sz w:val="18"/>
                <w:szCs w:val="18"/>
              </w:rPr>
              <w:t>17,600,000.00</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2023/08/10</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 xml:space="preserve">2028/08/09 </w:t>
            </w:r>
          </w:p>
        </w:tc>
        <w:tc>
          <w:tcPr>
            <w:tcW w:w="30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中国工商银行股份有限公司江阴支行</w:t>
            </w:r>
          </w:p>
        </w:tc>
      </w:tr>
      <w:tr w:rsidR="00C1183B" w:rsidTr="00AB0CEB">
        <w:trPr>
          <w:divId w:val="1020088957"/>
          <w:trHeight w:val="360"/>
        </w:trPr>
        <w:tc>
          <w:tcPr>
            <w:tcW w:w="220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合计</w:t>
            </w:r>
          </w:p>
        </w:tc>
        <w:tc>
          <w:tcPr>
            <w:tcW w:w="160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pPr>
            <w:r>
              <w:rPr>
                <w:rFonts w:hint="eastAsia"/>
                <w:sz w:val="18"/>
                <w:szCs w:val="18"/>
              </w:rPr>
              <w:t xml:space="preserve">260,000,000.00 </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 </w:t>
            </w:r>
          </w:p>
        </w:tc>
        <w:tc>
          <w:tcPr>
            <w:tcW w:w="131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pPr>
            <w:r>
              <w:rPr>
                <w:rFonts w:hint="eastAsia"/>
                <w:sz w:val="18"/>
                <w:szCs w:val="18"/>
              </w:rPr>
              <w:t> </w:t>
            </w:r>
          </w:p>
        </w:tc>
        <w:tc>
          <w:tcPr>
            <w:tcW w:w="309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both"/>
            </w:pPr>
            <w:r>
              <w:rPr>
                <w:rFonts w:hint="eastAsia"/>
                <w:sz w:val="18"/>
                <w:szCs w:val="18"/>
              </w:rPr>
              <w:t> </w:t>
            </w:r>
          </w:p>
        </w:tc>
      </w:tr>
    </w:tbl>
    <w:p w:rsidR="00C1183B" w:rsidRDefault="00C1183B">
      <w:pPr>
        <w:divId w:val="1020088957"/>
        <w:rPr>
          <w:sz w:val="24"/>
          <w:szCs w:val="24"/>
        </w:rPr>
      </w:pPr>
    </w:p>
    <w:p w:rsidR="00334CB7" w:rsidRDefault="002D376B" w:rsidP="00F35B6A">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本企业最终控制方是江阴市人民政府国有资产监督管理办公室。</w:t>
      </w:r>
    </w:p>
    <w:p w:rsidR="00334CB7" w:rsidRDefault="002D376B">
      <w:pPr>
        <w:pStyle w:val="3"/>
        <w:spacing w:line="280" w:lineRule="exact"/>
        <w:jc w:val="left"/>
        <w:rPr>
          <w:rFonts w:ascii="宋体" w:hAnsi="宋体" w:cs="宋体"/>
          <w:b/>
          <w:bCs/>
        </w:rPr>
      </w:pPr>
      <w:bookmarkStart w:id="284" w:name="_Toc989172"/>
      <w:r>
        <w:rPr>
          <w:rFonts w:ascii="宋体" w:hAnsi="宋体" w:cs="宋体"/>
          <w:b/>
          <w:bCs/>
        </w:rPr>
        <w:t>2、本企业的子公司情况</w:t>
      </w:r>
      <w:bookmarkEnd w:id="284"/>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本企业子公司的情况详见附注九、1、在子公司中的权益。</w:t>
      </w:r>
    </w:p>
    <w:p w:rsidR="00334CB7" w:rsidRDefault="002D376B">
      <w:pPr>
        <w:pStyle w:val="3"/>
        <w:spacing w:line="280" w:lineRule="exact"/>
        <w:jc w:val="left"/>
        <w:rPr>
          <w:rFonts w:ascii="宋体" w:hAnsi="宋体" w:cs="宋体"/>
          <w:b/>
          <w:bCs/>
        </w:rPr>
      </w:pPr>
      <w:bookmarkStart w:id="285" w:name="_Toc989173"/>
      <w:r>
        <w:rPr>
          <w:rFonts w:ascii="宋体" w:hAnsi="宋体" w:cs="宋体"/>
          <w:b/>
          <w:bCs/>
        </w:rPr>
        <w:t>3、本企业合营和联营企业情况</w:t>
      </w:r>
      <w:bookmarkEnd w:id="285"/>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本企业重要的合营或联营企业详见附注九、2、在合营安排或联营企业中的权益。</w:t>
      </w:r>
    </w:p>
    <w:p w:rsidR="00334CB7" w:rsidRDefault="002D376B">
      <w:pPr>
        <w:pStyle w:val="3"/>
        <w:spacing w:line="280" w:lineRule="exact"/>
        <w:jc w:val="left"/>
        <w:rPr>
          <w:rFonts w:ascii="宋体" w:hAnsi="宋体" w:cs="宋体"/>
          <w:b/>
          <w:bCs/>
        </w:rPr>
      </w:pPr>
      <w:bookmarkStart w:id="286" w:name="_Toc989174"/>
      <w:r>
        <w:rPr>
          <w:rFonts w:ascii="宋体" w:hAnsi="宋体" w:cs="宋体"/>
          <w:b/>
          <w:bCs/>
        </w:rPr>
        <w:t>4、其他关联方情况</w:t>
      </w:r>
      <w:bookmarkEnd w:id="28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母公司参股的企业</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母公司参股的企业</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本公司董事担任负责人的自治组织</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本公司高管任职董事的企业</w:t>
            </w:r>
          </w:p>
        </w:tc>
      </w:tr>
    </w:tbl>
    <w:p w:rsidR="00334CB7" w:rsidRDefault="002D376B">
      <w:pPr>
        <w:pStyle w:val="3"/>
        <w:spacing w:line="280" w:lineRule="exact"/>
        <w:jc w:val="left"/>
        <w:rPr>
          <w:rFonts w:ascii="宋体" w:hAnsi="宋体" w:cs="宋体"/>
          <w:b/>
          <w:bCs/>
        </w:rPr>
      </w:pPr>
      <w:bookmarkStart w:id="287" w:name="_Toc989175"/>
      <w:r>
        <w:rPr>
          <w:rFonts w:ascii="宋体" w:hAnsi="宋体" w:cs="宋体"/>
          <w:b/>
          <w:bCs/>
        </w:rPr>
        <w:lastRenderedPageBreak/>
        <w:t>5、关联交易情况</w:t>
      </w:r>
      <w:bookmarkEnd w:id="287"/>
    </w:p>
    <w:p w:rsidR="00334CB7" w:rsidRDefault="002D376B">
      <w:pPr>
        <w:keepNext/>
        <w:keepLines/>
        <w:spacing w:before="300" w:after="300" w:line="280" w:lineRule="exact"/>
        <w:outlineLvl w:val="3"/>
        <w:rPr>
          <w:rFonts w:ascii="宋体" w:eastAsia="宋体" w:hAnsi="宋体" w:cs="宋体"/>
          <w:b/>
          <w:bCs/>
          <w:szCs w:val="21"/>
        </w:rPr>
      </w:pPr>
      <w:bookmarkStart w:id="288" w:name="_Toc989176"/>
      <w:r>
        <w:rPr>
          <w:rFonts w:ascii="宋体" w:eastAsia="宋体" w:hAnsi="宋体" w:cs="宋体"/>
          <w:b/>
          <w:bCs/>
          <w:szCs w:val="21"/>
        </w:rPr>
        <w:t>（1） 购销商品、提供和接受劳务的关联交易</w:t>
      </w:r>
      <w:bookmarkEnd w:id="288"/>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rsidTr="00AB0CE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B0CEB" w:rsidTr="00AB0CE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20,017,278.88</w:t>
            </w:r>
          </w:p>
        </w:tc>
        <w:tc>
          <w:tcPr>
            <w:tcW w:w="1607" w:type="dxa"/>
            <w:vMerge w:val="restart"/>
            <w:tcBorders>
              <w:top w:val="single" w:sz="2" w:space="0" w:color="auto"/>
              <w:left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110,000,000.00</w:t>
            </w: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rsidP="00AB0CEB">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26,199,377.95</w:t>
            </w:r>
          </w:p>
        </w:tc>
      </w:tr>
      <w:tr w:rsidR="00AB0CEB" w:rsidTr="00AB0CE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21,374,625.67</w:t>
            </w:r>
          </w:p>
        </w:tc>
        <w:tc>
          <w:tcPr>
            <w:tcW w:w="1607" w:type="dxa"/>
            <w:vMerge/>
            <w:tcBorders>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rsidP="00AB0CEB">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23,139,932.51</w:t>
            </w:r>
          </w:p>
        </w:tc>
      </w:tr>
      <w:tr w:rsidR="00AB0CEB" w:rsidTr="00BD05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江苏华西集团有限公司及其他</w:t>
            </w:r>
            <w:r w:rsidR="00E7189F">
              <w:rPr>
                <w:rFonts w:ascii="宋体" w:eastAsia="宋体" w:hAnsi="宋体" w:cs="宋体"/>
                <w:sz w:val="18"/>
                <w:szCs w:val="18"/>
              </w:rPr>
              <w:t>关联企业</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554,211.94</w:t>
            </w:r>
          </w:p>
        </w:tc>
        <w:tc>
          <w:tcPr>
            <w:tcW w:w="1607" w:type="dxa"/>
            <w:vMerge w:val="restart"/>
            <w:tcBorders>
              <w:top w:val="single" w:sz="2" w:space="0" w:color="auto"/>
              <w:left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3,000,000.00</w:t>
            </w: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rsidP="00AB0CEB">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932,668.74</w:t>
            </w:r>
          </w:p>
        </w:tc>
      </w:tr>
      <w:tr w:rsidR="00AB0CEB" w:rsidTr="00BD05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654,692.53</w:t>
            </w:r>
          </w:p>
        </w:tc>
        <w:tc>
          <w:tcPr>
            <w:tcW w:w="1607" w:type="dxa"/>
            <w:vMerge/>
            <w:tcBorders>
              <w:left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rsidP="00AB0CEB">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p>
        </w:tc>
      </w:tr>
      <w:tr w:rsidR="00AB0CEB" w:rsidTr="00BD05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r>
              <w:rPr>
                <w:rFonts w:ascii="宋体" w:eastAsia="宋体" w:hAnsi="宋体" w:cs="宋体"/>
                <w:sz w:val="18"/>
                <w:szCs w:val="18"/>
              </w:rPr>
              <w:t>5,000.00</w:t>
            </w:r>
          </w:p>
        </w:tc>
        <w:tc>
          <w:tcPr>
            <w:tcW w:w="1607" w:type="dxa"/>
            <w:vMerge/>
            <w:tcBorders>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rsidP="00AB0CEB">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AB0CEB" w:rsidRDefault="00AB0CEB">
            <w:pPr>
              <w:spacing w:line="240" w:lineRule="exact"/>
              <w:jc w:val="right"/>
              <w:rPr>
                <w:rFonts w:ascii="宋体" w:eastAsia="宋体" w:hAnsi="宋体" w:cs="宋体"/>
                <w:sz w:val="18"/>
                <w:szCs w:val="18"/>
              </w:rPr>
            </w:pPr>
          </w:p>
        </w:tc>
      </w:tr>
    </w:tbl>
    <w:p w:rsidR="00334CB7" w:rsidRDefault="002D376B">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19,876.98</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19,780.28</w:t>
            </w:r>
          </w:p>
        </w:tc>
      </w:tr>
    </w:tbl>
    <w:p w:rsidR="00334CB7" w:rsidRDefault="002D376B">
      <w:pPr>
        <w:keepNext/>
        <w:keepLines/>
        <w:spacing w:before="300" w:after="300" w:line="280" w:lineRule="exact"/>
        <w:outlineLvl w:val="3"/>
        <w:rPr>
          <w:rFonts w:ascii="宋体" w:eastAsia="宋体" w:hAnsi="宋体" w:cs="宋体"/>
          <w:b/>
          <w:bCs/>
          <w:szCs w:val="21"/>
        </w:rPr>
      </w:pPr>
      <w:bookmarkStart w:id="289" w:name="_Toc989177"/>
      <w:r>
        <w:rPr>
          <w:rFonts w:ascii="宋体" w:eastAsia="宋体" w:hAnsi="宋体" w:cs="宋体"/>
          <w:b/>
          <w:bCs/>
          <w:szCs w:val="21"/>
        </w:rPr>
        <w:t>（2） 关联租赁情况</w:t>
      </w:r>
      <w:bookmarkEnd w:id="289"/>
    </w:p>
    <w:p w:rsidR="00334CB7" w:rsidRDefault="002D376B">
      <w:pPr>
        <w:spacing w:before="100" w:after="40" w:line="240" w:lineRule="exact"/>
        <w:rPr>
          <w:rFonts w:ascii="宋体" w:eastAsia="宋体" w:hAnsi="宋体" w:cs="宋体"/>
          <w:sz w:val="18"/>
          <w:szCs w:val="18"/>
        </w:rPr>
      </w:pPr>
      <w:r>
        <w:rPr>
          <w:rFonts w:ascii="宋体" w:eastAsia="宋体" w:hAnsi="宋体" w:cs="宋体"/>
          <w:sz w:val="18"/>
          <w:szCs w:val="18"/>
        </w:rPr>
        <w:t>本公司作为承租方：</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334CB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334CB7">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803"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房屋、土地</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3,018,825.02</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3,110,843.34</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3,018,825.02</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3,110,843.34</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土地</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35,560.15</w:t>
            </w: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bl>
    <w:p w:rsidR="00334CB7" w:rsidRDefault="002D376B">
      <w:pPr>
        <w:keepNext/>
        <w:keepLines/>
        <w:spacing w:before="300" w:after="300" w:line="280" w:lineRule="exact"/>
        <w:outlineLvl w:val="3"/>
        <w:rPr>
          <w:rFonts w:ascii="宋体" w:eastAsia="宋体" w:hAnsi="宋体" w:cs="宋体"/>
          <w:b/>
          <w:bCs/>
          <w:szCs w:val="21"/>
        </w:rPr>
      </w:pPr>
      <w:bookmarkStart w:id="290" w:name="_Toc989178"/>
      <w:r>
        <w:rPr>
          <w:rFonts w:ascii="宋体" w:eastAsia="宋体" w:hAnsi="宋体" w:cs="宋体"/>
          <w:b/>
          <w:bCs/>
          <w:szCs w:val="21"/>
        </w:rPr>
        <w:t>（3） 关联担保情况</w:t>
      </w:r>
      <w:bookmarkEnd w:id="290"/>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02722" w:rsidRDefault="002D376B" w:rsidP="00D02722">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w:t>
            </w:r>
          </w:p>
          <w:p w:rsidR="00334CB7" w:rsidRDefault="002D376B" w:rsidP="00D02722">
            <w:pPr>
              <w:spacing w:before="40" w:after="40" w:line="240" w:lineRule="exact"/>
              <w:jc w:val="center"/>
              <w:rPr>
                <w:rFonts w:ascii="宋体" w:eastAsia="宋体" w:hAnsi="宋体" w:cs="宋体"/>
                <w:sz w:val="18"/>
                <w:szCs w:val="18"/>
              </w:rPr>
            </w:pPr>
            <w:r>
              <w:rPr>
                <w:rFonts w:ascii="宋体" w:eastAsia="宋体" w:hAnsi="宋体" w:cs="宋体"/>
                <w:sz w:val="18"/>
                <w:szCs w:val="18"/>
              </w:rPr>
              <w:t>完毕</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2024年11月27日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2024年11月28日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2024年12月11日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2024年01月10日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2025年01月09日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2025年01月31日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99,500,000.00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2025年01月31日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2026年03月29日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29,269,500.00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2024年03月25日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2025年03月24日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2023年12月04日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2024年11月30日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2024年11月08日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64,900,000.00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2024年01月26日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2024年07月25日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2024年10月20日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2023年09月06日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2024年09月06日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F35B6A">
            <w:pPr>
              <w:spacing w:line="240" w:lineRule="exact"/>
              <w:jc w:val="center"/>
              <w:rPr>
                <w:rFonts w:ascii="宋体" w:eastAsia="宋体" w:hAnsi="宋体" w:cs="宋体"/>
                <w:sz w:val="18"/>
                <w:szCs w:val="18"/>
              </w:rPr>
            </w:pPr>
            <w:r>
              <w:rPr>
                <w:rFonts w:ascii="宋体" w:eastAsia="宋体" w:hAnsi="宋体" w:cs="宋体"/>
                <w:sz w:val="18"/>
                <w:szCs w:val="18"/>
              </w:rPr>
              <w:t>合</w:t>
            </w:r>
            <w:r w:rsidR="00F35B6A">
              <w:rPr>
                <w:rFonts w:ascii="宋体" w:eastAsia="宋体" w:hAnsi="宋体" w:cs="宋体" w:hint="eastAsia"/>
                <w:sz w:val="18"/>
                <w:szCs w:val="18"/>
              </w:rPr>
              <w:t xml:space="preserve">  </w:t>
            </w:r>
            <w:r>
              <w:rPr>
                <w:rFonts w:ascii="宋体" w:eastAsia="宋体" w:hAnsi="宋体" w:cs="宋体"/>
                <w:sz w:val="18"/>
                <w:szCs w:val="18"/>
              </w:rPr>
              <w:t>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1,053,669,500.00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rsidP="00D02722">
            <w:pPr>
              <w:spacing w:line="240" w:lineRule="exact"/>
              <w:jc w:val="center"/>
              <w:rPr>
                <w:rFonts w:ascii="宋体" w:eastAsia="宋体" w:hAnsi="宋体" w:cs="宋体"/>
                <w:sz w:val="18"/>
                <w:szCs w:val="18"/>
              </w:rPr>
            </w:pPr>
          </w:p>
        </w:tc>
      </w:tr>
    </w:tbl>
    <w:p w:rsidR="00AB0CEB" w:rsidRDefault="00AB0CEB">
      <w:pPr>
        <w:spacing w:before="100" w:after="40" w:line="240" w:lineRule="exact"/>
        <w:rPr>
          <w:rFonts w:ascii="宋体" w:eastAsia="宋体" w:hAnsi="宋体" w:cs="宋体"/>
          <w:sz w:val="18"/>
          <w:szCs w:val="18"/>
        </w:rPr>
      </w:pPr>
      <w:r>
        <w:rPr>
          <w:rFonts w:ascii="宋体" w:eastAsia="宋体" w:hAnsi="宋体" w:cs="宋体" w:hint="eastAsia"/>
          <w:sz w:val="18"/>
          <w:szCs w:val="18"/>
        </w:rPr>
        <w:t>注：截至2024年6月30日，公司对江苏华西集团有限公司及关联人实际担保余额为</w:t>
      </w:r>
      <w:r w:rsidRPr="007A150C">
        <w:rPr>
          <w:rFonts w:asciiTheme="minorEastAsia" w:hAnsiTheme="minorEastAsia" w:cs="Arial"/>
          <w:sz w:val="18"/>
          <w:szCs w:val="18"/>
        </w:rPr>
        <w:t>854,169,500.00</w:t>
      </w:r>
      <w:r>
        <w:rPr>
          <w:rFonts w:asciiTheme="minorEastAsia" w:hAnsiTheme="minorEastAsia" w:cs="Arial"/>
          <w:sz w:val="18"/>
          <w:szCs w:val="18"/>
        </w:rPr>
        <w:t>元。</w:t>
      </w:r>
    </w:p>
    <w:p w:rsidR="00AB0CEB" w:rsidRDefault="00AB0CEB">
      <w:pPr>
        <w:spacing w:before="100" w:after="40" w:line="240" w:lineRule="exact"/>
        <w:rPr>
          <w:rFonts w:ascii="宋体" w:eastAsia="宋体" w:hAnsi="宋体" w:cs="宋体"/>
          <w:sz w:val="18"/>
          <w:szCs w:val="18"/>
        </w:rPr>
      </w:pPr>
    </w:p>
    <w:p w:rsidR="00334CB7" w:rsidRDefault="002D376B">
      <w:pPr>
        <w:spacing w:before="100" w:after="40" w:line="240" w:lineRule="exact"/>
        <w:rPr>
          <w:rFonts w:ascii="宋体" w:eastAsia="宋体" w:hAnsi="宋体" w:cs="宋体"/>
          <w:sz w:val="18"/>
          <w:szCs w:val="18"/>
        </w:rPr>
      </w:pPr>
      <w:r>
        <w:rPr>
          <w:rFonts w:ascii="宋体" w:eastAsia="宋体" w:hAnsi="宋体" w:cs="宋体"/>
          <w:sz w:val="18"/>
          <w:szCs w:val="18"/>
        </w:rPr>
        <w:t>本公司作为被担保方</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02722" w:rsidRDefault="002D376B" w:rsidP="00D02722">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w:t>
            </w:r>
          </w:p>
          <w:p w:rsidR="00334CB7" w:rsidRDefault="002D376B" w:rsidP="00D02722">
            <w:pPr>
              <w:spacing w:before="40" w:after="40" w:line="240" w:lineRule="exact"/>
              <w:jc w:val="center"/>
              <w:rPr>
                <w:rFonts w:ascii="宋体" w:eastAsia="宋体" w:hAnsi="宋体" w:cs="宋体"/>
                <w:sz w:val="18"/>
                <w:szCs w:val="18"/>
              </w:rPr>
            </w:pPr>
            <w:r>
              <w:rPr>
                <w:rFonts w:ascii="宋体" w:eastAsia="宋体" w:hAnsi="宋体" w:cs="宋体"/>
                <w:sz w:val="18"/>
                <w:szCs w:val="18"/>
              </w:rPr>
              <w:t>完毕</w:t>
            </w:r>
          </w:p>
        </w:tc>
      </w:tr>
      <w:tr w:rsidR="00AB0CEB" w:rsidTr="00BD0562">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AB0CEB" w:rsidRDefault="00AB0CEB" w:rsidP="00D02722">
            <w:pPr>
              <w:spacing w:line="240" w:lineRule="exact"/>
              <w:rPr>
                <w:rFonts w:ascii="宋体" w:eastAsia="宋体" w:hAnsi="宋体" w:cs="宋体"/>
                <w:sz w:val="18"/>
                <w:szCs w:val="18"/>
              </w:rPr>
            </w:pPr>
            <w:r>
              <w:rPr>
                <w:rFonts w:ascii="宋体" w:eastAsia="宋体" w:hAnsi="宋体" w:cs="宋体"/>
                <w:sz w:val="18"/>
                <w:szCs w:val="18"/>
              </w:rPr>
              <w:t>短期借款：</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2024年02月09日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2024年08月06日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85,000,000.00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2023年09月14日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2024年04月10日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2025年04月09日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2024年05月11日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2025年05月09日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2024年05月24日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2025年05月23日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34,000,000.00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2024年02月20日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2025年02月18日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2024年02月23日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2025年02月21日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74,000,000.00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2024年05月08日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2024年11月04日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2024年02月06日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2024年08月05日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62,500,000.00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2023年07月12日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2023年10月30日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2024年10月30日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2024年06月07日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2025年06月06日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2024年01月09日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2025年01月03日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2024年06月07日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2024年12月04日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2024年12月24日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2024年02月29日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2024年08月29日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14,000,000.00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2024年05月15日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2024年11月15日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E01A3B" w:rsidTr="00655CC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jc w:val="right"/>
              <w:rPr>
                <w:rFonts w:ascii="宋体" w:eastAsia="宋体" w:hAnsi="宋体" w:cs="宋体"/>
                <w:sz w:val="18"/>
                <w:szCs w:val="18"/>
              </w:rPr>
            </w:pPr>
            <w:r>
              <w:rPr>
                <w:rFonts w:ascii="宋体" w:eastAsia="宋体" w:hAnsi="宋体" w:cs="宋体"/>
                <w:sz w:val="18"/>
                <w:szCs w:val="18"/>
              </w:rPr>
              <w:t>35,000,000.00</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rPr>
                <w:rFonts w:ascii="宋体" w:eastAsia="宋体" w:hAnsi="宋体" w:cs="宋体"/>
                <w:sz w:val="18"/>
                <w:szCs w:val="18"/>
              </w:rPr>
            </w:pPr>
            <w:r>
              <w:rPr>
                <w:rFonts w:ascii="宋体" w:eastAsia="宋体" w:hAnsi="宋体" w:cs="宋体"/>
                <w:sz w:val="18"/>
                <w:szCs w:val="18"/>
              </w:rPr>
              <w:t>2024年06月21日</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rPr>
                <w:rFonts w:ascii="宋体" w:eastAsia="宋体" w:hAnsi="宋体" w:cs="宋体"/>
                <w:sz w:val="18"/>
                <w:szCs w:val="18"/>
              </w:rPr>
            </w:pPr>
            <w:r>
              <w:rPr>
                <w:rFonts w:ascii="宋体" w:eastAsia="宋体" w:hAnsi="宋体" w:cs="宋体"/>
                <w:sz w:val="18"/>
                <w:szCs w:val="18"/>
              </w:rPr>
              <w:t>2024年12月20日</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E01A3B" w:rsidTr="00655CCF">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E01A3B" w:rsidRDefault="00E01A3B" w:rsidP="009C3070">
            <w:pPr>
              <w:spacing w:line="240" w:lineRule="exact"/>
              <w:rPr>
                <w:rFonts w:ascii="宋体" w:eastAsia="宋体" w:hAnsi="宋体" w:cs="宋体"/>
                <w:sz w:val="18"/>
                <w:szCs w:val="18"/>
              </w:rPr>
            </w:pPr>
            <w:r>
              <w:rPr>
                <w:rFonts w:ascii="宋体" w:eastAsia="宋体" w:hAnsi="宋体" w:cs="宋体"/>
                <w:sz w:val="18"/>
                <w:szCs w:val="18"/>
              </w:rPr>
              <w:t>长期借款：</w:t>
            </w:r>
          </w:p>
        </w:tc>
      </w:tr>
      <w:tr w:rsidR="00E01A3B" w:rsidTr="00655CC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rPr>
                <w:rFonts w:ascii="宋体" w:eastAsia="宋体" w:hAnsi="宋体" w:cs="宋体"/>
                <w:sz w:val="18"/>
                <w:szCs w:val="18"/>
              </w:rPr>
            </w:pPr>
            <w:r>
              <w:rPr>
                <w:rFonts w:ascii="宋体" w:eastAsia="宋体" w:hAnsi="宋体" w:cs="宋体"/>
                <w:sz w:val="18"/>
                <w:szCs w:val="18"/>
              </w:rPr>
              <w:t>2024年06月27日</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655CCF">
            <w:pPr>
              <w:spacing w:line="240" w:lineRule="exact"/>
              <w:rPr>
                <w:rFonts w:ascii="宋体" w:eastAsia="宋体" w:hAnsi="宋体" w:cs="宋体"/>
                <w:sz w:val="18"/>
                <w:szCs w:val="18"/>
              </w:rPr>
            </w:pPr>
            <w:r>
              <w:rPr>
                <w:rFonts w:ascii="宋体" w:eastAsia="宋体" w:hAnsi="宋体" w:cs="宋体"/>
                <w:sz w:val="18"/>
                <w:szCs w:val="18"/>
              </w:rPr>
              <w:t>2026年06月26日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E01A3B" w:rsidRDefault="00E01A3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AB0CEB" w:rsidTr="00BD0562">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AB0CEB" w:rsidRDefault="00AB0CEB" w:rsidP="009C3070">
            <w:pPr>
              <w:spacing w:line="240" w:lineRule="exact"/>
              <w:rPr>
                <w:rFonts w:ascii="宋体" w:eastAsia="宋体" w:hAnsi="宋体" w:cs="宋体"/>
                <w:sz w:val="18"/>
                <w:szCs w:val="18"/>
              </w:rPr>
            </w:pPr>
            <w:r>
              <w:rPr>
                <w:rFonts w:ascii="宋体" w:eastAsia="宋体" w:hAnsi="宋体" w:cs="宋体"/>
                <w:sz w:val="18"/>
                <w:szCs w:val="18"/>
              </w:rPr>
              <w:t>应付账款—国际信用证：</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913,370.69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2024年05月05日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2024年07月05日</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rsidP="00D02722">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334CB7" w:rsidTr="00AB0CE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866,413,370.69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rsidP="00D02722">
            <w:pPr>
              <w:spacing w:line="240" w:lineRule="exact"/>
              <w:jc w:val="center"/>
              <w:rPr>
                <w:rFonts w:ascii="宋体" w:eastAsia="宋体" w:hAnsi="宋体" w:cs="宋体"/>
                <w:sz w:val="18"/>
                <w:szCs w:val="18"/>
              </w:rPr>
            </w:pPr>
          </w:p>
        </w:tc>
      </w:tr>
    </w:tbl>
    <w:p w:rsidR="00334CB7" w:rsidRDefault="002D376B">
      <w:pPr>
        <w:keepNext/>
        <w:keepLines/>
        <w:spacing w:before="300" w:after="300" w:line="280" w:lineRule="exact"/>
        <w:outlineLvl w:val="3"/>
        <w:rPr>
          <w:rFonts w:ascii="宋体" w:eastAsia="宋体" w:hAnsi="宋体" w:cs="宋体"/>
          <w:b/>
          <w:bCs/>
          <w:szCs w:val="21"/>
        </w:rPr>
      </w:pPr>
      <w:bookmarkStart w:id="291" w:name="_Toc989179"/>
      <w:r>
        <w:rPr>
          <w:rFonts w:ascii="宋体" w:eastAsia="宋体" w:hAnsi="宋体" w:cs="宋体"/>
          <w:b/>
          <w:bCs/>
          <w:szCs w:val="21"/>
        </w:rPr>
        <w:t>（4） 关键管理人员报酬</w:t>
      </w:r>
      <w:bookmarkEnd w:id="291"/>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1,108,923.00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1,195,794.00</w:t>
            </w:r>
          </w:p>
        </w:tc>
      </w:tr>
    </w:tbl>
    <w:p w:rsidR="00647844" w:rsidRDefault="00647844">
      <w:pPr>
        <w:widowControl/>
        <w:rPr>
          <w:rFonts w:ascii="宋体" w:eastAsia="宋体" w:hAnsi="宋体" w:cs="宋体"/>
          <w:b/>
          <w:bCs/>
          <w:szCs w:val="21"/>
        </w:rPr>
      </w:pPr>
      <w:bookmarkStart w:id="292" w:name="_Toc989180"/>
    </w:p>
    <w:p w:rsidR="00C1183B" w:rsidRPr="00647844" w:rsidRDefault="002D376B" w:rsidP="00CA05B2">
      <w:pPr>
        <w:keepNext/>
        <w:keepLines/>
        <w:spacing w:before="300" w:after="300" w:line="280" w:lineRule="exact"/>
        <w:outlineLvl w:val="3"/>
        <w:divId w:val="1369796389"/>
        <w:rPr>
          <w:rFonts w:cs="Times New Roman"/>
          <w:sz w:val="18"/>
          <w:szCs w:val="18"/>
        </w:rPr>
      </w:pPr>
      <w:r>
        <w:rPr>
          <w:rFonts w:ascii="宋体" w:eastAsia="宋体" w:hAnsi="宋体" w:cs="宋体"/>
          <w:b/>
          <w:bCs/>
          <w:szCs w:val="21"/>
        </w:rPr>
        <w:t xml:space="preserve">（5） </w:t>
      </w:r>
      <w:bookmarkEnd w:id="292"/>
      <w:r w:rsidR="00AB0CEB">
        <w:rPr>
          <w:rFonts w:ascii="宋体" w:eastAsia="宋体" w:hAnsi="宋体" w:cs="宋体"/>
          <w:b/>
          <w:bCs/>
          <w:szCs w:val="21"/>
        </w:rPr>
        <w:t>关联方存款</w:t>
      </w:r>
      <w:r>
        <w:rPr>
          <w:rFonts w:cs="Times New Roman" w:hint="eastAsia"/>
          <w:sz w:val="18"/>
          <w:szCs w:val="18"/>
        </w:rPr>
        <w:t xml:space="preserve">                                                            </w:t>
      </w:r>
      <w:r w:rsidR="00AB0CEB">
        <w:rPr>
          <w:rFonts w:cs="Times New Roman" w:hint="eastAsia"/>
          <w:sz w:val="18"/>
          <w:szCs w:val="18"/>
        </w:rPr>
        <w:t xml:space="preserve">                                                                        </w:t>
      </w:r>
      <w:r w:rsidR="00CA05B2">
        <w:rPr>
          <w:rFonts w:cs="Times New Roman" w:hint="eastAsia"/>
          <w:sz w:val="18"/>
          <w:szCs w:val="18"/>
        </w:rPr>
        <w:t xml:space="preserve">                                  </w:t>
      </w:r>
      <w:r>
        <w:rPr>
          <w:rFonts w:cs="Times New Roman" w:hint="eastAsia"/>
          <w:sz w:val="18"/>
          <w:szCs w:val="18"/>
        </w:rPr>
        <w:t> </w:t>
      </w:r>
      <w:r>
        <w:rPr>
          <w:rFonts w:cs="Times New Roman" w:hint="eastAsia"/>
          <w:sz w:val="18"/>
          <w:szCs w:val="18"/>
        </w:rPr>
        <w:t>单位：元</w:t>
      </w:r>
    </w:p>
    <w:tbl>
      <w:tblPr>
        <w:tblW w:w="4938" w:type="pct"/>
        <w:tblCellMar>
          <w:left w:w="0" w:type="dxa"/>
          <w:right w:w="0" w:type="dxa"/>
        </w:tblCellMar>
        <w:tblLook w:val="04A0" w:firstRow="1" w:lastRow="0" w:firstColumn="1" w:lastColumn="0" w:noHBand="0" w:noVBand="1"/>
      </w:tblPr>
      <w:tblGrid>
        <w:gridCol w:w="1379"/>
        <w:gridCol w:w="2724"/>
        <w:gridCol w:w="1133"/>
        <w:gridCol w:w="1597"/>
        <w:gridCol w:w="1564"/>
        <w:gridCol w:w="1176"/>
      </w:tblGrid>
      <w:tr w:rsidR="00AB0CEB" w:rsidTr="00AB0CEB">
        <w:trPr>
          <w:divId w:val="1369796389"/>
          <w:trHeight w:val="674"/>
          <w:tblHeader/>
        </w:trPr>
        <w:tc>
          <w:tcPr>
            <w:tcW w:w="72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项目名称</w:t>
            </w:r>
          </w:p>
        </w:tc>
        <w:tc>
          <w:tcPr>
            <w:tcW w:w="142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关联方</w:t>
            </w:r>
          </w:p>
        </w:tc>
        <w:tc>
          <w:tcPr>
            <w:tcW w:w="59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期初余额</w:t>
            </w:r>
          </w:p>
        </w:tc>
        <w:tc>
          <w:tcPr>
            <w:tcW w:w="83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本期借方</w:t>
            </w:r>
          </w:p>
        </w:tc>
        <w:tc>
          <w:tcPr>
            <w:tcW w:w="817"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本期贷方</w:t>
            </w:r>
          </w:p>
        </w:tc>
        <w:tc>
          <w:tcPr>
            <w:tcW w:w="61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r>
      <w:tr w:rsidR="00AB0CEB" w:rsidTr="00AB0CEB">
        <w:trPr>
          <w:divId w:val="1369796389"/>
          <w:trHeight w:val="352"/>
        </w:trPr>
        <w:tc>
          <w:tcPr>
            <w:tcW w:w="72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货币资金</w:t>
            </w:r>
          </w:p>
        </w:tc>
        <w:tc>
          <w:tcPr>
            <w:tcW w:w="1423"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江苏华西集团财务有限公司</w:t>
            </w:r>
          </w:p>
        </w:tc>
        <w:tc>
          <w:tcPr>
            <w:tcW w:w="5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0.00</w:t>
            </w:r>
          </w:p>
        </w:tc>
        <w:tc>
          <w:tcPr>
            <w:tcW w:w="83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697,818,010.32</w:t>
            </w:r>
          </w:p>
        </w:tc>
        <w:tc>
          <w:tcPr>
            <w:tcW w:w="817"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697,818,010.32</w:t>
            </w:r>
          </w:p>
        </w:tc>
        <w:tc>
          <w:tcPr>
            <w:tcW w:w="61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1183B" w:rsidRDefault="002D376B">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0.00</w:t>
            </w:r>
          </w:p>
        </w:tc>
      </w:tr>
    </w:tbl>
    <w:p w:rsidR="00C1183B" w:rsidRDefault="002D376B">
      <w:pPr>
        <w:pStyle w:val="a3"/>
        <w:spacing w:before="0" w:beforeAutospacing="0" w:after="0" w:afterAutospacing="0" w:line="400" w:lineRule="atLeast"/>
        <w:ind w:firstLine="360"/>
        <w:jc w:val="both"/>
        <w:divId w:val="1369796389"/>
        <w:rPr>
          <w:rFonts w:cs="Times New Roman"/>
          <w:sz w:val="18"/>
          <w:szCs w:val="18"/>
        </w:rPr>
      </w:pPr>
      <w:r>
        <w:rPr>
          <w:rFonts w:cs="Times New Roman" w:hint="eastAsia"/>
          <w:sz w:val="18"/>
          <w:szCs w:val="18"/>
        </w:rPr>
        <w:t>2024年半年度，公司收取在江苏华西集团财务有限公司的存款利息384,225.40元。</w:t>
      </w:r>
    </w:p>
    <w:p w:rsidR="007E1022" w:rsidRDefault="007E1022">
      <w:pPr>
        <w:pStyle w:val="a3"/>
        <w:spacing w:before="0" w:beforeAutospacing="0" w:after="0" w:afterAutospacing="0" w:line="400" w:lineRule="atLeast"/>
        <w:ind w:firstLine="360"/>
        <w:jc w:val="both"/>
        <w:divId w:val="1369796389"/>
        <w:rPr>
          <w:rFonts w:ascii="Times New Roman" w:hAnsi="Times New Roman" w:cs="Times New Roman"/>
          <w:sz w:val="21"/>
          <w:szCs w:val="21"/>
        </w:rPr>
      </w:pPr>
    </w:p>
    <w:p w:rsidR="00334CB7" w:rsidRDefault="002D376B">
      <w:pPr>
        <w:pStyle w:val="3"/>
        <w:spacing w:line="280" w:lineRule="exact"/>
        <w:jc w:val="left"/>
        <w:rPr>
          <w:rFonts w:ascii="宋体" w:hAnsi="宋体" w:cs="宋体"/>
          <w:b/>
          <w:bCs/>
        </w:rPr>
      </w:pPr>
      <w:bookmarkStart w:id="293" w:name="_Toc989181"/>
      <w:r>
        <w:rPr>
          <w:rFonts w:ascii="宋体" w:hAnsi="宋体" w:cs="宋体"/>
          <w:b/>
          <w:bCs/>
        </w:rPr>
        <w:lastRenderedPageBreak/>
        <w:t>6、关联方应收应付款项</w:t>
      </w:r>
      <w:bookmarkEnd w:id="293"/>
    </w:p>
    <w:p w:rsidR="00334CB7" w:rsidRDefault="002D376B">
      <w:pPr>
        <w:keepNext/>
        <w:keepLines/>
        <w:spacing w:before="300" w:after="300" w:line="280" w:lineRule="exact"/>
        <w:outlineLvl w:val="3"/>
        <w:rPr>
          <w:rFonts w:ascii="宋体" w:eastAsia="宋体" w:hAnsi="宋体" w:cs="宋体"/>
          <w:b/>
          <w:bCs/>
          <w:szCs w:val="21"/>
        </w:rPr>
      </w:pPr>
      <w:bookmarkStart w:id="294" w:name="_Toc989182"/>
      <w:r>
        <w:rPr>
          <w:rFonts w:ascii="宋体" w:eastAsia="宋体" w:hAnsi="宋体" w:cs="宋体"/>
          <w:b/>
          <w:bCs/>
          <w:szCs w:val="21"/>
        </w:rPr>
        <w:t>（1） 应收项目</w:t>
      </w:r>
      <w:bookmarkEnd w:id="29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334CB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10,690.60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534.53</w:t>
            </w:r>
          </w:p>
        </w:tc>
      </w:tr>
    </w:tbl>
    <w:p w:rsidR="00334CB7" w:rsidRDefault="002D376B">
      <w:pPr>
        <w:pStyle w:val="2"/>
        <w:spacing w:before="300" w:after="300" w:line="320" w:lineRule="exact"/>
        <w:rPr>
          <w:rFonts w:ascii="宋体" w:eastAsia="宋体" w:hAnsi="宋体" w:cs="宋体"/>
          <w:b/>
          <w:bCs/>
          <w:sz w:val="24"/>
          <w:szCs w:val="24"/>
        </w:rPr>
      </w:pPr>
      <w:bookmarkStart w:id="295" w:name="_Toc989183"/>
      <w:r>
        <w:rPr>
          <w:rFonts w:ascii="宋体" w:eastAsia="宋体" w:hAnsi="宋体" w:cs="宋体"/>
          <w:b/>
          <w:bCs/>
          <w:sz w:val="24"/>
          <w:szCs w:val="24"/>
        </w:rPr>
        <w:t>十四、股份支付</w:t>
      </w:r>
      <w:bookmarkEnd w:id="295"/>
    </w:p>
    <w:p w:rsidR="00334CB7" w:rsidRDefault="002D376B">
      <w:pPr>
        <w:pStyle w:val="3"/>
        <w:spacing w:line="280" w:lineRule="exact"/>
        <w:jc w:val="left"/>
        <w:rPr>
          <w:rFonts w:ascii="宋体" w:hAnsi="宋体" w:cs="宋体"/>
          <w:b/>
          <w:bCs/>
        </w:rPr>
      </w:pPr>
      <w:bookmarkStart w:id="296" w:name="_Toc989184"/>
      <w:r>
        <w:rPr>
          <w:rFonts w:ascii="宋体" w:hAnsi="宋体" w:cs="宋体"/>
          <w:b/>
          <w:bCs/>
        </w:rPr>
        <w:t>1、股份支付总体情况</w:t>
      </w:r>
      <w:bookmarkEnd w:id="296"/>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297" w:name="_Toc989185"/>
      <w:r>
        <w:rPr>
          <w:rFonts w:ascii="宋体" w:hAnsi="宋体" w:cs="宋体"/>
          <w:b/>
          <w:bCs/>
        </w:rPr>
        <w:t>2、以权益结算的股份支付情况</w:t>
      </w:r>
      <w:bookmarkEnd w:id="297"/>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298" w:name="_Toc989186"/>
      <w:r>
        <w:rPr>
          <w:rFonts w:ascii="宋体" w:hAnsi="宋体" w:cs="宋体"/>
          <w:b/>
          <w:bCs/>
        </w:rPr>
        <w:t>3、以现金结算的股份支付情况</w:t>
      </w:r>
      <w:bookmarkEnd w:id="298"/>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2"/>
        <w:spacing w:before="300" w:after="300" w:line="320" w:lineRule="exact"/>
        <w:rPr>
          <w:rFonts w:ascii="宋体" w:eastAsia="宋体" w:hAnsi="宋体" w:cs="宋体"/>
          <w:b/>
          <w:bCs/>
          <w:sz w:val="24"/>
          <w:szCs w:val="24"/>
        </w:rPr>
      </w:pPr>
      <w:bookmarkStart w:id="299" w:name="_Toc989187"/>
      <w:r>
        <w:rPr>
          <w:rFonts w:ascii="宋体" w:eastAsia="宋体" w:hAnsi="宋体" w:cs="宋体"/>
          <w:b/>
          <w:bCs/>
          <w:sz w:val="24"/>
          <w:szCs w:val="24"/>
        </w:rPr>
        <w:t>十五、承诺及或有事项</w:t>
      </w:r>
      <w:bookmarkEnd w:id="299"/>
    </w:p>
    <w:p w:rsidR="00334CB7" w:rsidRDefault="002D376B">
      <w:pPr>
        <w:pStyle w:val="3"/>
        <w:spacing w:line="280" w:lineRule="exact"/>
        <w:jc w:val="left"/>
        <w:rPr>
          <w:rFonts w:ascii="宋体" w:hAnsi="宋体" w:cs="宋体"/>
          <w:b/>
          <w:bCs/>
        </w:rPr>
      </w:pPr>
      <w:bookmarkStart w:id="300" w:name="_Toc989188"/>
      <w:r>
        <w:rPr>
          <w:rFonts w:ascii="宋体" w:hAnsi="宋体" w:cs="宋体"/>
          <w:b/>
          <w:bCs/>
        </w:rPr>
        <w:t>1、重要承诺事项</w:t>
      </w:r>
      <w:bookmarkEnd w:id="300"/>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rsidR="00C1183B" w:rsidRDefault="002D376B">
      <w:pPr>
        <w:pStyle w:val="a3"/>
        <w:spacing w:before="0" w:beforeAutospacing="0" w:after="0" w:afterAutospacing="0" w:line="400" w:lineRule="atLeast"/>
        <w:ind w:firstLine="360"/>
        <w:jc w:val="both"/>
        <w:divId w:val="20057516"/>
        <w:rPr>
          <w:rFonts w:ascii="Times New Roman" w:hAnsi="Times New Roman" w:cs="Times New Roman"/>
          <w:sz w:val="21"/>
          <w:szCs w:val="21"/>
        </w:rPr>
      </w:pPr>
      <w:r>
        <w:rPr>
          <w:rFonts w:cs="Times New Roman" w:hint="eastAsia"/>
          <w:sz w:val="18"/>
          <w:szCs w:val="18"/>
        </w:rPr>
        <w:t>截至2024年6月30日，本公司无需要披露的重大承诺事项。</w:t>
      </w:r>
    </w:p>
    <w:p w:rsidR="00334CB7" w:rsidRDefault="002D376B">
      <w:pPr>
        <w:pStyle w:val="3"/>
        <w:spacing w:line="280" w:lineRule="exact"/>
        <w:jc w:val="left"/>
        <w:rPr>
          <w:rFonts w:ascii="宋体" w:hAnsi="宋体" w:cs="宋体"/>
          <w:b/>
          <w:bCs/>
        </w:rPr>
      </w:pPr>
      <w:bookmarkStart w:id="301" w:name="_Toc989189"/>
      <w:r>
        <w:rPr>
          <w:rFonts w:ascii="宋体" w:hAnsi="宋体" w:cs="宋体"/>
          <w:b/>
          <w:bCs/>
        </w:rPr>
        <w:t>2、或有事项</w:t>
      </w:r>
      <w:bookmarkEnd w:id="301"/>
    </w:p>
    <w:p w:rsidR="00334CB7" w:rsidRDefault="002D376B">
      <w:pPr>
        <w:keepNext/>
        <w:keepLines/>
        <w:spacing w:before="300" w:after="300" w:line="280" w:lineRule="exact"/>
        <w:outlineLvl w:val="3"/>
        <w:rPr>
          <w:rFonts w:ascii="宋体" w:eastAsia="宋体" w:hAnsi="宋体" w:cs="宋体"/>
          <w:b/>
          <w:bCs/>
          <w:szCs w:val="21"/>
        </w:rPr>
      </w:pPr>
      <w:bookmarkStart w:id="302" w:name="_Toc989190"/>
      <w:r>
        <w:rPr>
          <w:rFonts w:ascii="宋体" w:eastAsia="宋体" w:hAnsi="宋体" w:cs="宋体"/>
          <w:b/>
          <w:bCs/>
          <w:szCs w:val="21"/>
        </w:rPr>
        <w:t>（1） 资产负债表</w:t>
      </w:r>
      <w:proofErr w:type="gramStart"/>
      <w:r>
        <w:rPr>
          <w:rFonts w:ascii="宋体" w:eastAsia="宋体" w:hAnsi="宋体" w:cs="宋体"/>
          <w:b/>
          <w:bCs/>
          <w:szCs w:val="21"/>
        </w:rPr>
        <w:t>日存在</w:t>
      </w:r>
      <w:proofErr w:type="gramEnd"/>
      <w:r>
        <w:rPr>
          <w:rFonts w:ascii="宋体" w:eastAsia="宋体" w:hAnsi="宋体" w:cs="宋体"/>
          <w:b/>
          <w:bCs/>
          <w:szCs w:val="21"/>
        </w:rPr>
        <w:t>的重要或有事项</w:t>
      </w:r>
      <w:bookmarkEnd w:id="302"/>
    </w:p>
    <w:p w:rsidR="00C1183B" w:rsidRDefault="002D376B">
      <w:pPr>
        <w:pStyle w:val="a3"/>
        <w:spacing w:before="0" w:beforeAutospacing="0" w:after="0" w:afterAutospacing="0" w:line="400" w:lineRule="atLeast"/>
        <w:ind w:firstLine="360"/>
        <w:jc w:val="both"/>
        <w:divId w:val="2042434085"/>
        <w:rPr>
          <w:rFonts w:ascii="Times New Roman" w:hAnsi="Times New Roman" w:cs="Times New Roman"/>
          <w:sz w:val="21"/>
          <w:szCs w:val="21"/>
        </w:rPr>
      </w:pPr>
      <w:r>
        <w:rPr>
          <w:rFonts w:cs="Times New Roman" w:hint="eastAsia"/>
          <w:sz w:val="18"/>
          <w:szCs w:val="18"/>
        </w:rPr>
        <w:t>1）为子公司提供担保：</w:t>
      </w:r>
    </w:p>
    <w:p w:rsidR="00C1183B" w:rsidRDefault="002D376B">
      <w:pPr>
        <w:pStyle w:val="a3"/>
        <w:spacing w:before="0" w:beforeAutospacing="0" w:after="0" w:afterAutospacing="0" w:line="400" w:lineRule="atLeast"/>
        <w:ind w:firstLine="360"/>
        <w:jc w:val="both"/>
        <w:divId w:val="2042434085"/>
        <w:rPr>
          <w:rFonts w:ascii="Times New Roman" w:hAnsi="Times New Roman" w:cs="Times New Roman"/>
          <w:sz w:val="21"/>
          <w:szCs w:val="21"/>
        </w:rPr>
      </w:pPr>
      <w:r>
        <w:rPr>
          <w:rFonts w:cs="Times New Roman" w:hint="eastAsia"/>
          <w:sz w:val="18"/>
          <w:szCs w:val="18"/>
        </w:rPr>
        <w:t>根据公司与郑州商品交易所、江阴华西化工码头有限公司签署的《担保合同》，公司对江阴华西化工码头有限公司因甲醇、对二甲苯期货交割业务产生的一切债务和责任承担保证担保责任。</w:t>
      </w:r>
    </w:p>
    <w:p w:rsidR="00C1183B" w:rsidRDefault="002D376B">
      <w:pPr>
        <w:pStyle w:val="a3"/>
        <w:spacing w:before="0" w:beforeAutospacing="0" w:after="0" w:afterAutospacing="0" w:line="400" w:lineRule="atLeast"/>
        <w:ind w:firstLine="360"/>
        <w:jc w:val="both"/>
        <w:divId w:val="2042434085"/>
        <w:rPr>
          <w:rFonts w:ascii="Times New Roman" w:hAnsi="Times New Roman" w:cs="Times New Roman"/>
          <w:sz w:val="21"/>
          <w:szCs w:val="21"/>
        </w:rPr>
      </w:pPr>
      <w:r>
        <w:rPr>
          <w:rFonts w:cs="Times New Roman" w:hint="eastAsia"/>
          <w:sz w:val="18"/>
          <w:szCs w:val="18"/>
        </w:rPr>
        <w:t>根据公司向大连商品交易所出具的《担保函》，公司对江阴华西化工码头有限公司参与苯乙烯期货储存交割等相关业务所应承担的一切责任，承担全额连带担保责任。</w:t>
      </w:r>
    </w:p>
    <w:p w:rsidR="00C1183B" w:rsidRDefault="002D376B">
      <w:pPr>
        <w:pStyle w:val="a3"/>
        <w:spacing w:before="0" w:beforeAutospacing="0" w:after="0" w:afterAutospacing="0" w:line="400" w:lineRule="atLeast"/>
        <w:ind w:firstLine="360"/>
        <w:jc w:val="both"/>
        <w:divId w:val="2042434085"/>
        <w:rPr>
          <w:rFonts w:ascii="Times New Roman" w:hAnsi="Times New Roman" w:cs="Times New Roman"/>
          <w:sz w:val="21"/>
          <w:szCs w:val="21"/>
        </w:rPr>
      </w:pPr>
      <w:r>
        <w:rPr>
          <w:rFonts w:cs="Times New Roman" w:hint="eastAsia"/>
          <w:sz w:val="18"/>
          <w:szCs w:val="18"/>
        </w:rPr>
        <w:t>2024年1-6月，公司为江阴华西化工码头有限公司上述指定交割库业务提供担保发生额为</w:t>
      </w:r>
      <w:r>
        <w:rPr>
          <w:rFonts w:cs="Times New Roman" w:hint="eastAsia"/>
          <w:color w:val="000000"/>
          <w:sz w:val="18"/>
          <w:szCs w:val="18"/>
        </w:rPr>
        <w:t>51,049.98万元</w:t>
      </w:r>
      <w:r>
        <w:rPr>
          <w:rFonts w:cs="Times New Roman" w:hint="eastAsia"/>
          <w:sz w:val="18"/>
          <w:szCs w:val="18"/>
        </w:rPr>
        <w:t>。截至报告期末，实际担保金额为零元。</w:t>
      </w:r>
    </w:p>
    <w:p w:rsidR="00C1183B" w:rsidRDefault="002D376B">
      <w:pPr>
        <w:pStyle w:val="a3"/>
        <w:spacing w:before="0" w:beforeAutospacing="0" w:after="0" w:afterAutospacing="0" w:line="400" w:lineRule="atLeast"/>
        <w:ind w:firstLine="360"/>
        <w:jc w:val="both"/>
        <w:divId w:val="2042434085"/>
        <w:rPr>
          <w:rFonts w:ascii="Times New Roman" w:hAnsi="Times New Roman" w:cs="Times New Roman"/>
          <w:sz w:val="21"/>
          <w:szCs w:val="21"/>
        </w:rPr>
      </w:pPr>
      <w:r>
        <w:rPr>
          <w:rFonts w:cs="Times New Roman" w:hint="eastAsia"/>
          <w:sz w:val="18"/>
          <w:szCs w:val="18"/>
        </w:rPr>
        <w:t>2）公司为其他单位提供担保情况详见附注十三、5、（3）本公司作为担保方的关联担保情况。</w:t>
      </w:r>
    </w:p>
    <w:p w:rsidR="00334CB7" w:rsidRDefault="002D376B">
      <w:pPr>
        <w:keepNext/>
        <w:keepLines/>
        <w:spacing w:before="300" w:after="300" w:line="280" w:lineRule="exact"/>
        <w:outlineLvl w:val="3"/>
        <w:rPr>
          <w:rFonts w:ascii="宋体" w:eastAsia="宋体" w:hAnsi="宋体" w:cs="宋体"/>
          <w:b/>
          <w:bCs/>
          <w:szCs w:val="21"/>
        </w:rPr>
      </w:pPr>
      <w:bookmarkStart w:id="303" w:name="_Toc989191"/>
      <w:r>
        <w:rPr>
          <w:rFonts w:ascii="宋体" w:eastAsia="宋体" w:hAnsi="宋体" w:cs="宋体"/>
          <w:b/>
          <w:bCs/>
          <w:szCs w:val="21"/>
        </w:rPr>
        <w:lastRenderedPageBreak/>
        <w:t>（2） 公司没有需要披露的重要或有事项，也应予以说明</w:t>
      </w:r>
      <w:bookmarkEnd w:id="303"/>
    </w:p>
    <w:p w:rsidR="00334CB7" w:rsidRDefault="002D376B" w:rsidP="00100904">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公司不存在需要披露的重要或有事项。</w:t>
      </w:r>
    </w:p>
    <w:p w:rsidR="00334CB7" w:rsidRDefault="002D376B">
      <w:pPr>
        <w:pStyle w:val="2"/>
        <w:spacing w:before="300" w:after="300" w:line="320" w:lineRule="exact"/>
        <w:rPr>
          <w:rFonts w:ascii="宋体" w:eastAsia="宋体" w:hAnsi="宋体" w:cs="宋体"/>
          <w:b/>
          <w:bCs/>
          <w:sz w:val="24"/>
          <w:szCs w:val="24"/>
        </w:rPr>
      </w:pPr>
      <w:bookmarkStart w:id="304" w:name="_Toc989192"/>
      <w:r>
        <w:rPr>
          <w:rFonts w:ascii="宋体" w:eastAsia="宋体" w:hAnsi="宋体" w:cs="宋体"/>
          <w:b/>
          <w:bCs/>
          <w:sz w:val="24"/>
          <w:szCs w:val="24"/>
        </w:rPr>
        <w:t>十六、资产负债表日后事项</w:t>
      </w:r>
      <w:bookmarkEnd w:id="304"/>
    </w:p>
    <w:p w:rsidR="00334CB7" w:rsidRDefault="002D376B">
      <w:pPr>
        <w:pStyle w:val="3"/>
        <w:spacing w:line="280" w:lineRule="exact"/>
        <w:jc w:val="left"/>
        <w:rPr>
          <w:rFonts w:ascii="宋体" w:hAnsi="宋体" w:cs="宋体"/>
          <w:b/>
          <w:bCs/>
        </w:rPr>
      </w:pPr>
      <w:bookmarkStart w:id="305" w:name="_Toc989193"/>
      <w:r>
        <w:rPr>
          <w:rFonts w:ascii="宋体" w:hAnsi="宋体" w:cs="宋体"/>
          <w:b/>
          <w:bCs/>
        </w:rPr>
        <w:t>1、利润分配情况</w:t>
      </w:r>
      <w:bookmarkEnd w:id="305"/>
    </w:p>
    <w:p w:rsidR="00334CB7" w:rsidRDefault="00334CB7">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拟分配每10股派息数（元）</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拟分配每10</w:t>
            </w:r>
            <w:proofErr w:type="gramStart"/>
            <w:r>
              <w:rPr>
                <w:rFonts w:ascii="宋体" w:eastAsia="宋体" w:hAnsi="宋体" w:cs="宋体"/>
                <w:sz w:val="18"/>
                <w:szCs w:val="18"/>
              </w:rPr>
              <w:t>股分</w:t>
            </w:r>
            <w:proofErr w:type="gramEnd"/>
            <w:r>
              <w:rPr>
                <w:rFonts w:ascii="宋体" w:eastAsia="宋体" w:hAnsi="宋体" w:cs="宋体"/>
                <w:sz w:val="18"/>
                <w:szCs w:val="18"/>
              </w:rPr>
              <w:t>红股（股）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拟分配每10股转增数（股）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经审议批准宣告发放的每10股派息数（元）</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0.20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经审议批准宣告发放的每10</w:t>
            </w:r>
            <w:proofErr w:type="gramStart"/>
            <w:r>
              <w:rPr>
                <w:rFonts w:ascii="宋体" w:eastAsia="宋体" w:hAnsi="宋体" w:cs="宋体"/>
                <w:sz w:val="18"/>
                <w:szCs w:val="18"/>
              </w:rPr>
              <w:t>股分</w:t>
            </w:r>
            <w:proofErr w:type="gramEnd"/>
            <w:r>
              <w:rPr>
                <w:rFonts w:ascii="宋体" w:eastAsia="宋体" w:hAnsi="宋体" w:cs="宋体"/>
                <w:sz w:val="18"/>
                <w:szCs w:val="18"/>
              </w:rPr>
              <w:t>红股（股）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经审议批准宣告发放的每10股转增数（股）</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34CB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利润分配方案</w:t>
            </w:r>
          </w:p>
        </w:tc>
        <w:tc>
          <w:tcPr>
            <w:tcW w:w="4820" w:type="dxa"/>
            <w:tcBorders>
              <w:top w:val="single" w:sz="2" w:space="0" w:color="auto"/>
              <w:left w:val="single" w:sz="2" w:space="0" w:color="auto"/>
              <w:bottom w:val="single" w:sz="2" w:space="0" w:color="auto"/>
              <w:right w:val="single" w:sz="2" w:space="0" w:color="auto"/>
            </w:tcBorders>
            <w:vAlign w:val="center"/>
          </w:tcPr>
          <w:p w:rsidR="00334CB7" w:rsidRDefault="002D376B" w:rsidP="00CA05B2">
            <w:pPr>
              <w:spacing w:line="240" w:lineRule="exact"/>
              <w:jc w:val="both"/>
              <w:rPr>
                <w:rFonts w:ascii="宋体" w:eastAsia="宋体" w:hAnsi="宋体" w:cs="宋体"/>
                <w:sz w:val="18"/>
                <w:szCs w:val="18"/>
              </w:rPr>
            </w:pPr>
            <w:r>
              <w:rPr>
                <w:rFonts w:ascii="宋体" w:eastAsia="宋体" w:hAnsi="宋体" w:cs="宋体"/>
                <w:sz w:val="18"/>
                <w:szCs w:val="18"/>
              </w:rPr>
              <w:t>根据2023年度股东大会授权，公司第九届董事会第五次会议审议通过了《2024年半年度利润分配方案》，拟以未来实施利润分配方案时股权登记日的总股本为基数，向全体股东每10股派发现金股利0.20元（含税），本次分配公司不送红股也不进行资本公积转增股本。</w:t>
            </w:r>
          </w:p>
        </w:tc>
      </w:tr>
    </w:tbl>
    <w:p w:rsidR="00334CB7" w:rsidRDefault="002D376B">
      <w:pPr>
        <w:pStyle w:val="3"/>
        <w:spacing w:line="280" w:lineRule="exact"/>
        <w:jc w:val="left"/>
        <w:rPr>
          <w:rFonts w:ascii="宋体" w:hAnsi="宋体" w:cs="宋体"/>
          <w:b/>
          <w:bCs/>
        </w:rPr>
      </w:pPr>
      <w:bookmarkStart w:id="306" w:name="_Toc989194"/>
      <w:r>
        <w:rPr>
          <w:rFonts w:ascii="宋体" w:hAnsi="宋体" w:cs="宋体"/>
          <w:b/>
          <w:bCs/>
        </w:rPr>
        <w:t>2、其他资产负债表日后事项说明</w:t>
      </w:r>
      <w:bookmarkEnd w:id="306"/>
    </w:p>
    <w:p w:rsidR="00C1183B" w:rsidRDefault="002D376B">
      <w:pPr>
        <w:pStyle w:val="a3"/>
        <w:spacing w:before="0" w:beforeAutospacing="0" w:after="0" w:afterAutospacing="0" w:line="400" w:lineRule="atLeast"/>
        <w:ind w:firstLine="360"/>
        <w:jc w:val="both"/>
        <w:divId w:val="398750480"/>
      </w:pPr>
      <w:r>
        <w:rPr>
          <w:rFonts w:hint="eastAsia"/>
          <w:sz w:val="18"/>
          <w:szCs w:val="18"/>
        </w:rPr>
        <w:t>根据公司2023年度股东大会审议通过的《2023年度利润分配方案》，公司以期末总股本886,012,887.00股为基数，向全体股东每10股派发现金股利0.20元（含税），合计派发17,720,257.74元。本次分配公司不送红股也不进行资本公积转增股本。本次权益分派股权登记日为2024年7月3日，除权除息日为</w:t>
      </w:r>
      <w:r w:rsidR="00E274FF">
        <w:rPr>
          <w:rFonts w:hint="eastAsia"/>
          <w:sz w:val="18"/>
          <w:szCs w:val="18"/>
        </w:rPr>
        <w:t>2024</w:t>
      </w:r>
      <w:r>
        <w:rPr>
          <w:rFonts w:hint="eastAsia"/>
          <w:sz w:val="18"/>
          <w:szCs w:val="18"/>
        </w:rPr>
        <w:t>年7月4日。</w:t>
      </w:r>
    </w:p>
    <w:p w:rsidR="00334CB7" w:rsidRDefault="002D376B">
      <w:pPr>
        <w:pStyle w:val="2"/>
        <w:spacing w:before="300" w:after="300" w:line="320" w:lineRule="exact"/>
        <w:rPr>
          <w:rFonts w:ascii="宋体" w:eastAsia="宋体" w:hAnsi="宋体" w:cs="宋体"/>
          <w:b/>
          <w:bCs/>
          <w:sz w:val="24"/>
          <w:szCs w:val="24"/>
        </w:rPr>
      </w:pPr>
      <w:bookmarkStart w:id="307" w:name="_Toc989195"/>
      <w:r>
        <w:rPr>
          <w:rFonts w:ascii="宋体" w:eastAsia="宋体" w:hAnsi="宋体" w:cs="宋体"/>
          <w:b/>
          <w:bCs/>
          <w:sz w:val="24"/>
          <w:szCs w:val="24"/>
        </w:rPr>
        <w:t>十七、其他重要事项</w:t>
      </w:r>
      <w:bookmarkEnd w:id="307"/>
    </w:p>
    <w:p w:rsidR="00334CB7" w:rsidRDefault="002D376B">
      <w:pPr>
        <w:pStyle w:val="3"/>
        <w:spacing w:line="280" w:lineRule="exact"/>
        <w:jc w:val="left"/>
        <w:rPr>
          <w:rFonts w:ascii="宋体" w:hAnsi="宋体" w:cs="宋体"/>
          <w:b/>
          <w:bCs/>
        </w:rPr>
      </w:pPr>
      <w:bookmarkStart w:id="308" w:name="_Toc989196"/>
      <w:r>
        <w:rPr>
          <w:rFonts w:ascii="宋体" w:hAnsi="宋体" w:cs="宋体"/>
          <w:b/>
          <w:bCs/>
        </w:rPr>
        <w:t>1、其他</w:t>
      </w:r>
      <w:bookmarkEnd w:id="308"/>
      <w:r w:rsidR="00255F59">
        <w:rPr>
          <w:rFonts w:ascii="宋体" w:hAnsi="宋体" w:cs="宋体"/>
          <w:b/>
          <w:bCs/>
        </w:rPr>
        <w:t>对投资者决策有影响的重要交易和事项</w:t>
      </w:r>
    </w:p>
    <w:p w:rsidR="003D246E" w:rsidRDefault="002D376B" w:rsidP="003D246E">
      <w:pPr>
        <w:pStyle w:val="a3"/>
        <w:adjustRightInd w:val="0"/>
        <w:snapToGrid w:val="0"/>
        <w:spacing w:before="0" w:beforeAutospacing="0" w:after="0" w:afterAutospacing="0" w:line="360" w:lineRule="auto"/>
        <w:ind w:firstLineChars="200" w:firstLine="360"/>
        <w:jc w:val="both"/>
        <w:divId w:val="1412892591"/>
        <w:rPr>
          <w:sz w:val="18"/>
          <w:szCs w:val="18"/>
        </w:rPr>
      </w:pPr>
      <w:r>
        <w:rPr>
          <w:rFonts w:cs="Times New Roman" w:hint="eastAsia"/>
          <w:sz w:val="18"/>
          <w:szCs w:val="18"/>
        </w:rPr>
        <w:t>2024年6月23日，公司第九届董事会第三次会议审议通过了《关于转让参股公司部分股份的议案》，公司控制主体上海启</w:t>
      </w:r>
      <w:proofErr w:type="gramStart"/>
      <w:r>
        <w:rPr>
          <w:rFonts w:cs="Times New Roman" w:hint="eastAsia"/>
          <w:sz w:val="18"/>
          <w:szCs w:val="18"/>
        </w:rPr>
        <w:t>澜</w:t>
      </w:r>
      <w:proofErr w:type="gramEnd"/>
      <w:r>
        <w:rPr>
          <w:rFonts w:cs="Times New Roman" w:hint="eastAsia"/>
          <w:sz w:val="18"/>
          <w:szCs w:val="18"/>
        </w:rPr>
        <w:t>企业管理咨询合伙企业（有限合伙）（以下简称“上海启澜”）与北京万通新发展集团股份有限公司（以下简称“万通发展”）签署了《关于 Source Photonics Holdings (Cayman) Limited 之股份转让协议》，上海启</w:t>
      </w:r>
      <w:proofErr w:type="gramStart"/>
      <w:r>
        <w:rPr>
          <w:rFonts w:cs="Times New Roman" w:hint="eastAsia"/>
          <w:sz w:val="18"/>
          <w:szCs w:val="18"/>
        </w:rPr>
        <w:t>澜</w:t>
      </w:r>
      <w:proofErr w:type="gramEnd"/>
      <w:r>
        <w:rPr>
          <w:rFonts w:cs="Times New Roman" w:hint="eastAsia"/>
          <w:sz w:val="18"/>
          <w:szCs w:val="18"/>
        </w:rPr>
        <w:t>拟将其持有556.03万股Source Photonics Holdings (Cayman) Limited（以下简称“索尔思光电”）股份以及通过 Diamond Hill, L.P.持有的2,959.25万股索尔思光电股份转让给万通发展，合计转让3,515.28万股索尔思光电股份，转让总价款为9,202.66万美元。本次转让完成后，上海启</w:t>
      </w:r>
      <w:proofErr w:type="gramStart"/>
      <w:r>
        <w:rPr>
          <w:rFonts w:cs="Times New Roman" w:hint="eastAsia"/>
          <w:sz w:val="18"/>
          <w:szCs w:val="18"/>
        </w:rPr>
        <w:t>澜</w:t>
      </w:r>
      <w:proofErr w:type="gramEnd"/>
      <w:r>
        <w:rPr>
          <w:rFonts w:cs="Times New Roman" w:hint="eastAsia"/>
          <w:sz w:val="18"/>
          <w:szCs w:val="18"/>
        </w:rPr>
        <w:t>通过 Diamond Hill, L.P.还持有索尔思光电3,034.37万股股份。</w:t>
      </w:r>
      <w:r w:rsidR="003D246E">
        <w:rPr>
          <w:rFonts w:hint="eastAsia"/>
          <w:sz w:val="18"/>
          <w:szCs w:val="18"/>
        </w:rPr>
        <w:t>截至目前，上述索尔思光电股份转让事项尚在进展过程中。</w:t>
      </w:r>
    </w:p>
    <w:p w:rsidR="00334CB7" w:rsidRDefault="002D376B">
      <w:pPr>
        <w:pStyle w:val="2"/>
        <w:spacing w:before="300" w:after="300" w:line="320" w:lineRule="exact"/>
        <w:rPr>
          <w:rFonts w:ascii="宋体" w:eastAsia="宋体" w:hAnsi="宋体" w:cs="宋体"/>
          <w:b/>
          <w:bCs/>
          <w:sz w:val="24"/>
          <w:szCs w:val="24"/>
        </w:rPr>
      </w:pPr>
      <w:bookmarkStart w:id="309" w:name="_Toc989197"/>
      <w:r>
        <w:rPr>
          <w:rFonts w:ascii="宋体" w:eastAsia="宋体" w:hAnsi="宋体" w:cs="宋体"/>
          <w:b/>
          <w:bCs/>
          <w:sz w:val="24"/>
          <w:szCs w:val="24"/>
        </w:rPr>
        <w:lastRenderedPageBreak/>
        <w:t>十八、母公司财务报表主要项目注释</w:t>
      </w:r>
      <w:bookmarkEnd w:id="309"/>
    </w:p>
    <w:p w:rsidR="00334CB7" w:rsidRDefault="002D376B">
      <w:pPr>
        <w:pStyle w:val="3"/>
        <w:spacing w:line="280" w:lineRule="exact"/>
        <w:jc w:val="left"/>
        <w:rPr>
          <w:rFonts w:ascii="宋体" w:hAnsi="宋体" w:cs="宋体"/>
          <w:b/>
          <w:bCs/>
        </w:rPr>
      </w:pPr>
      <w:bookmarkStart w:id="310" w:name="_Toc989198"/>
      <w:r>
        <w:rPr>
          <w:rFonts w:ascii="宋体" w:hAnsi="宋体" w:cs="宋体"/>
          <w:b/>
          <w:bCs/>
        </w:rPr>
        <w:t>1、应收账款</w:t>
      </w:r>
      <w:bookmarkEnd w:id="310"/>
    </w:p>
    <w:p w:rsidR="00334CB7" w:rsidRDefault="002D376B">
      <w:pPr>
        <w:keepNext/>
        <w:keepLines/>
        <w:spacing w:before="300" w:after="300" w:line="280" w:lineRule="exact"/>
        <w:outlineLvl w:val="3"/>
        <w:rPr>
          <w:rFonts w:ascii="宋体" w:eastAsia="宋体" w:hAnsi="宋体" w:cs="宋体"/>
          <w:b/>
          <w:bCs/>
          <w:szCs w:val="21"/>
        </w:rPr>
      </w:pPr>
      <w:bookmarkStart w:id="311" w:name="_Toc989199"/>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311"/>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140,968,027.03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100,822,383.86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9,216,130.84</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5,017,334.06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4,697.60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5,557,370.92</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5,553,498.94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6,237.51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1,539.91</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10,302.78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10,302.78</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5,540,830.63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5,541,656.25</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155,741,529.39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111,397,914.46</w:t>
            </w:r>
          </w:p>
        </w:tc>
      </w:tr>
    </w:tbl>
    <w:p w:rsidR="00334CB7" w:rsidRDefault="002D376B">
      <w:pPr>
        <w:keepNext/>
        <w:keepLines/>
        <w:spacing w:before="300" w:after="300" w:line="280" w:lineRule="exact"/>
        <w:outlineLvl w:val="3"/>
        <w:rPr>
          <w:rFonts w:ascii="宋体" w:eastAsia="宋体" w:hAnsi="宋体" w:cs="宋体"/>
          <w:b/>
          <w:bCs/>
          <w:szCs w:val="21"/>
        </w:rPr>
      </w:pPr>
      <w:bookmarkStart w:id="312" w:name="_Toc989200"/>
      <w:r>
        <w:rPr>
          <w:rFonts w:ascii="宋体" w:eastAsia="宋体" w:hAnsi="宋体" w:cs="宋体"/>
          <w:b/>
          <w:bCs/>
          <w:szCs w:val="21"/>
        </w:rPr>
        <w:t>（2） 按坏账计提方法分类披露</w:t>
      </w:r>
      <w:bookmarkEnd w:id="312"/>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334CB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155,741,529.39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13,522,206.22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8.68%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142,219,323.17</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111,397,914.46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100,357,653.36</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155,741,529.39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13,522,206.22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8.68%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142,219,323.17</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110,304,530.22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99.02%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99,264,269.12</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合并范围内关联方组合</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1,093,384.24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1,093,384.24</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155,741,529.39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13,522,206.22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8.68%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142,219,323.17</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111,397,914.46</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100,357,653.36</w:t>
            </w:r>
          </w:p>
        </w:tc>
      </w:tr>
    </w:tbl>
    <w:p w:rsidR="004913BE" w:rsidRDefault="004913BE">
      <w:pPr>
        <w:spacing w:before="100" w:after="100" w:line="240" w:lineRule="exact"/>
        <w:rPr>
          <w:rFonts w:ascii="宋体" w:eastAsia="宋体" w:hAnsi="宋体" w:cs="宋体"/>
          <w:sz w:val="18"/>
          <w:szCs w:val="18"/>
        </w:rPr>
      </w:pP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9"/>
        <w:gridCol w:w="2409"/>
        <w:gridCol w:w="2409"/>
        <w:gridCol w:w="2409"/>
      </w:tblGrid>
      <w:tr w:rsidR="004913BE" w:rsidRPr="004913BE" w:rsidTr="004913BE">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4913BE" w:rsidRPr="004913BE" w:rsidRDefault="004913BE" w:rsidP="004913BE">
            <w:pPr>
              <w:spacing w:before="40" w:after="40" w:line="240" w:lineRule="exact"/>
              <w:jc w:val="center"/>
              <w:rPr>
                <w:rFonts w:ascii="宋体" w:eastAsia="宋体" w:hAnsi="宋体" w:cs="宋体"/>
                <w:sz w:val="18"/>
                <w:szCs w:val="18"/>
              </w:rPr>
            </w:pPr>
            <w:r w:rsidRPr="004913BE">
              <w:rPr>
                <w:rFonts w:ascii="宋体" w:eastAsia="宋体" w:hAnsi="宋体" w:cs="宋体" w:hint="eastAsia"/>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hideMark/>
          </w:tcPr>
          <w:p w:rsidR="004913BE" w:rsidRPr="004913BE" w:rsidRDefault="004913BE" w:rsidP="004913BE">
            <w:pPr>
              <w:spacing w:before="40" w:after="40" w:line="240" w:lineRule="exact"/>
              <w:jc w:val="center"/>
              <w:rPr>
                <w:rFonts w:ascii="宋体" w:eastAsia="宋体" w:hAnsi="宋体" w:cs="宋体"/>
                <w:sz w:val="18"/>
                <w:szCs w:val="18"/>
              </w:rPr>
            </w:pPr>
            <w:r w:rsidRPr="004913BE">
              <w:rPr>
                <w:rFonts w:ascii="宋体" w:eastAsia="宋体" w:hAnsi="宋体" w:cs="宋体" w:hint="eastAsia"/>
                <w:sz w:val="18"/>
                <w:szCs w:val="18"/>
              </w:rPr>
              <w:t>期末余额</w:t>
            </w:r>
          </w:p>
        </w:tc>
      </w:tr>
      <w:tr w:rsidR="004913BE" w:rsidRPr="004913BE" w:rsidTr="004913BE">
        <w:trPr>
          <w:trHeight w:val="240"/>
        </w:trPr>
        <w:tc>
          <w:tcPr>
            <w:tcW w:w="2410" w:type="dxa"/>
            <w:vMerge/>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widowControl/>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4913BE" w:rsidRPr="004913BE" w:rsidRDefault="004913BE" w:rsidP="004913BE">
            <w:pPr>
              <w:spacing w:before="40" w:after="40" w:line="240" w:lineRule="exact"/>
              <w:jc w:val="center"/>
              <w:rPr>
                <w:rFonts w:ascii="宋体" w:eastAsia="宋体" w:hAnsi="宋体" w:cs="宋体"/>
                <w:sz w:val="18"/>
                <w:szCs w:val="18"/>
              </w:rPr>
            </w:pPr>
            <w:r w:rsidRPr="004913BE">
              <w:rPr>
                <w:rFonts w:ascii="宋体" w:eastAsia="宋体" w:hAnsi="宋体" w:cs="宋体" w:hint="eastAsia"/>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4913BE" w:rsidRPr="004913BE" w:rsidRDefault="004913BE" w:rsidP="004913BE">
            <w:pPr>
              <w:spacing w:before="40" w:after="40" w:line="240" w:lineRule="exact"/>
              <w:jc w:val="center"/>
              <w:rPr>
                <w:rFonts w:ascii="宋体" w:eastAsia="宋体" w:hAnsi="宋体" w:cs="宋体"/>
                <w:sz w:val="18"/>
                <w:szCs w:val="18"/>
              </w:rPr>
            </w:pPr>
            <w:r w:rsidRPr="004913BE">
              <w:rPr>
                <w:rFonts w:ascii="宋体" w:eastAsia="宋体" w:hAnsi="宋体" w:cs="宋体" w:hint="eastAsia"/>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4913BE" w:rsidRPr="004913BE" w:rsidRDefault="004913BE" w:rsidP="004913BE">
            <w:pPr>
              <w:spacing w:before="40" w:after="40" w:line="240" w:lineRule="exact"/>
              <w:jc w:val="center"/>
              <w:rPr>
                <w:rFonts w:ascii="宋体" w:eastAsia="宋体" w:hAnsi="宋体" w:cs="宋体"/>
                <w:sz w:val="18"/>
                <w:szCs w:val="18"/>
              </w:rPr>
            </w:pPr>
            <w:r w:rsidRPr="004913BE">
              <w:rPr>
                <w:rFonts w:ascii="宋体" w:eastAsia="宋体" w:hAnsi="宋体" w:cs="宋体" w:hint="eastAsia"/>
                <w:sz w:val="18"/>
                <w:szCs w:val="18"/>
              </w:rPr>
              <w:t>计提比例</w:t>
            </w:r>
          </w:p>
        </w:tc>
      </w:tr>
      <w:tr w:rsidR="004913BE" w:rsidRPr="004913BE" w:rsidTr="004913BE">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rPr>
                <w:rFonts w:ascii="宋体" w:eastAsia="宋体" w:hAnsi="宋体" w:cs="宋体"/>
                <w:sz w:val="18"/>
                <w:szCs w:val="18"/>
              </w:rPr>
            </w:pPr>
            <w:r w:rsidRPr="004913BE">
              <w:rPr>
                <w:rFonts w:ascii="宋体" w:eastAsia="宋体" w:hAnsi="宋体" w:cs="宋体" w:hint="eastAsia"/>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140,968,027.03</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7,048,401.35</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5.00%</w:t>
            </w:r>
          </w:p>
        </w:tc>
      </w:tr>
      <w:tr w:rsidR="004913BE" w:rsidRPr="004913BE" w:rsidTr="004913BE">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rPr>
                <w:rFonts w:ascii="宋体" w:eastAsia="宋体" w:hAnsi="宋体" w:cs="宋体"/>
                <w:sz w:val="18"/>
                <w:szCs w:val="18"/>
              </w:rPr>
            </w:pPr>
            <w:r w:rsidRPr="004913BE">
              <w:rPr>
                <w:rFonts w:ascii="宋体" w:eastAsia="宋体" w:hAnsi="宋体" w:cs="宋体" w:hint="eastAsia"/>
                <w:sz w:val="18"/>
                <w:szCs w:val="18"/>
              </w:rPr>
              <w:lastRenderedPageBreak/>
              <w:t>1至2年</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9,216,130.84</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921,613.08</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10.00%</w:t>
            </w:r>
          </w:p>
        </w:tc>
      </w:tr>
      <w:tr w:rsidR="004913BE" w:rsidRPr="004913BE" w:rsidTr="004913BE">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rPr>
                <w:rFonts w:ascii="宋体" w:eastAsia="宋体" w:hAnsi="宋体" w:cs="宋体"/>
                <w:sz w:val="18"/>
                <w:szCs w:val="18"/>
              </w:rPr>
            </w:pPr>
            <w:r w:rsidRPr="004913BE">
              <w:rPr>
                <w:rFonts w:ascii="宋体" w:eastAsia="宋体" w:hAnsi="宋体" w:cs="宋体" w:hint="eastAsia"/>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0.60</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0.18</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30.00%</w:t>
            </w:r>
          </w:p>
        </w:tc>
      </w:tr>
      <w:tr w:rsidR="004913BE" w:rsidRPr="004913BE" w:rsidTr="004913BE">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rPr>
                <w:rFonts w:ascii="宋体" w:eastAsia="宋体" w:hAnsi="宋体" w:cs="宋体"/>
                <w:sz w:val="18"/>
                <w:szCs w:val="18"/>
              </w:rPr>
            </w:pPr>
            <w:r w:rsidRPr="004913BE">
              <w:rPr>
                <w:rFonts w:ascii="宋体" w:eastAsia="宋体" w:hAnsi="宋体" w:cs="宋体" w:hint="eastAsia"/>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6,237.51</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3,118.76</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50.00%</w:t>
            </w:r>
          </w:p>
        </w:tc>
      </w:tr>
      <w:tr w:rsidR="004913BE" w:rsidRPr="004913BE" w:rsidTr="004913BE">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rPr>
                <w:rFonts w:ascii="宋体" w:eastAsia="宋体" w:hAnsi="宋体" w:cs="宋体"/>
                <w:sz w:val="18"/>
                <w:szCs w:val="18"/>
              </w:rPr>
            </w:pPr>
            <w:r w:rsidRPr="004913BE">
              <w:rPr>
                <w:rFonts w:ascii="宋体" w:eastAsia="宋体" w:hAnsi="宋体" w:cs="宋体" w:hint="eastAsia"/>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10,302.78</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8,242.22</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80.00%</w:t>
            </w:r>
          </w:p>
        </w:tc>
      </w:tr>
      <w:tr w:rsidR="004913BE" w:rsidRPr="004913BE" w:rsidTr="004913BE">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rPr>
                <w:rFonts w:ascii="宋体" w:eastAsia="宋体" w:hAnsi="宋体" w:cs="宋体"/>
                <w:sz w:val="18"/>
                <w:szCs w:val="18"/>
              </w:rPr>
            </w:pPr>
            <w:r w:rsidRPr="004913BE">
              <w:rPr>
                <w:rFonts w:ascii="宋体" w:eastAsia="宋体" w:hAnsi="宋体" w:cs="宋体" w:hint="eastAsia"/>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5,540,830.63</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5,540,830.63</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100.00%</w:t>
            </w:r>
          </w:p>
        </w:tc>
      </w:tr>
      <w:tr w:rsidR="004913BE" w:rsidRPr="004913BE" w:rsidTr="004913B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4913BE" w:rsidRPr="004913BE" w:rsidRDefault="004913BE" w:rsidP="004913BE">
            <w:pPr>
              <w:spacing w:before="40" w:after="40" w:line="240" w:lineRule="exact"/>
              <w:rPr>
                <w:rFonts w:ascii="宋体" w:eastAsia="宋体" w:hAnsi="宋体" w:cs="宋体"/>
                <w:sz w:val="18"/>
                <w:szCs w:val="18"/>
              </w:rPr>
            </w:pPr>
            <w:r w:rsidRPr="004913BE">
              <w:rPr>
                <w:rFonts w:ascii="宋体" w:eastAsia="宋体" w:hAnsi="宋体" w:cs="宋体" w:hint="eastAsia"/>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155,741,529.39</w:t>
            </w:r>
          </w:p>
        </w:tc>
        <w:tc>
          <w:tcPr>
            <w:tcW w:w="2410" w:type="dxa"/>
            <w:tcBorders>
              <w:top w:val="single" w:sz="2" w:space="0" w:color="auto"/>
              <w:left w:val="single" w:sz="2" w:space="0" w:color="auto"/>
              <w:bottom w:val="single" w:sz="2" w:space="0" w:color="auto"/>
              <w:right w:val="single" w:sz="2" w:space="0" w:color="auto"/>
            </w:tcBorders>
            <w:vAlign w:val="center"/>
            <w:hideMark/>
          </w:tcPr>
          <w:p w:rsidR="004913BE" w:rsidRPr="004913BE" w:rsidRDefault="004913BE" w:rsidP="004913BE">
            <w:pPr>
              <w:spacing w:line="240" w:lineRule="exact"/>
              <w:jc w:val="right"/>
              <w:rPr>
                <w:rFonts w:ascii="宋体" w:eastAsia="宋体" w:hAnsi="宋体" w:cs="宋体"/>
                <w:sz w:val="18"/>
                <w:szCs w:val="18"/>
              </w:rPr>
            </w:pPr>
            <w:r w:rsidRPr="004913BE">
              <w:rPr>
                <w:rFonts w:ascii="宋体" w:eastAsia="宋体" w:hAnsi="宋体" w:cs="宋体" w:hint="eastAsia"/>
                <w:sz w:val="18"/>
                <w:szCs w:val="18"/>
              </w:rPr>
              <w:t>13,522,206.22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4913BE" w:rsidRPr="004913BE" w:rsidRDefault="004913BE" w:rsidP="004913BE">
            <w:pPr>
              <w:rPr>
                <w:rFonts w:ascii="Calibri" w:eastAsia="宋体" w:hAnsi="Calibri" w:cs="Times New Roman"/>
              </w:rPr>
            </w:pP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C1183B" w:rsidRDefault="002D376B">
      <w:pPr>
        <w:pStyle w:val="a3"/>
        <w:divId w:val="1184056351"/>
      </w:pPr>
      <w:r>
        <w:rPr>
          <w:rFonts w:hint="eastAsia"/>
          <w:sz w:val="18"/>
          <w:szCs w:val="18"/>
        </w:rPr>
        <w:t> 参考历史信用损失经验，结合当前状况以及对未来经济账龄组合。本组合以应收款项的账</w:t>
      </w:r>
      <w:proofErr w:type="gramStart"/>
      <w:r>
        <w:rPr>
          <w:rFonts w:hint="eastAsia"/>
          <w:sz w:val="18"/>
          <w:szCs w:val="18"/>
        </w:rPr>
        <w:t>龄作为</w:t>
      </w:r>
      <w:proofErr w:type="gramEnd"/>
      <w:r>
        <w:rPr>
          <w:rFonts w:hint="eastAsia"/>
          <w:sz w:val="18"/>
          <w:szCs w:val="18"/>
        </w:rPr>
        <w:t>信用风险特征状况的预测，编制应收款项账龄与预期信用损失率对照表，计算预期信用损失。</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3"/>
        <w:rPr>
          <w:rFonts w:ascii="宋体" w:eastAsia="宋体" w:hAnsi="宋体" w:cs="宋体"/>
          <w:b/>
          <w:bCs/>
          <w:szCs w:val="21"/>
        </w:rPr>
      </w:pPr>
      <w:bookmarkStart w:id="313" w:name="_Toc989201"/>
      <w:r>
        <w:rPr>
          <w:rFonts w:ascii="宋体" w:eastAsia="宋体" w:hAnsi="宋体" w:cs="宋体"/>
          <w:b/>
          <w:bCs/>
          <w:szCs w:val="21"/>
        </w:rPr>
        <w:t>（3） 本期计提、收回或转回的坏账准备情况</w:t>
      </w:r>
      <w:bookmarkEnd w:id="313"/>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2,481,945.12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13,522,206.22</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2,481,945.12</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13,522,206.22</w:t>
            </w:r>
          </w:p>
        </w:tc>
      </w:tr>
    </w:tbl>
    <w:p w:rsidR="00334CB7" w:rsidRDefault="002D376B">
      <w:pPr>
        <w:keepNext/>
        <w:keepLines/>
        <w:spacing w:before="300" w:after="300" w:line="280" w:lineRule="exact"/>
        <w:outlineLvl w:val="3"/>
        <w:rPr>
          <w:rFonts w:ascii="宋体" w:eastAsia="宋体" w:hAnsi="宋体" w:cs="宋体"/>
          <w:b/>
          <w:bCs/>
          <w:szCs w:val="21"/>
        </w:rPr>
      </w:pPr>
      <w:bookmarkStart w:id="314" w:name="_Toc989202"/>
      <w:r>
        <w:rPr>
          <w:rFonts w:ascii="宋体" w:eastAsia="宋体" w:hAnsi="宋体" w:cs="宋体"/>
          <w:b/>
          <w:bCs/>
          <w:szCs w:val="21"/>
        </w:rPr>
        <w:t>（4） 本期实际核销的应收账款情况</w:t>
      </w:r>
      <w:bookmarkEnd w:id="314"/>
    </w:p>
    <w:p w:rsidR="00C1183B" w:rsidRDefault="002D376B">
      <w:pPr>
        <w:pStyle w:val="a3"/>
        <w:divId w:val="74400884"/>
        <w:rPr>
          <w:sz w:val="18"/>
          <w:szCs w:val="18"/>
        </w:rPr>
      </w:pPr>
      <w:r>
        <w:rPr>
          <w:rFonts w:hint="eastAsia"/>
          <w:sz w:val="18"/>
          <w:szCs w:val="18"/>
        </w:rPr>
        <w:t>本报告期无实际核销的应收账款。</w:t>
      </w:r>
    </w:p>
    <w:p w:rsidR="00334CB7" w:rsidRDefault="002D376B">
      <w:pPr>
        <w:keepNext/>
        <w:keepLines/>
        <w:spacing w:before="300" w:after="300" w:line="280" w:lineRule="exact"/>
        <w:outlineLvl w:val="3"/>
        <w:rPr>
          <w:rFonts w:ascii="宋体" w:eastAsia="宋体" w:hAnsi="宋体" w:cs="宋体"/>
          <w:b/>
          <w:bCs/>
          <w:szCs w:val="21"/>
        </w:rPr>
      </w:pPr>
      <w:bookmarkStart w:id="315" w:name="_Toc989203"/>
      <w:r>
        <w:rPr>
          <w:rFonts w:ascii="宋体" w:eastAsia="宋体" w:hAnsi="宋体" w:cs="宋体"/>
          <w:b/>
          <w:bCs/>
          <w:szCs w:val="21"/>
        </w:rPr>
        <w:t>（5） 按欠款方归集的期末余额前五名的应收账款和合同资产情况</w:t>
      </w:r>
      <w:bookmarkEnd w:id="315"/>
      <w:r w:rsidR="00647844">
        <w:rPr>
          <w:rFonts w:ascii="宋体" w:eastAsia="宋体" w:hAnsi="宋体" w:cs="宋体" w:hint="eastAsia"/>
          <w:b/>
          <w:bCs/>
          <w:szCs w:val="21"/>
        </w:rPr>
        <w:t xml:space="preserve">                       </w:t>
      </w:r>
      <w:r w:rsidR="00647844" w:rsidRPr="00647844">
        <w:rPr>
          <w:rFonts w:ascii="宋体" w:eastAsia="宋体" w:hAnsi="宋体" w:cs="宋体" w:hint="eastAsia"/>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rsidTr="0064784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334CB7" w:rsidTr="0064784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22,215,720.83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22,215,720.83</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14.26%</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1,110,786.04</w:t>
            </w:r>
          </w:p>
        </w:tc>
      </w:tr>
      <w:tr w:rsidR="00334CB7" w:rsidTr="0064784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19,759,993.74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19,759,993.74</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12.69%</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987,999.69</w:t>
            </w:r>
          </w:p>
        </w:tc>
      </w:tr>
      <w:tr w:rsidR="00334CB7" w:rsidTr="0064784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18,481,788.06</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11.87%</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1,353,215.75</w:t>
            </w:r>
          </w:p>
        </w:tc>
      </w:tr>
      <w:tr w:rsidR="00334CB7" w:rsidTr="0064784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14,295,117.17</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14,295,117.17</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9.18%</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714,755.86</w:t>
            </w:r>
          </w:p>
        </w:tc>
      </w:tr>
      <w:tr w:rsidR="00334CB7" w:rsidTr="0064784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13,499,744.20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13,499,744.20</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8.67%</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674,987.21</w:t>
            </w:r>
          </w:p>
        </w:tc>
      </w:tr>
      <w:tr w:rsidR="00334CB7" w:rsidTr="0064784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88,252,364.00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88,252,364.00</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56.67%</w:t>
            </w:r>
          </w:p>
        </w:tc>
        <w:tc>
          <w:tcPr>
            <w:tcW w:w="160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4,841,744.55</w:t>
            </w:r>
          </w:p>
        </w:tc>
      </w:tr>
    </w:tbl>
    <w:p w:rsidR="00334CB7" w:rsidRDefault="002D376B">
      <w:pPr>
        <w:pStyle w:val="3"/>
        <w:spacing w:line="280" w:lineRule="exact"/>
        <w:jc w:val="left"/>
        <w:rPr>
          <w:rFonts w:ascii="宋体" w:hAnsi="宋体" w:cs="宋体"/>
          <w:b/>
          <w:bCs/>
        </w:rPr>
      </w:pPr>
      <w:bookmarkStart w:id="316" w:name="_Toc989204"/>
      <w:r>
        <w:rPr>
          <w:rFonts w:ascii="宋体" w:hAnsi="宋体" w:cs="宋体"/>
          <w:b/>
          <w:bCs/>
        </w:rPr>
        <w:t>2、其他应收款</w:t>
      </w:r>
      <w:bookmarkEnd w:id="31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5,380,241.21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584,058.26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5,380,241.21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584,058.26</w:t>
            </w:r>
          </w:p>
        </w:tc>
      </w:tr>
    </w:tbl>
    <w:p w:rsidR="00334CB7" w:rsidRDefault="002D376B">
      <w:pPr>
        <w:keepNext/>
        <w:keepLines/>
        <w:spacing w:before="300" w:after="300" w:line="280" w:lineRule="exact"/>
        <w:outlineLvl w:val="3"/>
        <w:rPr>
          <w:rFonts w:ascii="宋体" w:eastAsia="宋体" w:hAnsi="宋体" w:cs="宋体"/>
          <w:b/>
          <w:bCs/>
          <w:sz w:val="18"/>
          <w:szCs w:val="18"/>
        </w:rPr>
      </w:pPr>
      <w:bookmarkStart w:id="317" w:name="_Toc989205"/>
      <w:r>
        <w:rPr>
          <w:rFonts w:ascii="宋体" w:eastAsia="宋体" w:hAnsi="宋体" w:cs="宋体"/>
          <w:b/>
          <w:bCs/>
          <w:sz w:val="18"/>
          <w:szCs w:val="18"/>
        </w:rPr>
        <w:lastRenderedPageBreak/>
        <w:t>（1） 其他应收款</w:t>
      </w:r>
      <w:bookmarkEnd w:id="317"/>
    </w:p>
    <w:p w:rsidR="00334CB7" w:rsidRDefault="002D376B">
      <w:pPr>
        <w:keepNext/>
        <w:keepLines/>
        <w:spacing w:before="300" w:after="300" w:line="280" w:lineRule="exact"/>
        <w:outlineLvl w:val="4"/>
        <w:rPr>
          <w:rFonts w:ascii="宋体" w:eastAsia="宋体" w:hAnsi="宋体" w:cs="宋体"/>
          <w:b/>
          <w:bCs/>
          <w:sz w:val="18"/>
          <w:szCs w:val="18"/>
        </w:rPr>
      </w:pPr>
      <w:bookmarkStart w:id="318" w:name="_Toc989206"/>
      <w:r>
        <w:rPr>
          <w:rFonts w:ascii="宋体" w:eastAsia="宋体" w:hAnsi="宋体" w:cs="宋体"/>
          <w:b/>
          <w:bCs/>
          <w:sz w:val="18"/>
          <w:szCs w:val="18"/>
        </w:rPr>
        <w:t>1） 其他应收款按款项性质分类情况</w:t>
      </w:r>
      <w:bookmarkEnd w:id="31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65,000.00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5,600,000.00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代扣代缴款</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312,622.33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237,166.59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42,785,929.39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37,740,473.65</w:t>
            </w:r>
          </w:p>
        </w:tc>
      </w:tr>
    </w:tbl>
    <w:p w:rsidR="00334CB7" w:rsidRDefault="002D376B">
      <w:pPr>
        <w:keepNext/>
        <w:keepLines/>
        <w:spacing w:before="300" w:after="300" w:line="280" w:lineRule="exact"/>
        <w:outlineLvl w:val="4"/>
        <w:rPr>
          <w:rFonts w:ascii="宋体" w:eastAsia="宋体" w:hAnsi="宋体" w:cs="宋体"/>
          <w:b/>
          <w:bCs/>
          <w:sz w:val="18"/>
          <w:szCs w:val="18"/>
        </w:rPr>
      </w:pPr>
      <w:bookmarkStart w:id="319" w:name="_Toc989207"/>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319"/>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5,347,622.33</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242,166.59</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37,438,307.06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37,438,307.06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1,317,270.36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1,317,270.36</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42,785,929.39</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37,740,473.65</w:t>
            </w:r>
          </w:p>
        </w:tc>
      </w:tr>
    </w:tbl>
    <w:p w:rsidR="00334CB7" w:rsidRDefault="002D376B">
      <w:pPr>
        <w:keepNext/>
        <w:keepLines/>
        <w:spacing w:before="300" w:after="300" w:line="280" w:lineRule="exact"/>
        <w:outlineLvl w:val="4"/>
        <w:rPr>
          <w:rFonts w:ascii="宋体" w:eastAsia="宋体" w:hAnsi="宋体" w:cs="宋体"/>
          <w:b/>
          <w:bCs/>
          <w:sz w:val="18"/>
          <w:szCs w:val="18"/>
        </w:rPr>
      </w:pPr>
      <w:bookmarkStart w:id="320" w:name="_Toc989208"/>
      <w:r>
        <w:rPr>
          <w:rFonts w:ascii="宋体" w:eastAsia="宋体" w:hAnsi="宋体" w:cs="宋体"/>
          <w:b/>
          <w:bCs/>
          <w:sz w:val="18"/>
          <w:szCs w:val="18"/>
        </w:rPr>
        <w:t>3） 按坏账计提方法分类披露</w:t>
      </w:r>
      <w:bookmarkEnd w:id="320"/>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334CB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83.02%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94.12%</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7,264,892.69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1,884,651.48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25.94%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5,380,241.21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73.68%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584,058.26</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7,264,892.69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16.98%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1,884,651.48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25.94%</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5,380,241.21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73.68%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584,058.26</w:t>
            </w:r>
          </w:p>
        </w:tc>
      </w:tr>
      <w:tr w:rsidR="00334CB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42,785,929.39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37,405,688.18</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87.43%</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5,380,241.21</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37,740,473.65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37,156,415.39</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98.45%</w:t>
            </w:r>
          </w:p>
        </w:tc>
        <w:tc>
          <w:tcPr>
            <w:tcW w:w="87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584,058.26</w:t>
            </w:r>
          </w:p>
        </w:tc>
      </w:tr>
    </w:tbl>
    <w:p w:rsidR="007E1022" w:rsidRDefault="007E1022">
      <w:pPr>
        <w:spacing w:line="240" w:lineRule="exact"/>
        <w:rPr>
          <w:rFonts w:ascii="宋体" w:eastAsia="宋体" w:hAnsi="宋体" w:cs="宋体"/>
          <w:sz w:val="18"/>
          <w:szCs w:val="18"/>
        </w:rPr>
      </w:pP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按单项计提坏账准备类别名称：按单项计提坏账准备</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bl>
    <w:p w:rsidR="007E1022" w:rsidRDefault="007E1022">
      <w:pPr>
        <w:spacing w:line="240" w:lineRule="exact"/>
        <w:rPr>
          <w:rFonts w:ascii="宋体" w:eastAsia="宋体" w:hAnsi="宋体" w:cs="宋体"/>
          <w:sz w:val="18"/>
          <w:szCs w:val="18"/>
        </w:rPr>
      </w:pPr>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按组合计提坏账准备类别名称：</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9149D7" w:rsidRPr="009149D7" w:rsidTr="00F35B6A">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pPr>
              <w:spacing w:before="40" w:after="40" w:line="240" w:lineRule="exact"/>
              <w:jc w:val="center"/>
              <w:rPr>
                <w:rFonts w:ascii="宋体" w:eastAsia="宋体" w:hAnsi="宋体" w:cs="宋体"/>
                <w:sz w:val="18"/>
                <w:szCs w:val="18"/>
              </w:rPr>
            </w:pPr>
            <w:r w:rsidRPr="009149D7">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pPr>
              <w:spacing w:before="40" w:after="40" w:line="240" w:lineRule="exact"/>
              <w:jc w:val="center"/>
              <w:rPr>
                <w:rFonts w:ascii="宋体" w:eastAsia="宋体" w:hAnsi="宋体" w:cs="宋体"/>
                <w:sz w:val="18"/>
                <w:szCs w:val="18"/>
              </w:rPr>
            </w:pPr>
            <w:r w:rsidRPr="009149D7">
              <w:rPr>
                <w:rFonts w:ascii="宋体" w:eastAsia="宋体" w:hAnsi="宋体" w:cs="宋体"/>
                <w:sz w:val="18"/>
                <w:szCs w:val="18"/>
              </w:rPr>
              <w:t>期末余额</w:t>
            </w:r>
          </w:p>
        </w:tc>
      </w:tr>
      <w:tr w:rsidR="009149D7" w:rsidRPr="009149D7" w:rsidTr="00F35B6A">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pPr>
              <w:spacing w:before="40" w:after="40" w:line="240" w:lineRule="exact"/>
              <w:jc w:val="center"/>
              <w:rPr>
                <w:rFonts w:ascii="宋体" w:eastAsia="宋体" w:hAnsi="宋体" w:cs="宋体"/>
                <w:sz w:val="18"/>
                <w:szCs w:val="18"/>
              </w:rPr>
            </w:pPr>
            <w:r w:rsidRPr="009149D7">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pPr>
              <w:spacing w:before="40" w:after="40" w:line="240" w:lineRule="exact"/>
              <w:jc w:val="center"/>
              <w:rPr>
                <w:rFonts w:ascii="宋体" w:eastAsia="宋体" w:hAnsi="宋体" w:cs="宋体"/>
                <w:sz w:val="18"/>
                <w:szCs w:val="18"/>
              </w:rPr>
            </w:pPr>
            <w:r w:rsidRPr="009149D7">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pPr>
              <w:spacing w:before="40" w:after="40" w:line="240" w:lineRule="exact"/>
              <w:jc w:val="center"/>
              <w:rPr>
                <w:rFonts w:ascii="宋体" w:eastAsia="宋体" w:hAnsi="宋体" w:cs="宋体"/>
                <w:sz w:val="18"/>
                <w:szCs w:val="18"/>
              </w:rPr>
            </w:pPr>
            <w:r w:rsidRPr="009149D7">
              <w:rPr>
                <w:rFonts w:ascii="宋体" w:eastAsia="宋体" w:hAnsi="宋体" w:cs="宋体"/>
                <w:sz w:val="18"/>
                <w:szCs w:val="18"/>
              </w:rPr>
              <w:t>计提比例</w:t>
            </w:r>
          </w:p>
        </w:tc>
      </w:tr>
      <w:tr w:rsidR="009149D7" w:rsidRPr="009149D7"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rPr>
                <w:rFonts w:ascii="宋体" w:eastAsia="宋体" w:hAnsi="宋体" w:cs="宋体"/>
                <w:sz w:val="18"/>
                <w:szCs w:val="18"/>
              </w:rPr>
            </w:pPr>
            <w:r w:rsidRPr="009149D7">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5,347,622.33</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267,381.12</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5.00%</w:t>
            </w:r>
          </w:p>
        </w:tc>
      </w:tr>
      <w:tr w:rsidR="009149D7" w:rsidRPr="009149D7"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rPr>
                <w:rFonts w:ascii="宋体" w:eastAsia="宋体" w:hAnsi="宋体" w:cs="宋体"/>
                <w:sz w:val="18"/>
                <w:szCs w:val="18"/>
              </w:rPr>
            </w:pPr>
            <w:r w:rsidRPr="009149D7">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10.00%</w:t>
            </w:r>
          </w:p>
        </w:tc>
      </w:tr>
      <w:tr w:rsidR="009149D7" w:rsidRPr="009149D7"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rPr>
                <w:rFonts w:ascii="宋体" w:eastAsia="宋体" w:hAnsi="宋体" w:cs="宋体"/>
                <w:sz w:val="18"/>
                <w:szCs w:val="18"/>
              </w:rPr>
            </w:pPr>
            <w:r w:rsidRPr="009149D7">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30.00%</w:t>
            </w:r>
          </w:p>
        </w:tc>
      </w:tr>
      <w:tr w:rsidR="009149D7" w:rsidRPr="009149D7"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rPr>
                <w:rFonts w:ascii="宋体" w:eastAsia="宋体" w:hAnsi="宋体" w:cs="宋体"/>
                <w:sz w:val="18"/>
                <w:szCs w:val="18"/>
              </w:rPr>
            </w:pPr>
            <w:r w:rsidRPr="009149D7">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600,000.00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300,000.00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50.00%</w:t>
            </w:r>
          </w:p>
        </w:tc>
      </w:tr>
      <w:tr w:rsidR="009149D7" w:rsidRPr="009149D7"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rPr>
                <w:rFonts w:ascii="宋体" w:eastAsia="宋体" w:hAnsi="宋体" w:cs="宋体"/>
                <w:sz w:val="18"/>
                <w:szCs w:val="18"/>
              </w:rPr>
            </w:pPr>
            <w:r w:rsidRPr="009149D7">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80.00%</w:t>
            </w:r>
          </w:p>
        </w:tc>
      </w:tr>
      <w:tr w:rsidR="009149D7" w:rsidRPr="009149D7" w:rsidTr="00F35B6A">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rPr>
                <w:rFonts w:ascii="宋体" w:eastAsia="宋体" w:hAnsi="宋体" w:cs="宋体"/>
                <w:sz w:val="18"/>
                <w:szCs w:val="18"/>
              </w:rPr>
            </w:pPr>
            <w:r w:rsidRPr="009149D7">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1,317,270.36</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1,317,270.36</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100.00%</w:t>
            </w:r>
          </w:p>
        </w:tc>
      </w:tr>
      <w:tr w:rsidR="009149D7" w:rsidRPr="009149D7" w:rsidTr="00F35B6A">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pPr>
              <w:spacing w:before="40" w:after="40" w:line="240" w:lineRule="exact"/>
              <w:rPr>
                <w:rFonts w:ascii="宋体" w:eastAsia="宋体" w:hAnsi="宋体" w:cs="宋体"/>
                <w:sz w:val="18"/>
                <w:szCs w:val="18"/>
              </w:rPr>
            </w:pPr>
            <w:r w:rsidRPr="009149D7">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7,264,892.69</w:t>
            </w:r>
          </w:p>
        </w:tc>
        <w:tc>
          <w:tcPr>
            <w:tcW w:w="2410" w:type="dxa"/>
            <w:tcBorders>
              <w:top w:val="single" w:sz="2" w:space="0" w:color="auto"/>
              <w:left w:val="single" w:sz="2" w:space="0" w:color="auto"/>
              <w:bottom w:val="single" w:sz="2" w:space="0" w:color="auto"/>
              <w:right w:val="single" w:sz="2" w:space="0" w:color="auto"/>
            </w:tcBorders>
            <w:vAlign w:val="center"/>
          </w:tcPr>
          <w:p w:rsidR="009149D7" w:rsidRPr="009149D7" w:rsidRDefault="009149D7" w:rsidP="009149D7">
            <w:pPr>
              <w:spacing w:line="240" w:lineRule="exact"/>
              <w:jc w:val="right"/>
              <w:rPr>
                <w:rFonts w:ascii="宋体" w:eastAsia="宋体" w:hAnsi="宋体" w:cs="宋体"/>
                <w:sz w:val="18"/>
                <w:szCs w:val="18"/>
              </w:rPr>
            </w:pPr>
            <w:r w:rsidRPr="009149D7">
              <w:rPr>
                <w:rFonts w:ascii="宋体" w:eastAsia="宋体" w:hAnsi="宋体" w:cs="宋体"/>
                <w:sz w:val="18"/>
                <w:szCs w:val="18"/>
              </w:rPr>
              <w:t>1,884,651.48</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9149D7" w:rsidRPr="009149D7" w:rsidRDefault="009149D7" w:rsidP="009149D7"/>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2024年1月1日余额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37,156,415.39</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2024年1月1日余额在本期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249,272.79</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249,272.79</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2024年6月30日余额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1,884,651.48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37,405,688.18</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4"/>
        <w:rPr>
          <w:rFonts w:ascii="宋体" w:eastAsia="宋体" w:hAnsi="宋体" w:cs="宋体"/>
          <w:b/>
          <w:bCs/>
          <w:sz w:val="18"/>
          <w:szCs w:val="18"/>
        </w:rPr>
      </w:pPr>
      <w:bookmarkStart w:id="321" w:name="_Toc989209"/>
      <w:r>
        <w:rPr>
          <w:rFonts w:ascii="宋体" w:eastAsia="宋体" w:hAnsi="宋体" w:cs="宋体"/>
          <w:b/>
          <w:bCs/>
          <w:sz w:val="18"/>
          <w:szCs w:val="18"/>
        </w:rPr>
        <w:t>4） 本期计提、收回或转回的坏账准备情况</w:t>
      </w:r>
      <w:bookmarkEnd w:id="321"/>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37,156,415.39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249,272.79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37,405,688.18</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37,156,415.39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249,272.79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37,405,688.18</w:t>
            </w:r>
          </w:p>
        </w:tc>
      </w:tr>
    </w:tbl>
    <w:p w:rsidR="00C1183B" w:rsidRDefault="00C1183B">
      <w:pPr>
        <w:divId w:val="443771401"/>
        <w:rPr>
          <w:sz w:val="18"/>
          <w:szCs w:val="18"/>
        </w:rPr>
      </w:pPr>
    </w:p>
    <w:p w:rsidR="00334CB7" w:rsidRDefault="002D376B" w:rsidP="00056170">
      <w:pPr>
        <w:keepNext/>
        <w:keepLines/>
        <w:adjustRightInd w:val="0"/>
        <w:snapToGrid w:val="0"/>
        <w:spacing w:line="480" w:lineRule="auto"/>
        <w:outlineLvl w:val="4"/>
        <w:rPr>
          <w:rFonts w:ascii="宋体" w:eastAsia="宋体" w:hAnsi="宋体" w:cs="宋体"/>
          <w:b/>
          <w:bCs/>
          <w:sz w:val="18"/>
          <w:szCs w:val="18"/>
        </w:rPr>
      </w:pPr>
      <w:bookmarkStart w:id="322" w:name="_Toc989210"/>
      <w:r>
        <w:rPr>
          <w:rFonts w:ascii="宋体" w:eastAsia="宋体" w:hAnsi="宋体" w:cs="宋体"/>
          <w:b/>
          <w:bCs/>
          <w:sz w:val="18"/>
          <w:szCs w:val="18"/>
        </w:rPr>
        <w:t>5） 本期实际核销的其他应收款情况</w:t>
      </w:r>
      <w:bookmarkEnd w:id="322"/>
    </w:p>
    <w:p w:rsidR="00C1183B" w:rsidRDefault="002D376B" w:rsidP="00056170">
      <w:pPr>
        <w:pStyle w:val="a3"/>
        <w:adjustRightInd w:val="0"/>
        <w:snapToGrid w:val="0"/>
        <w:spacing w:before="0" w:beforeAutospacing="0" w:after="0" w:afterAutospacing="0"/>
        <w:ind w:firstLine="360"/>
        <w:jc w:val="both"/>
        <w:divId w:val="701903044"/>
        <w:rPr>
          <w:rFonts w:cs="Times New Roman"/>
          <w:sz w:val="18"/>
          <w:szCs w:val="18"/>
        </w:rPr>
      </w:pPr>
      <w:r>
        <w:rPr>
          <w:rFonts w:cs="Times New Roman" w:hint="eastAsia"/>
          <w:sz w:val="18"/>
          <w:szCs w:val="18"/>
        </w:rPr>
        <w:t>本报告期无实际核销的其他应收款。</w:t>
      </w:r>
    </w:p>
    <w:p w:rsidR="00854F63" w:rsidRDefault="00854F63" w:rsidP="00056170">
      <w:pPr>
        <w:pStyle w:val="a3"/>
        <w:adjustRightInd w:val="0"/>
        <w:snapToGrid w:val="0"/>
        <w:spacing w:before="0" w:beforeAutospacing="0" w:after="0" w:afterAutospacing="0"/>
        <w:ind w:firstLine="360"/>
        <w:jc w:val="both"/>
        <w:divId w:val="701903044"/>
        <w:rPr>
          <w:rFonts w:ascii="Times New Roman" w:hAnsi="Times New Roman" w:cs="Times New Roman"/>
          <w:sz w:val="21"/>
          <w:szCs w:val="21"/>
        </w:rPr>
      </w:pPr>
    </w:p>
    <w:p w:rsidR="00334CB7" w:rsidRDefault="002D376B">
      <w:pPr>
        <w:keepNext/>
        <w:keepLines/>
        <w:spacing w:before="300" w:after="300" w:line="280" w:lineRule="exact"/>
        <w:outlineLvl w:val="4"/>
        <w:rPr>
          <w:rFonts w:ascii="宋体" w:eastAsia="宋体" w:hAnsi="宋体" w:cs="宋体"/>
          <w:b/>
          <w:bCs/>
          <w:sz w:val="18"/>
          <w:szCs w:val="18"/>
        </w:rPr>
      </w:pPr>
      <w:bookmarkStart w:id="323" w:name="_Toc989211"/>
      <w:r>
        <w:rPr>
          <w:rFonts w:ascii="宋体" w:eastAsia="宋体" w:hAnsi="宋体" w:cs="宋体"/>
          <w:b/>
          <w:bCs/>
          <w:sz w:val="18"/>
          <w:szCs w:val="18"/>
        </w:rPr>
        <w:t>6） 按欠款方归集的期末余额前五名的其他应收款情况</w:t>
      </w:r>
      <w:bookmarkEnd w:id="323"/>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83.02%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3,500,000.00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8.18%</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175,000.00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1,500,000.00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3.51%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75,000.00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2.32%</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3-4年</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1.40%</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33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42,114,781.41</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98.43%</w:t>
            </w:r>
          </w:p>
        </w:tc>
        <w:tc>
          <w:tcPr>
            <w:tcW w:w="1606"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37,064,781.41</w:t>
            </w:r>
          </w:p>
        </w:tc>
      </w:tr>
    </w:tbl>
    <w:p w:rsidR="00334CB7" w:rsidRDefault="002D376B">
      <w:pPr>
        <w:pStyle w:val="3"/>
        <w:spacing w:line="280" w:lineRule="exact"/>
        <w:jc w:val="left"/>
        <w:rPr>
          <w:rFonts w:ascii="宋体" w:hAnsi="宋体" w:cs="宋体"/>
          <w:b/>
          <w:bCs/>
        </w:rPr>
      </w:pPr>
      <w:bookmarkStart w:id="324" w:name="_Toc989212"/>
      <w:r>
        <w:rPr>
          <w:rFonts w:ascii="宋体" w:hAnsi="宋体" w:cs="宋体"/>
          <w:b/>
          <w:bCs/>
        </w:rPr>
        <w:t>3、长期股权投资</w:t>
      </w:r>
      <w:bookmarkEnd w:id="324"/>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334CB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4CB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2,137,953,822.91</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2,687,469,680.53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2,537,096,814.44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2,727,627,417.23</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2,577,254,551.14</w:t>
            </w:r>
          </w:p>
        </w:tc>
      </w:tr>
      <w:tr w:rsidR="00334CB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4,825,423,503.44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4,675,050,637.35</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4,865,581,240.14</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4,715,208,374.05</w:t>
            </w:r>
          </w:p>
        </w:tc>
      </w:tr>
    </w:tbl>
    <w:p w:rsidR="00334CB7" w:rsidRDefault="002D376B">
      <w:pPr>
        <w:keepNext/>
        <w:keepLines/>
        <w:spacing w:before="300" w:after="300" w:line="280" w:lineRule="exact"/>
        <w:outlineLvl w:val="3"/>
        <w:rPr>
          <w:rFonts w:ascii="宋体" w:eastAsia="宋体" w:hAnsi="宋体" w:cs="宋体"/>
          <w:b/>
          <w:bCs/>
          <w:szCs w:val="21"/>
        </w:rPr>
      </w:pPr>
      <w:bookmarkStart w:id="325" w:name="_Toc989213"/>
      <w:r>
        <w:rPr>
          <w:rFonts w:ascii="宋体" w:eastAsia="宋体" w:hAnsi="宋体" w:cs="宋体"/>
          <w:b/>
          <w:bCs/>
          <w:szCs w:val="21"/>
        </w:rPr>
        <w:t>（1） 对子公司投资</w:t>
      </w:r>
      <w:bookmarkEnd w:id="325"/>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334CB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334CB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r>
              <w:rPr>
                <w:rFonts w:ascii="宋体" w:eastAsia="宋体" w:hAnsi="宋体" w:cs="宋体"/>
                <w:sz w:val="18"/>
                <w:szCs w:val="18"/>
              </w:rPr>
              <w:t>企业管理</w:t>
            </w:r>
            <w:r>
              <w:rPr>
                <w:rFonts w:ascii="宋体" w:eastAsia="宋体" w:hAnsi="宋体" w:cs="宋体"/>
                <w:sz w:val="18"/>
                <w:szCs w:val="18"/>
              </w:rPr>
              <w:lastRenderedPageBreak/>
              <w:t>咨询合伙企业（有限合伙）</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lastRenderedPageBreak/>
              <w:t>962,500,000.00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lastRenderedPageBreak/>
              <w:t>江阴市华西新材料科技有限公司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bl>
    <w:p w:rsidR="00334CB7" w:rsidRDefault="002D376B">
      <w:pPr>
        <w:keepNext/>
        <w:keepLines/>
        <w:spacing w:before="300" w:after="300" w:line="280" w:lineRule="exact"/>
        <w:outlineLvl w:val="3"/>
        <w:rPr>
          <w:rFonts w:ascii="宋体" w:eastAsia="宋体" w:hAnsi="宋体" w:cs="宋体"/>
          <w:b/>
          <w:bCs/>
          <w:szCs w:val="21"/>
        </w:rPr>
      </w:pPr>
      <w:bookmarkStart w:id="326" w:name="_Toc989214"/>
      <w:r>
        <w:rPr>
          <w:rFonts w:ascii="宋体" w:eastAsia="宋体" w:hAnsi="宋体" w:cs="宋体"/>
          <w:b/>
          <w:bCs/>
          <w:szCs w:val="21"/>
        </w:rPr>
        <w:t>（2） 对联营、合营企业投资</w:t>
      </w:r>
      <w:bookmarkEnd w:id="326"/>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334CB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334CB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vMerge/>
            <w:tcBorders>
              <w:top w:val="single" w:sz="2" w:space="0" w:color="auto"/>
              <w:left w:val="single" w:sz="2" w:space="0" w:color="auto"/>
              <w:bottom w:val="single" w:sz="2" w:space="0" w:color="auto"/>
              <w:right w:val="single" w:sz="2" w:space="0" w:color="auto"/>
            </w:tcBorders>
            <w:vAlign w:val="center"/>
          </w:tcPr>
          <w:p w:rsidR="00334CB7" w:rsidRDefault="00334CB7"/>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334CB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117,066,392.94</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20,465,867.36</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1,307,047,363.60</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117,066,392.94</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1,229,286,818.47</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33,306,473.15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1,083,855.89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1,230,049,450.84</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2,577,254,551.14</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21,549,723.25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2,537,096,814.44</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r w:rsidR="00334CB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2,577,254,551.14</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21,549,723.25</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-321,223.52</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2,537,096,814.44</w:t>
            </w:r>
          </w:p>
        </w:tc>
        <w:tc>
          <w:tcPr>
            <w:tcW w:w="74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pStyle w:val="3"/>
        <w:spacing w:line="280" w:lineRule="exact"/>
        <w:jc w:val="left"/>
        <w:rPr>
          <w:rFonts w:ascii="宋体" w:hAnsi="宋体" w:cs="宋体"/>
          <w:b/>
          <w:bCs/>
        </w:rPr>
      </w:pPr>
      <w:bookmarkStart w:id="327" w:name="_Toc989215"/>
      <w:r>
        <w:rPr>
          <w:rFonts w:ascii="宋体" w:hAnsi="宋体" w:cs="宋体"/>
          <w:b/>
          <w:bCs/>
        </w:rPr>
        <w:t>4、营业收入和营业成本</w:t>
      </w:r>
      <w:bookmarkEnd w:id="327"/>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334CB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1,412,961,879.95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1,226,822,109.60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1,224,303,338.98</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41,860,328.85</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4,278,885.00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2,335,374.97</w:t>
            </w:r>
          </w:p>
        </w:tc>
      </w:tr>
      <w:tr w:rsidR="00334CB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1,454,822,208.80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1,231,100,994.60</w:t>
            </w:r>
          </w:p>
        </w:tc>
        <w:tc>
          <w:tcPr>
            <w:tcW w:w="1928"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1,226,638,713.95</w:t>
            </w:r>
          </w:p>
        </w:tc>
      </w:tr>
    </w:tbl>
    <w:p w:rsidR="00334CB7" w:rsidRDefault="002D376B">
      <w:pPr>
        <w:spacing w:before="100" w:after="4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334CB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4CB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1,454,822,208.80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1,454,822,208.80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1,412,961,879.95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1,417,310,204.22</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1,412,961,879.95</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材料销售收入及其他</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41,860,328.85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43,470,490.48</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41,860,328.85</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1,454,822,208.80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1,454,822,208.80</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1,194,823,915.85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1,199,285,318.13</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1,194,823,915.85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1,199,285,318.13</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265,956,778.85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255,536,890.67</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265,956,778.85</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255,536,890.67</w:t>
            </w: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r>
      <w:tr w:rsidR="00334CB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1,454,822,208.80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1,460,780,694.70</w:t>
            </w:r>
          </w:p>
        </w:tc>
        <w:tc>
          <w:tcPr>
            <w:tcW w:w="1071"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1,454,822,208.80</w:t>
            </w:r>
          </w:p>
        </w:tc>
      </w:tr>
    </w:tbl>
    <w:p w:rsidR="00F35B6A" w:rsidRDefault="00F35B6A" w:rsidP="00056170">
      <w:pPr>
        <w:spacing w:before="100" w:after="100" w:line="240" w:lineRule="exact"/>
        <w:ind w:firstLineChars="200" w:firstLine="360"/>
        <w:rPr>
          <w:rFonts w:ascii="宋体" w:eastAsia="宋体" w:hAnsi="宋体" w:cs="宋体"/>
          <w:sz w:val="18"/>
          <w:szCs w:val="18"/>
        </w:rPr>
      </w:pPr>
    </w:p>
    <w:p w:rsidR="00334CB7" w:rsidRDefault="002D376B" w:rsidP="00056170">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与履约义务相关的信息：</w:t>
      </w:r>
    </w:p>
    <w:p w:rsidR="00C1183B" w:rsidRDefault="002D376B">
      <w:pPr>
        <w:pStyle w:val="a3"/>
        <w:spacing w:before="0" w:beforeAutospacing="0" w:after="0" w:afterAutospacing="0" w:line="276" w:lineRule="auto"/>
        <w:ind w:firstLine="360"/>
        <w:jc w:val="both"/>
        <w:divId w:val="1879128080"/>
        <w:rPr>
          <w:sz w:val="18"/>
          <w:szCs w:val="18"/>
        </w:rPr>
      </w:pPr>
      <w:r>
        <w:rPr>
          <w:rFonts w:hint="eastAsia"/>
          <w:sz w:val="18"/>
          <w:szCs w:val="18"/>
        </w:rPr>
        <w:t>本公司收入主要来源于销售商品和码头仓储服务。销售商品属于在某一时</w:t>
      </w:r>
      <w:proofErr w:type="gramStart"/>
      <w:r>
        <w:rPr>
          <w:rFonts w:hint="eastAsia"/>
          <w:sz w:val="18"/>
          <w:szCs w:val="18"/>
        </w:rPr>
        <w:t>点履行</w:t>
      </w:r>
      <w:proofErr w:type="gramEnd"/>
      <w:r>
        <w:rPr>
          <w:rFonts w:hint="eastAsia"/>
          <w:sz w:val="18"/>
          <w:szCs w:val="18"/>
        </w:rPr>
        <w:t>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w:t>
      </w:r>
      <w:r>
        <w:rPr>
          <w:rFonts w:hint="eastAsia"/>
          <w:sz w:val="18"/>
          <w:szCs w:val="18"/>
        </w:rPr>
        <w:lastRenderedPageBreak/>
        <w:t>或取得了收款权利的凭证等；②对于国外销售的产品，以产品发运、办理出口清关手续并取得报关单及货运提单时确认销售收入。</w:t>
      </w:r>
    </w:p>
    <w:p w:rsidR="00334CB7" w:rsidRDefault="002D376B" w:rsidP="00056170">
      <w:pPr>
        <w:pStyle w:val="a3"/>
        <w:spacing w:before="0" w:beforeAutospacing="0" w:after="0" w:afterAutospacing="0" w:line="276" w:lineRule="auto"/>
        <w:ind w:firstLine="360"/>
        <w:jc w:val="both"/>
        <w:rPr>
          <w:sz w:val="18"/>
          <w:szCs w:val="18"/>
        </w:rPr>
      </w:pPr>
      <w:r>
        <w:rPr>
          <w:sz w:val="18"/>
          <w:szCs w:val="18"/>
        </w:rPr>
        <w:t>与分摊至剩余履约义务的交易价格相关的信息：</w:t>
      </w:r>
    </w:p>
    <w:p w:rsidR="00334CB7" w:rsidRDefault="002D376B" w:rsidP="00056170">
      <w:pPr>
        <w:pStyle w:val="a3"/>
        <w:spacing w:before="0" w:beforeAutospacing="0" w:after="0" w:afterAutospacing="0" w:line="276" w:lineRule="auto"/>
        <w:ind w:firstLine="360"/>
        <w:jc w:val="both"/>
        <w:rPr>
          <w:sz w:val="18"/>
          <w:szCs w:val="18"/>
        </w:rPr>
      </w:pPr>
      <w:r>
        <w:rPr>
          <w:sz w:val="18"/>
          <w:szCs w:val="18"/>
        </w:rPr>
        <w:t>本报告</w:t>
      </w:r>
      <w:proofErr w:type="gramStart"/>
      <w:r>
        <w:rPr>
          <w:sz w:val="18"/>
          <w:szCs w:val="18"/>
        </w:rPr>
        <w:t>期末已</w:t>
      </w:r>
      <w:proofErr w:type="gramEnd"/>
      <w:r>
        <w:rPr>
          <w:sz w:val="18"/>
          <w:szCs w:val="18"/>
        </w:rPr>
        <w:t>签订合同、但尚未履行或尚未履行完毕的履约义务所对应的收入金额为</w:t>
      </w:r>
      <w:r w:rsidR="001731BC">
        <w:rPr>
          <w:sz w:val="18"/>
          <w:szCs w:val="18"/>
        </w:rPr>
        <w:t>149,275,030.1</w:t>
      </w:r>
      <w:r w:rsidR="001731BC">
        <w:rPr>
          <w:rFonts w:hint="eastAsia"/>
          <w:sz w:val="18"/>
          <w:szCs w:val="18"/>
        </w:rPr>
        <w:t>0</w:t>
      </w:r>
      <w:r>
        <w:rPr>
          <w:sz w:val="18"/>
          <w:szCs w:val="18"/>
        </w:rPr>
        <w:t>元，其中，149,275,030.10元预计将于2024年</w:t>
      </w:r>
      <w:r w:rsidR="00056170">
        <w:rPr>
          <w:sz w:val="18"/>
          <w:szCs w:val="18"/>
        </w:rPr>
        <w:t>下半年</w:t>
      </w:r>
      <w:r>
        <w:rPr>
          <w:sz w:val="18"/>
          <w:szCs w:val="18"/>
        </w:rPr>
        <w:t>度确认收入。</w:t>
      </w:r>
    </w:p>
    <w:p w:rsidR="00334CB7" w:rsidRDefault="002D376B">
      <w:pPr>
        <w:pStyle w:val="3"/>
        <w:spacing w:line="280" w:lineRule="exact"/>
        <w:jc w:val="left"/>
        <w:rPr>
          <w:rFonts w:ascii="宋体" w:hAnsi="宋体" w:cs="宋体"/>
          <w:b/>
          <w:bCs/>
        </w:rPr>
      </w:pPr>
      <w:bookmarkStart w:id="328" w:name="_Toc989216"/>
      <w:r>
        <w:rPr>
          <w:rFonts w:ascii="宋体" w:hAnsi="宋体" w:cs="宋体"/>
          <w:b/>
          <w:bCs/>
        </w:rPr>
        <w:t>5、投资收益</w:t>
      </w:r>
      <w:bookmarkEnd w:id="328"/>
    </w:p>
    <w:p w:rsidR="00334CB7" w:rsidRDefault="002D376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21,549,723.25</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9,365,075.87</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6,828,573.60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jc w:val="righ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21,941,269.61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13,299,333.34</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50,319,566.46</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22,664,409.21</w:t>
            </w:r>
          </w:p>
        </w:tc>
      </w:tr>
    </w:tbl>
    <w:p w:rsidR="00334CB7" w:rsidRDefault="002D376B">
      <w:pPr>
        <w:pStyle w:val="2"/>
        <w:spacing w:before="300" w:after="300" w:line="320" w:lineRule="exact"/>
        <w:rPr>
          <w:rFonts w:ascii="宋体" w:eastAsia="宋体" w:hAnsi="宋体" w:cs="宋体"/>
          <w:b/>
          <w:bCs/>
          <w:sz w:val="24"/>
          <w:szCs w:val="24"/>
        </w:rPr>
      </w:pPr>
      <w:bookmarkStart w:id="329" w:name="_Toc989217"/>
      <w:r>
        <w:rPr>
          <w:rFonts w:ascii="宋体" w:eastAsia="宋体" w:hAnsi="宋体" w:cs="宋体"/>
          <w:b/>
          <w:bCs/>
          <w:sz w:val="24"/>
          <w:szCs w:val="24"/>
        </w:rPr>
        <w:t>十九、补充资料</w:t>
      </w:r>
      <w:bookmarkEnd w:id="329"/>
    </w:p>
    <w:p w:rsidR="00334CB7" w:rsidRDefault="002D376B">
      <w:pPr>
        <w:pStyle w:val="3"/>
        <w:spacing w:line="280" w:lineRule="exact"/>
        <w:jc w:val="left"/>
        <w:rPr>
          <w:rFonts w:ascii="宋体" w:hAnsi="宋体" w:cs="宋体"/>
          <w:b/>
          <w:bCs/>
        </w:rPr>
      </w:pPr>
      <w:bookmarkStart w:id="330" w:name="_Toc989218"/>
      <w:r>
        <w:rPr>
          <w:rFonts w:ascii="宋体" w:hAnsi="宋体" w:cs="宋体"/>
          <w:b/>
          <w:bCs/>
        </w:rPr>
        <w:t>1、当期非经常性损益明细表</w:t>
      </w:r>
      <w:bookmarkEnd w:id="330"/>
    </w:p>
    <w:p w:rsidR="00334CB7" w:rsidRDefault="002D376B">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334CB7" w:rsidRDefault="002D376B">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160,000.00</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-77,127.08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23,546.81</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334CB7">
            <w:pPr>
              <w:spacing w:line="240" w:lineRule="exact"/>
              <w:rPr>
                <w:rFonts w:ascii="宋体" w:eastAsia="宋体" w:hAnsi="宋体" w:cs="宋体"/>
                <w:sz w:val="18"/>
                <w:szCs w:val="18"/>
              </w:rPr>
            </w:pP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59,326.11</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F35B6A" w:rsidRDefault="00F35B6A">
      <w:pPr>
        <w:spacing w:before="100" w:after="100" w:line="240" w:lineRule="exact"/>
        <w:rPr>
          <w:rFonts w:ascii="宋体" w:eastAsia="宋体" w:hAnsi="宋体" w:cs="宋体"/>
          <w:sz w:val="18"/>
          <w:szCs w:val="18"/>
        </w:rPr>
      </w:pP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34C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334CB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12,238,470.18</w:t>
            </w:r>
          </w:p>
        </w:tc>
        <w:tc>
          <w:tcPr>
            <w:tcW w:w="3213" w:type="dxa"/>
            <w:tcBorders>
              <w:top w:val="single" w:sz="2" w:space="0" w:color="auto"/>
              <w:left w:val="single" w:sz="2" w:space="0" w:color="auto"/>
              <w:bottom w:val="single" w:sz="2" w:space="0" w:color="auto"/>
              <w:right w:val="single" w:sz="2" w:space="0" w:color="auto"/>
            </w:tcBorders>
            <w:vAlign w:val="center"/>
          </w:tcPr>
          <w:p w:rsidR="00334CB7" w:rsidRDefault="002D376B" w:rsidP="00E01A3B">
            <w:pPr>
              <w:spacing w:line="240" w:lineRule="exact"/>
              <w:jc w:val="both"/>
              <w:rPr>
                <w:rFonts w:ascii="宋体" w:eastAsia="宋体" w:hAnsi="宋体" w:cs="宋体"/>
                <w:sz w:val="18"/>
                <w:szCs w:val="18"/>
              </w:rPr>
            </w:pPr>
            <w:r>
              <w:rPr>
                <w:rFonts w:ascii="宋体" w:eastAsia="宋体" w:hAnsi="宋体" w:cs="宋体"/>
                <w:sz w:val="18"/>
                <w:szCs w:val="18"/>
              </w:rPr>
              <w:t>公司经营范围包括：创业投资；利用自有资产对</w:t>
            </w:r>
            <w:r w:rsidR="00AD7F8F">
              <w:rPr>
                <w:rFonts w:ascii="宋体" w:eastAsia="宋体" w:hAnsi="宋体" w:cs="宋体"/>
                <w:sz w:val="18"/>
                <w:szCs w:val="18"/>
              </w:rPr>
              <w:t>外投资等。本期交易性金融资产、其他非流动金融资产</w:t>
            </w:r>
            <w:r w:rsidR="00624149">
              <w:rPr>
                <w:rFonts w:ascii="宋体" w:eastAsia="宋体" w:hAnsi="宋体" w:cs="宋体"/>
                <w:sz w:val="18"/>
                <w:szCs w:val="18"/>
              </w:rPr>
              <w:t>产生</w:t>
            </w:r>
            <w:r w:rsidR="00AD7F8F">
              <w:rPr>
                <w:rFonts w:ascii="宋体" w:eastAsia="宋体" w:hAnsi="宋体" w:cs="宋体"/>
                <w:sz w:val="18"/>
                <w:szCs w:val="18"/>
              </w:rPr>
              <w:t>的公允价值变动</w:t>
            </w:r>
            <w:r w:rsidR="004D42EC">
              <w:rPr>
                <w:rFonts w:ascii="宋体" w:eastAsia="宋体" w:hAnsi="宋体" w:cs="宋体"/>
                <w:sz w:val="18"/>
                <w:szCs w:val="18"/>
              </w:rPr>
              <w:t>损益</w:t>
            </w:r>
            <w:r w:rsidR="00AD7F8F">
              <w:rPr>
                <w:rFonts w:ascii="宋体" w:eastAsia="宋体" w:hAnsi="宋体" w:cs="宋体"/>
                <w:sz w:val="18"/>
                <w:szCs w:val="18"/>
              </w:rPr>
              <w:t>和</w:t>
            </w:r>
            <w:r>
              <w:rPr>
                <w:rFonts w:ascii="宋体" w:eastAsia="宋体" w:hAnsi="宋体" w:cs="宋体"/>
                <w:sz w:val="18"/>
                <w:szCs w:val="18"/>
              </w:rPr>
              <w:t>处置交易性金融资产、其他非流动金融资产产生的投资收益系公司的经常性损益。</w:t>
            </w:r>
          </w:p>
        </w:tc>
      </w:tr>
    </w:tbl>
    <w:p w:rsidR="00334CB7" w:rsidRDefault="002D376B">
      <w:pPr>
        <w:pStyle w:val="3"/>
        <w:spacing w:line="280" w:lineRule="exact"/>
        <w:jc w:val="left"/>
        <w:rPr>
          <w:rFonts w:ascii="宋体" w:hAnsi="宋体" w:cs="宋体"/>
          <w:b/>
          <w:bCs/>
        </w:rPr>
      </w:pPr>
      <w:bookmarkStart w:id="331" w:name="_Toc989219"/>
      <w:r>
        <w:rPr>
          <w:rFonts w:ascii="宋体" w:hAnsi="宋体" w:cs="宋体"/>
          <w:b/>
          <w:bCs/>
        </w:rPr>
        <w:lastRenderedPageBreak/>
        <w:t>2、净资产收益率及每股收益</w:t>
      </w:r>
      <w:bookmarkEnd w:id="33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334CB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334CB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334CB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r>
      <w:tr w:rsidR="00334CB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334CB7" w:rsidRDefault="002D376B">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1.54%</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2410" w:type="dxa"/>
            <w:tcBorders>
              <w:top w:val="single" w:sz="2" w:space="0" w:color="auto"/>
              <w:left w:val="single" w:sz="2" w:space="0" w:color="auto"/>
              <w:bottom w:val="single" w:sz="2" w:space="0" w:color="auto"/>
              <w:right w:val="single" w:sz="2" w:space="0" w:color="auto"/>
            </w:tcBorders>
            <w:vAlign w:val="center"/>
          </w:tcPr>
          <w:p w:rsidR="00334CB7" w:rsidRDefault="002D376B">
            <w:pPr>
              <w:spacing w:line="240" w:lineRule="exact"/>
              <w:jc w:val="right"/>
              <w:rPr>
                <w:rFonts w:ascii="宋体" w:eastAsia="宋体" w:hAnsi="宋体" w:cs="宋体"/>
                <w:sz w:val="18"/>
                <w:szCs w:val="18"/>
              </w:rPr>
            </w:pPr>
            <w:r>
              <w:rPr>
                <w:rFonts w:ascii="宋体" w:eastAsia="宋体" w:hAnsi="宋体" w:cs="宋体"/>
                <w:sz w:val="18"/>
                <w:szCs w:val="18"/>
              </w:rPr>
              <w:t>0.09</w:t>
            </w:r>
          </w:p>
        </w:tc>
      </w:tr>
    </w:tbl>
    <w:p w:rsidR="00334CB7" w:rsidRDefault="002D376B">
      <w:pPr>
        <w:pStyle w:val="3"/>
        <w:spacing w:line="280" w:lineRule="exact"/>
        <w:jc w:val="left"/>
        <w:rPr>
          <w:rFonts w:ascii="宋体" w:hAnsi="宋体" w:cs="宋体"/>
          <w:b/>
          <w:bCs/>
        </w:rPr>
      </w:pPr>
      <w:bookmarkStart w:id="332" w:name="_Toc989220"/>
      <w:r>
        <w:rPr>
          <w:rFonts w:ascii="宋体" w:hAnsi="宋体" w:cs="宋体"/>
          <w:b/>
          <w:bCs/>
        </w:rPr>
        <w:t>3、境内外会计准则下会计数据差异</w:t>
      </w:r>
      <w:bookmarkEnd w:id="332"/>
    </w:p>
    <w:p w:rsidR="00334CB7" w:rsidRDefault="002D376B">
      <w:pPr>
        <w:keepNext/>
        <w:keepLines/>
        <w:spacing w:before="300" w:after="300" w:line="280" w:lineRule="exact"/>
        <w:outlineLvl w:val="3"/>
        <w:rPr>
          <w:rFonts w:ascii="宋体" w:eastAsia="宋体" w:hAnsi="宋体" w:cs="宋体"/>
          <w:b/>
          <w:bCs/>
          <w:szCs w:val="21"/>
        </w:rPr>
      </w:pPr>
      <w:bookmarkStart w:id="333" w:name="_Toc989221"/>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33"/>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3"/>
        <w:rPr>
          <w:rFonts w:ascii="宋体" w:eastAsia="宋体" w:hAnsi="宋体" w:cs="宋体"/>
          <w:b/>
          <w:bCs/>
          <w:szCs w:val="21"/>
        </w:rPr>
      </w:pPr>
      <w:bookmarkStart w:id="334" w:name="_Toc989222"/>
      <w:r>
        <w:rPr>
          <w:rFonts w:ascii="宋体" w:eastAsia="宋体" w:hAnsi="宋体" w:cs="宋体"/>
          <w:b/>
          <w:bCs/>
          <w:szCs w:val="21"/>
        </w:rPr>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34"/>
    </w:p>
    <w:p w:rsidR="00334CB7" w:rsidRDefault="002D376B">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34CB7" w:rsidRDefault="002D376B">
      <w:pPr>
        <w:keepNext/>
        <w:keepLines/>
        <w:spacing w:before="300" w:after="300" w:line="280" w:lineRule="exact"/>
        <w:outlineLvl w:val="3"/>
        <w:rPr>
          <w:rFonts w:ascii="宋体" w:eastAsia="宋体" w:hAnsi="宋体" w:cs="宋体"/>
          <w:b/>
          <w:bCs/>
          <w:szCs w:val="21"/>
        </w:rPr>
      </w:pPr>
      <w:bookmarkStart w:id="335" w:name="_Toc989223"/>
      <w:r>
        <w:rPr>
          <w:rFonts w:ascii="宋体" w:eastAsia="宋体" w:hAnsi="宋体" w:cs="宋体"/>
          <w:b/>
          <w:bCs/>
          <w:szCs w:val="21"/>
        </w:rPr>
        <w:t>（3） 境内外会计准则下会计数据差异原因说明，对已经境外审计机构审计的数据进行差异调节的，应注明该境外机构的名称</w:t>
      </w:r>
      <w:bookmarkEnd w:id="335"/>
    </w:p>
    <w:p w:rsidR="0060382D" w:rsidRDefault="0060382D" w:rsidP="0060382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0382D" w:rsidRDefault="0060382D">
      <w:pPr>
        <w:keepNext/>
        <w:keepLines/>
        <w:spacing w:before="300" w:after="300" w:line="280" w:lineRule="exact"/>
        <w:outlineLvl w:val="3"/>
        <w:rPr>
          <w:rFonts w:ascii="宋体" w:eastAsia="宋体" w:hAnsi="宋体" w:cs="宋体"/>
          <w:b/>
          <w:bCs/>
          <w:szCs w:val="21"/>
        </w:rPr>
      </w:pPr>
    </w:p>
    <w:p w:rsidR="0060382D" w:rsidRDefault="0060382D">
      <w:pPr>
        <w:keepNext/>
        <w:keepLines/>
        <w:spacing w:before="300" w:after="300" w:line="280" w:lineRule="exact"/>
        <w:outlineLvl w:val="3"/>
        <w:rPr>
          <w:rFonts w:ascii="宋体" w:eastAsia="宋体" w:hAnsi="宋体" w:cs="宋体"/>
          <w:b/>
          <w:bCs/>
          <w:szCs w:val="21"/>
        </w:rPr>
      </w:pPr>
    </w:p>
    <w:p w:rsidR="0060382D" w:rsidRDefault="0060382D" w:rsidP="00DA4940">
      <w:pPr>
        <w:keepNext/>
        <w:keepLines/>
        <w:spacing w:before="300" w:after="300" w:line="276" w:lineRule="auto"/>
        <w:outlineLvl w:val="3"/>
        <w:rPr>
          <w:rFonts w:ascii="宋体" w:eastAsia="宋体" w:hAnsi="宋体" w:cs="宋体"/>
          <w:b/>
          <w:bCs/>
          <w:szCs w:val="21"/>
        </w:rPr>
      </w:pPr>
    </w:p>
    <w:p w:rsidR="0060382D" w:rsidRPr="0060382D" w:rsidRDefault="0060382D" w:rsidP="00DA4940">
      <w:pPr>
        <w:spacing w:line="276" w:lineRule="auto"/>
        <w:rPr>
          <w:rFonts w:asciiTheme="minorEastAsia" w:hAnsiTheme="minorEastAsia"/>
          <w:b/>
          <w:szCs w:val="21"/>
        </w:rPr>
      </w:pPr>
      <w:r w:rsidRPr="0060382D">
        <w:rPr>
          <w:rFonts w:hint="eastAsia"/>
          <w:sz w:val="18"/>
          <w:szCs w:val="18"/>
        </w:rPr>
        <w:t xml:space="preserve">              </w:t>
      </w:r>
      <w:r w:rsidRPr="0060382D">
        <w:rPr>
          <w:rFonts w:asciiTheme="minorEastAsia" w:hAnsiTheme="minorEastAsia" w:hint="eastAsia"/>
          <w:b/>
          <w:szCs w:val="21"/>
        </w:rPr>
        <w:t xml:space="preserve"> </w:t>
      </w:r>
      <w:r>
        <w:rPr>
          <w:rFonts w:asciiTheme="minorEastAsia" w:hAnsiTheme="minorEastAsia" w:hint="eastAsia"/>
          <w:b/>
          <w:szCs w:val="21"/>
        </w:rPr>
        <w:t xml:space="preserve">                                       </w:t>
      </w:r>
      <w:r w:rsidR="00495CB1">
        <w:rPr>
          <w:rFonts w:asciiTheme="minorEastAsia" w:hAnsiTheme="minorEastAsia" w:hint="eastAsia"/>
          <w:b/>
          <w:szCs w:val="21"/>
        </w:rPr>
        <w:t xml:space="preserve"> </w:t>
      </w:r>
      <w:r w:rsidR="00F35B6A">
        <w:rPr>
          <w:rFonts w:asciiTheme="minorEastAsia" w:hAnsiTheme="minorEastAsia" w:hint="eastAsia"/>
          <w:b/>
          <w:szCs w:val="21"/>
        </w:rPr>
        <w:t xml:space="preserve">  </w:t>
      </w:r>
      <w:r w:rsidRPr="0060382D">
        <w:rPr>
          <w:rFonts w:asciiTheme="minorEastAsia" w:hAnsiTheme="minorEastAsia" w:hint="eastAsia"/>
          <w:b/>
          <w:szCs w:val="21"/>
        </w:rPr>
        <w:t xml:space="preserve"> 江苏华西村股份有限公司董事会</w:t>
      </w:r>
    </w:p>
    <w:p w:rsidR="0060382D" w:rsidRPr="0060382D" w:rsidRDefault="0060382D" w:rsidP="00F35B6A">
      <w:pPr>
        <w:spacing w:line="276" w:lineRule="auto"/>
        <w:ind w:left="5977" w:hangingChars="2835" w:hanging="5977"/>
        <w:rPr>
          <w:rFonts w:asciiTheme="minorEastAsia" w:hAnsiTheme="minorEastAsia"/>
          <w:b/>
          <w:szCs w:val="21"/>
        </w:rPr>
      </w:pPr>
      <w:r w:rsidRPr="0060382D">
        <w:rPr>
          <w:rFonts w:asciiTheme="minorEastAsia" w:hAnsiTheme="minorEastAsia" w:hint="eastAsia"/>
          <w:b/>
          <w:szCs w:val="21"/>
        </w:rPr>
        <w:t xml:space="preserve">                                                                                                                          董事长：吴协恩</w:t>
      </w:r>
    </w:p>
    <w:p w:rsidR="0060382D" w:rsidRPr="0060382D" w:rsidRDefault="0060382D" w:rsidP="00F35B6A">
      <w:pPr>
        <w:spacing w:line="276" w:lineRule="auto"/>
        <w:ind w:leftChars="-133" w:left="5940" w:hangingChars="2950" w:hanging="6219"/>
        <w:rPr>
          <w:rFonts w:asciiTheme="minorEastAsia" w:hAnsiTheme="minorEastAsia"/>
          <w:b/>
          <w:szCs w:val="21"/>
        </w:rPr>
      </w:pPr>
      <w:r w:rsidRPr="0060382D">
        <w:rPr>
          <w:rFonts w:asciiTheme="minorEastAsia" w:hAnsiTheme="minorEastAsia" w:hint="eastAsia"/>
          <w:b/>
          <w:szCs w:val="21"/>
        </w:rPr>
        <w:t xml:space="preserve">                                                                                              </w:t>
      </w:r>
      <w:r>
        <w:rPr>
          <w:rFonts w:asciiTheme="minorEastAsia" w:hAnsiTheme="minorEastAsia" w:hint="eastAsia"/>
          <w:b/>
          <w:szCs w:val="21"/>
        </w:rPr>
        <w:t xml:space="preserve">                            2024</w:t>
      </w:r>
      <w:r w:rsidRPr="0060382D">
        <w:rPr>
          <w:rFonts w:asciiTheme="minorEastAsia" w:hAnsiTheme="minorEastAsia" w:hint="eastAsia"/>
          <w:b/>
          <w:szCs w:val="21"/>
        </w:rPr>
        <w:t>年8月</w:t>
      </w:r>
      <w:r>
        <w:rPr>
          <w:rFonts w:asciiTheme="minorEastAsia" w:hAnsiTheme="minorEastAsia" w:hint="eastAsia"/>
          <w:b/>
          <w:szCs w:val="21"/>
        </w:rPr>
        <w:t>29</w:t>
      </w:r>
      <w:r w:rsidRPr="0060382D">
        <w:rPr>
          <w:rFonts w:asciiTheme="minorEastAsia" w:hAnsiTheme="minorEastAsia" w:hint="eastAsia"/>
          <w:b/>
          <w:szCs w:val="21"/>
        </w:rPr>
        <w:t>日</w:t>
      </w:r>
    </w:p>
    <w:sectPr w:rsidR="0060382D" w:rsidRPr="0060382D">
      <w:headerReference w:type="default" r:id="rId8"/>
      <w:footerReference w:type="default" r:id="rId9"/>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4D5" w:rsidRDefault="000744D5">
      <w:r>
        <w:separator/>
      </w:r>
    </w:p>
  </w:endnote>
  <w:endnote w:type="continuationSeparator" w:id="0">
    <w:p w:rsidR="000744D5" w:rsidRDefault="0007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41" w:rsidRDefault="00993A41" w:rsidP="0060382D">
    <w:pPr>
      <w:pStyle w:val="fotter1"/>
      <w:jc w:val="center"/>
    </w:pPr>
    <w:r>
      <w:fldChar w:fldCharType="begin"/>
    </w:r>
    <w:r>
      <w:instrText>PAGE   \* MERGEFORMAT</w:instrText>
    </w:r>
    <w:r>
      <w:fldChar w:fldCharType="separate"/>
    </w:r>
    <w:r w:rsidR="00C320D0">
      <w:rPr>
        <w:noProof/>
      </w:rPr>
      <w:t>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4D5" w:rsidRDefault="000744D5">
      <w:r>
        <w:separator/>
      </w:r>
    </w:p>
  </w:footnote>
  <w:footnote w:type="continuationSeparator" w:id="0">
    <w:p w:rsidR="000744D5" w:rsidRDefault="00074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41" w:rsidRDefault="00993A41">
    <w:pPr>
      <w:pStyle w:val="Header1"/>
      <w:pBdr>
        <w:bottom w:val="single" w:sz="6" w:space="1" w:color="auto"/>
      </w:pBdr>
    </w:pPr>
    <w:r>
      <w:t>江苏华西村股份有限公司2024年半年度报告全文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34CB7"/>
    <w:rsid w:val="00014C02"/>
    <w:rsid w:val="00042564"/>
    <w:rsid w:val="00056170"/>
    <w:rsid w:val="00056E2D"/>
    <w:rsid w:val="000744D5"/>
    <w:rsid w:val="000F1D4D"/>
    <w:rsid w:val="00100904"/>
    <w:rsid w:val="0010452D"/>
    <w:rsid w:val="001731BC"/>
    <w:rsid w:val="00193ABC"/>
    <w:rsid w:val="001A680F"/>
    <w:rsid w:val="00255F59"/>
    <w:rsid w:val="00261426"/>
    <w:rsid w:val="0027203B"/>
    <w:rsid w:val="00280258"/>
    <w:rsid w:val="00290251"/>
    <w:rsid w:val="002A0959"/>
    <w:rsid w:val="002B3F2A"/>
    <w:rsid w:val="002C526F"/>
    <w:rsid w:val="002D376B"/>
    <w:rsid w:val="00334CB7"/>
    <w:rsid w:val="00347778"/>
    <w:rsid w:val="00351CD2"/>
    <w:rsid w:val="00385804"/>
    <w:rsid w:val="003B3A44"/>
    <w:rsid w:val="003D246E"/>
    <w:rsid w:val="003D2E66"/>
    <w:rsid w:val="00400F4C"/>
    <w:rsid w:val="00412B7A"/>
    <w:rsid w:val="00415D21"/>
    <w:rsid w:val="00423DC4"/>
    <w:rsid w:val="00435E66"/>
    <w:rsid w:val="00457F3F"/>
    <w:rsid w:val="00463E7E"/>
    <w:rsid w:val="0048334D"/>
    <w:rsid w:val="004913BE"/>
    <w:rsid w:val="00495CB1"/>
    <w:rsid w:val="004B0C04"/>
    <w:rsid w:val="004B36C1"/>
    <w:rsid w:val="004C243D"/>
    <w:rsid w:val="004C790F"/>
    <w:rsid w:val="004D42EC"/>
    <w:rsid w:val="005401E7"/>
    <w:rsid w:val="0059110C"/>
    <w:rsid w:val="005C5846"/>
    <w:rsid w:val="005D7A2B"/>
    <w:rsid w:val="005E0024"/>
    <w:rsid w:val="005E2C14"/>
    <w:rsid w:val="0060382D"/>
    <w:rsid w:val="00624149"/>
    <w:rsid w:val="00630967"/>
    <w:rsid w:val="00643089"/>
    <w:rsid w:val="00647797"/>
    <w:rsid w:val="00647844"/>
    <w:rsid w:val="00655CCF"/>
    <w:rsid w:val="0066396A"/>
    <w:rsid w:val="00680194"/>
    <w:rsid w:val="00687521"/>
    <w:rsid w:val="006A27B7"/>
    <w:rsid w:val="006B0058"/>
    <w:rsid w:val="006B6E60"/>
    <w:rsid w:val="006D4119"/>
    <w:rsid w:val="006E3E6C"/>
    <w:rsid w:val="006F25E2"/>
    <w:rsid w:val="006F5C77"/>
    <w:rsid w:val="00711982"/>
    <w:rsid w:val="00715187"/>
    <w:rsid w:val="00717EA8"/>
    <w:rsid w:val="00787E00"/>
    <w:rsid w:val="007B3222"/>
    <w:rsid w:val="007D0B78"/>
    <w:rsid w:val="007E1022"/>
    <w:rsid w:val="00831E9C"/>
    <w:rsid w:val="0083456C"/>
    <w:rsid w:val="00854F63"/>
    <w:rsid w:val="008B2A81"/>
    <w:rsid w:val="008E4928"/>
    <w:rsid w:val="009149D7"/>
    <w:rsid w:val="00922E9A"/>
    <w:rsid w:val="00930AC4"/>
    <w:rsid w:val="00947A61"/>
    <w:rsid w:val="009503F4"/>
    <w:rsid w:val="009510B8"/>
    <w:rsid w:val="00993A41"/>
    <w:rsid w:val="009C3070"/>
    <w:rsid w:val="00A11B3E"/>
    <w:rsid w:val="00A20100"/>
    <w:rsid w:val="00A61A20"/>
    <w:rsid w:val="00A90AC3"/>
    <w:rsid w:val="00AB0CEB"/>
    <w:rsid w:val="00AB7C68"/>
    <w:rsid w:val="00AC0250"/>
    <w:rsid w:val="00AD7F8F"/>
    <w:rsid w:val="00AF68C8"/>
    <w:rsid w:val="00B127A2"/>
    <w:rsid w:val="00B42E3E"/>
    <w:rsid w:val="00B51486"/>
    <w:rsid w:val="00B673DE"/>
    <w:rsid w:val="00BD037E"/>
    <w:rsid w:val="00BD0562"/>
    <w:rsid w:val="00BD5556"/>
    <w:rsid w:val="00BF5B4E"/>
    <w:rsid w:val="00C1183B"/>
    <w:rsid w:val="00C11DEB"/>
    <w:rsid w:val="00C1378F"/>
    <w:rsid w:val="00C320D0"/>
    <w:rsid w:val="00C35F80"/>
    <w:rsid w:val="00C42FFD"/>
    <w:rsid w:val="00C46197"/>
    <w:rsid w:val="00C93828"/>
    <w:rsid w:val="00CA05B2"/>
    <w:rsid w:val="00CB6804"/>
    <w:rsid w:val="00CD1F2A"/>
    <w:rsid w:val="00D02722"/>
    <w:rsid w:val="00D13BF2"/>
    <w:rsid w:val="00D31B8E"/>
    <w:rsid w:val="00D45E24"/>
    <w:rsid w:val="00D52D80"/>
    <w:rsid w:val="00D77DF9"/>
    <w:rsid w:val="00DA4940"/>
    <w:rsid w:val="00DC0AD4"/>
    <w:rsid w:val="00DC1F3A"/>
    <w:rsid w:val="00DC5CF8"/>
    <w:rsid w:val="00DD23BD"/>
    <w:rsid w:val="00DD71E6"/>
    <w:rsid w:val="00DE2765"/>
    <w:rsid w:val="00DE617D"/>
    <w:rsid w:val="00DF6E6E"/>
    <w:rsid w:val="00E01A3B"/>
    <w:rsid w:val="00E274FF"/>
    <w:rsid w:val="00E27B5B"/>
    <w:rsid w:val="00E37FB8"/>
    <w:rsid w:val="00E56509"/>
    <w:rsid w:val="00E61748"/>
    <w:rsid w:val="00E64C2F"/>
    <w:rsid w:val="00E66307"/>
    <w:rsid w:val="00E7189F"/>
    <w:rsid w:val="00E74A5F"/>
    <w:rsid w:val="00E91174"/>
    <w:rsid w:val="00EA356A"/>
    <w:rsid w:val="00EF646F"/>
    <w:rsid w:val="00F02480"/>
    <w:rsid w:val="00F2169E"/>
    <w:rsid w:val="00F35B6A"/>
    <w:rsid w:val="00F873DA"/>
    <w:rsid w:val="00FA36FF"/>
    <w:rsid w:val="00FB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rsid w:val="00FA36FF"/>
    <w:pPr>
      <w:tabs>
        <w:tab w:val="left" w:leader="dot" w:pos="9469"/>
      </w:tabs>
      <w:spacing w:line="480" w:lineRule="auto"/>
    </w:pPr>
    <w:rPr>
      <w:rFonts w:asciiTheme="minorEastAsia" w:hAnsiTheme="minorEastAsia"/>
      <w:b/>
      <w:bCs/>
      <w:noProof/>
      <w:sz w:val="24"/>
    </w:rPr>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60382D"/>
    <w:rPr>
      <w:sz w:val="18"/>
      <w:szCs w:val="18"/>
    </w:rPr>
  </w:style>
  <w:style w:type="character" w:customStyle="1" w:styleId="Char">
    <w:name w:val="批注框文本 Char"/>
    <w:basedOn w:val="a0"/>
    <w:link w:val="a5"/>
    <w:uiPriority w:val="99"/>
    <w:semiHidden/>
    <w:rsid w:val="0060382D"/>
    <w:rPr>
      <w:sz w:val="18"/>
      <w:szCs w:val="18"/>
    </w:rPr>
  </w:style>
  <w:style w:type="paragraph" w:styleId="a6">
    <w:name w:val="header"/>
    <w:basedOn w:val="a"/>
    <w:link w:val="Char0"/>
    <w:uiPriority w:val="99"/>
    <w:unhideWhenUsed/>
    <w:rsid w:val="006038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0382D"/>
    <w:rPr>
      <w:sz w:val="18"/>
      <w:szCs w:val="18"/>
    </w:rPr>
  </w:style>
  <w:style w:type="paragraph" w:styleId="a7">
    <w:name w:val="footer"/>
    <w:basedOn w:val="a"/>
    <w:link w:val="Char1"/>
    <w:uiPriority w:val="99"/>
    <w:unhideWhenUsed/>
    <w:rsid w:val="0060382D"/>
    <w:pPr>
      <w:tabs>
        <w:tab w:val="center" w:pos="4153"/>
        <w:tab w:val="right" w:pos="8306"/>
      </w:tabs>
      <w:snapToGrid w:val="0"/>
    </w:pPr>
    <w:rPr>
      <w:sz w:val="18"/>
      <w:szCs w:val="18"/>
    </w:rPr>
  </w:style>
  <w:style w:type="character" w:customStyle="1" w:styleId="Char1">
    <w:name w:val="页脚 Char"/>
    <w:basedOn w:val="a0"/>
    <w:link w:val="a7"/>
    <w:uiPriority w:val="99"/>
    <w:rsid w:val="0060382D"/>
    <w:rPr>
      <w:sz w:val="18"/>
      <w:szCs w:val="18"/>
    </w:rPr>
  </w:style>
  <w:style w:type="paragraph" w:styleId="a8">
    <w:name w:val="List Paragraph"/>
    <w:basedOn w:val="a"/>
    <w:uiPriority w:val="34"/>
    <w:qFormat/>
    <w:rsid w:val="002B3F2A"/>
    <w:pPr>
      <w:ind w:firstLineChars="200" w:firstLine="420"/>
      <w:jc w:val="both"/>
    </w:pPr>
    <w:rPr>
      <w:rFonts w:ascii="宋体" w:eastAsia="宋体" w:hAnsi="宋体"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rsid w:val="00FA36FF"/>
    <w:pPr>
      <w:tabs>
        <w:tab w:val="left" w:leader="dot" w:pos="9469"/>
      </w:tabs>
      <w:spacing w:line="480" w:lineRule="auto"/>
    </w:pPr>
    <w:rPr>
      <w:rFonts w:asciiTheme="minorEastAsia" w:hAnsiTheme="minorEastAsia"/>
      <w:b/>
      <w:bCs/>
      <w:noProof/>
      <w:sz w:val="24"/>
    </w:rPr>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60382D"/>
    <w:rPr>
      <w:sz w:val="18"/>
      <w:szCs w:val="18"/>
    </w:rPr>
  </w:style>
  <w:style w:type="character" w:customStyle="1" w:styleId="Char">
    <w:name w:val="批注框文本 Char"/>
    <w:basedOn w:val="a0"/>
    <w:link w:val="a5"/>
    <w:uiPriority w:val="99"/>
    <w:semiHidden/>
    <w:rsid w:val="0060382D"/>
    <w:rPr>
      <w:sz w:val="18"/>
      <w:szCs w:val="18"/>
    </w:rPr>
  </w:style>
  <w:style w:type="paragraph" w:styleId="a6">
    <w:name w:val="header"/>
    <w:basedOn w:val="a"/>
    <w:link w:val="Char0"/>
    <w:uiPriority w:val="99"/>
    <w:unhideWhenUsed/>
    <w:rsid w:val="006038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0382D"/>
    <w:rPr>
      <w:sz w:val="18"/>
      <w:szCs w:val="18"/>
    </w:rPr>
  </w:style>
  <w:style w:type="paragraph" w:styleId="a7">
    <w:name w:val="footer"/>
    <w:basedOn w:val="a"/>
    <w:link w:val="Char1"/>
    <w:uiPriority w:val="99"/>
    <w:unhideWhenUsed/>
    <w:rsid w:val="0060382D"/>
    <w:pPr>
      <w:tabs>
        <w:tab w:val="center" w:pos="4153"/>
        <w:tab w:val="right" w:pos="8306"/>
      </w:tabs>
      <w:snapToGrid w:val="0"/>
    </w:pPr>
    <w:rPr>
      <w:sz w:val="18"/>
      <w:szCs w:val="18"/>
    </w:rPr>
  </w:style>
  <w:style w:type="character" w:customStyle="1" w:styleId="Char1">
    <w:name w:val="页脚 Char"/>
    <w:basedOn w:val="a0"/>
    <w:link w:val="a7"/>
    <w:uiPriority w:val="99"/>
    <w:rsid w:val="0060382D"/>
    <w:rPr>
      <w:sz w:val="18"/>
      <w:szCs w:val="18"/>
    </w:rPr>
  </w:style>
  <w:style w:type="paragraph" w:styleId="a8">
    <w:name w:val="List Paragraph"/>
    <w:basedOn w:val="a"/>
    <w:uiPriority w:val="34"/>
    <w:qFormat/>
    <w:rsid w:val="002B3F2A"/>
    <w:pPr>
      <w:ind w:firstLineChars="200" w:firstLine="420"/>
      <w:jc w:val="both"/>
    </w:pPr>
    <w:rPr>
      <w:rFonts w:ascii="宋体" w:eastAsia="宋体" w:hAnsi="宋体"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7516">
      <w:bodyDiv w:val="1"/>
      <w:marLeft w:val="0"/>
      <w:marRight w:val="0"/>
      <w:marTop w:val="0"/>
      <w:marBottom w:val="0"/>
      <w:divBdr>
        <w:top w:val="none" w:sz="0" w:space="0" w:color="auto"/>
        <w:left w:val="none" w:sz="0" w:space="0" w:color="auto"/>
        <w:bottom w:val="none" w:sz="0" w:space="0" w:color="auto"/>
        <w:right w:val="none" w:sz="0" w:space="0" w:color="auto"/>
      </w:divBdr>
    </w:div>
    <w:div w:id="32966389">
      <w:bodyDiv w:val="1"/>
      <w:marLeft w:val="0"/>
      <w:marRight w:val="0"/>
      <w:marTop w:val="0"/>
      <w:marBottom w:val="0"/>
      <w:divBdr>
        <w:top w:val="none" w:sz="0" w:space="0" w:color="auto"/>
        <w:left w:val="none" w:sz="0" w:space="0" w:color="auto"/>
        <w:bottom w:val="none" w:sz="0" w:space="0" w:color="auto"/>
        <w:right w:val="none" w:sz="0" w:space="0" w:color="auto"/>
      </w:divBdr>
    </w:div>
    <w:div w:id="33122625">
      <w:bodyDiv w:val="1"/>
      <w:marLeft w:val="0"/>
      <w:marRight w:val="0"/>
      <w:marTop w:val="0"/>
      <w:marBottom w:val="0"/>
      <w:divBdr>
        <w:top w:val="none" w:sz="0" w:space="0" w:color="auto"/>
        <w:left w:val="none" w:sz="0" w:space="0" w:color="auto"/>
        <w:bottom w:val="none" w:sz="0" w:space="0" w:color="auto"/>
        <w:right w:val="none" w:sz="0" w:space="0" w:color="auto"/>
      </w:divBdr>
    </w:div>
    <w:div w:id="40450104">
      <w:bodyDiv w:val="1"/>
      <w:marLeft w:val="0"/>
      <w:marRight w:val="0"/>
      <w:marTop w:val="0"/>
      <w:marBottom w:val="0"/>
      <w:divBdr>
        <w:top w:val="none" w:sz="0" w:space="0" w:color="auto"/>
        <w:left w:val="none" w:sz="0" w:space="0" w:color="auto"/>
        <w:bottom w:val="none" w:sz="0" w:space="0" w:color="auto"/>
        <w:right w:val="none" w:sz="0" w:space="0" w:color="auto"/>
      </w:divBdr>
    </w:div>
    <w:div w:id="74400884">
      <w:bodyDiv w:val="1"/>
      <w:marLeft w:val="0"/>
      <w:marRight w:val="0"/>
      <w:marTop w:val="0"/>
      <w:marBottom w:val="0"/>
      <w:divBdr>
        <w:top w:val="none" w:sz="0" w:space="0" w:color="auto"/>
        <w:left w:val="none" w:sz="0" w:space="0" w:color="auto"/>
        <w:bottom w:val="none" w:sz="0" w:space="0" w:color="auto"/>
        <w:right w:val="none" w:sz="0" w:space="0" w:color="auto"/>
      </w:divBdr>
    </w:div>
    <w:div w:id="76875139">
      <w:bodyDiv w:val="1"/>
      <w:marLeft w:val="0"/>
      <w:marRight w:val="0"/>
      <w:marTop w:val="0"/>
      <w:marBottom w:val="0"/>
      <w:divBdr>
        <w:top w:val="none" w:sz="0" w:space="0" w:color="auto"/>
        <w:left w:val="none" w:sz="0" w:space="0" w:color="auto"/>
        <w:bottom w:val="none" w:sz="0" w:space="0" w:color="auto"/>
        <w:right w:val="none" w:sz="0" w:space="0" w:color="auto"/>
      </w:divBdr>
    </w:div>
    <w:div w:id="85814286">
      <w:bodyDiv w:val="1"/>
      <w:marLeft w:val="0"/>
      <w:marRight w:val="0"/>
      <w:marTop w:val="0"/>
      <w:marBottom w:val="0"/>
      <w:divBdr>
        <w:top w:val="none" w:sz="0" w:space="0" w:color="auto"/>
        <w:left w:val="none" w:sz="0" w:space="0" w:color="auto"/>
        <w:bottom w:val="none" w:sz="0" w:space="0" w:color="auto"/>
        <w:right w:val="none" w:sz="0" w:space="0" w:color="auto"/>
      </w:divBdr>
    </w:div>
    <w:div w:id="86005045">
      <w:bodyDiv w:val="1"/>
      <w:marLeft w:val="0"/>
      <w:marRight w:val="0"/>
      <w:marTop w:val="0"/>
      <w:marBottom w:val="0"/>
      <w:divBdr>
        <w:top w:val="none" w:sz="0" w:space="0" w:color="auto"/>
        <w:left w:val="none" w:sz="0" w:space="0" w:color="auto"/>
        <w:bottom w:val="none" w:sz="0" w:space="0" w:color="auto"/>
        <w:right w:val="none" w:sz="0" w:space="0" w:color="auto"/>
      </w:divBdr>
    </w:div>
    <w:div w:id="107164796">
      <w:bodyDiv w:val="1"/>
      <w:marLeft w:val="0"/>
      <w:marRight w:val="0"/>
      <w:marTop w:val="0"/>
      <w:marBottom w:val="0"/>
      <w:divBdr>
        <w:top w:val="none" w:sz="0" w:space="0" w:color="auto"/>
        <w:left w:val="none" w:sz="0" w:space="0" w:color="auto"/>
        <w:bottom w:val="none" w:sz="0" w:space="0" w:color="auto"/>
        <w:right w:val="none" w:sz="0" w:space="0" w:color="auto"/>
      </w:divBdr>
    </w:div>
    <w:div w:id="137655924">
      <w:bodyDiv w:val="1"/>
      <w:marLeft w:val="0"/>
      <w:marRight w:val="0"/>
      <w:marTop w:val="0"/>
      <w:marBottom w:val="0"/>
      <w:divBdr>
        <w:top w:val="none" w:sz="0" w:space="0" w:color="auto"/>
        <w:left w:val="none" w:sz="0" w:space="0" w:color="auto"/>
        <w:bottom w:val="none" w:sz="0" w:space="0" w:color="auto"/>
        <w:right w:val="none" w:sz="0" w:space="0" w:color="auto"/>
      </w:divBdr>
    </w:div>
    <w:div w:id="141125498">
      <w:bodyDiv w:val="1"/>
      <w:marLeft w:val="0"/>
      <w:marRight w:val="0"/>
      <w:marTop w:val="0"/>
      <w:marBottom w:val="0"/>
      <w:divBdr>
        <w:top w:val="none" w:sz="0" w:space="0" w:color="auto"/>
        <w:left w:val="none" w:sz="0" w:space="0" w:color="auto"/>
        <w:bottom w:val="none" w:sz="0" w:space="0" w:color="auto"/>
        <w:right w:val="none" w:sz="0" w:space="0" w:color="auto"/>
      </w:divBdr>
    </w:div>
    <w:div w:id="145896146">
      <w:bodyDiv w:val="1"/>
      <w:marLeft w:val="0"/>
      <w:marRight w:val="0"/>
      <w:marTop w:val="0"/>
      <w:marBottom w:val="0"/>
      <w:divBdr>
        <w:top w:val="none" w:sz="0" w:space="0" w:color="auto"/>
        <w:left w:val="none" w:sz="0" w:space="0" w:color="auto"/>
        <w:bottom w:val="none" w:sz="0" w:space="0" w:color="auto"/>
        <w:right w:val="none" w:sz="0" w:space="0" w:color="auto"/>
      </w:divBdr>
    </w:div>
    <w:div w:id="182592169">
      <w:bodyDiv w:val="1"/>
      <w:marLeft w:val="0"/>
      <w:marRight w:val="0"/>
      <w:marTop w:val="0"/>
      <w:marBottom w:val="0"/>
      <w:divBdr>
        <w:top w:val="none" w:sz="0" w:space="0" w:color="auto"/>
        <w:left w:val="none" w:sz="0" w:space="0" w:color="auto"/>
        <w:bottom w:val="none" w:sz="0" w:space="0" w:color="auto"/>
        <w:right w:val="none" w:sz="0" w:space="0" w:color="auto"/>
      </w:divBdr>
    </w:div>
    <w:div w:id="183523042">
      <w:bodyDiv w:val="1"/>
      <w:marLeft w:val="0"/>
      <w:marRight w:val="0"/>
      <w:marTop w:val="0"/>
      <w:marBottom w:val="0"/>
      <w:divBdr>
        <w:top w:val="none" w:sz="0" w:space="0" w:color="auto"/>
        <w:left w:val="none" w:sz="0" w:space="0" w:color="auto"/>
        <w:bottom w:val="none" w:sz="0" w:space="0" w:color="auto"/>
        <w:right w:val="none" w:sz="0" w:space="0" w:color="auto"/>
      </w:divBdr>
    </w:div>
    <w:div w:id="187912545">
      <w:bodyDiv w:val="1"/>
      <w:marLeft w:val="0"/>
      <w:marRight w:val="0"/>
      <w:marTop w:val="0"/>
      <w:marBottom w:val="0"/>
      <w:divBdr>
        <w:top w:val="none" w:sz="0" w:space="0" w:color="auto"/>
        <w:left w:val="none" w:sz="0" w:space="0" w:color="auto"/>
        <w:bottom w:val="none" w:sz="0" w:space="0" w:color="auto"/>
        <w:right w:val="none" w:sz="0" w:space="0" w:color="auto"/>
      </w:divBdr>
    </w:div>
    <w:div w:id="192576353">
      <w:bodyDiv w:val="1"/>
      <w:marLeft w:val="0"/>
      <w:marRight w:val="0"/>
      <w:marTop w:val="0"/>
      <w:marBottom w:val="0"/>
      <w:divBdr>
        <w:top w:val="none" w:sz="0" w:space="0" w:color="auto"/>
        <w:left w:val="none" w:sz="0" w:space="0" w:color="auto"/>
        <w:bottom w:val="none" w:sz="0" w:space="0" w:color="auto"/>
        <w:right w:val="none" w:sz="0" w:space="0" w:color="auto"/>
      </w:divBdr>
    </w:div>
    <w:div w:id="199249932">
      <w:bodyDiv w:val="1"/>
      <w:marLeft w:val="0"/>
      <w:marRight w:val="0"/>
      <w:marTop w:val="0"/>
      <w:marBottom w:val="0"/>
      <w:divBdr>
        <w:top w:val="none" w:sz="0" w:space="0" w:color="auto"/>
        <w:left w:val="none" w:sz="0" w:space="0" w:color="auto"/>
        <w:bottom w:val="none" w:sz="0" w:space="0" w:color="auto"/>
        <w:right w:val="none" w:sz="0" w:space="0" w:color="auto"/>
      </w:divBdr>
    </w:div>
    <w:div w:id="221209530">
      <w:bodyDiv w:val="1"/>
      <w:marLeft w:val="0"/>
      <w:marRight w:val="0"/>
      <w:marTop w:val="0"/>
      <w:marBottom w:val="0"/>
      <w:divBdr>
        <w:top w:val="none" w:sz="0" w:space="0" w:color="auto"/>
        <w:left w:val="none" w:sz="0" w:space="0" w:color="auto"/>
        <w:bottom w:val="none" w:sz="0" w:space="0" w:color="auto"/>
        <w:right w:val="none" w:sz="0" w:space="0" w:color="auto"/>
      </w:divBdr>
    </w:div>
    <w:div w:id="234780949">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66469784">
      <w:bodyDiv w:val="1"/>
      <w:marLeft w:val="0"/>
      <w:marRight w:val="0"/>
      <w:marTop w:val="0"/>
      <w:marBottom w:val="0"/>
      <w:divBdr>
        <w:top w:val="none" w:sz="0" w:space="0" w:color="auto"/>
        <w:left w:val="none" w:sz="0" w:space="0" w:color="auto"/>
        <w:bottom w:val="none" w:sz="0" w:space="0" w:color="auto"/>
        <w:right w:val="none" w:sz="0" w:space="0" w:color="auto"/>
      </w:divBdr>
    </w:div>
    <w:div w:id="292370949">
      <w:bodyDiv w:val="1"/>
      <w:marLeft w:val="0"/>
      <w:marRight w:val="0"/>
      <w:marTop w:val="0"/>
      <w:marBottom w:val="0"/>
      <w:divBdr>
        <w:top w:val="none" w:sz="0" w:space="0" w:color="auto"/>
        <w:left w:val="none" w:sz="0" w:space="0" w:color="auto"/>
        <w:bottom w:val="none" w:sz="0" w:space="0" w:color="auto"/>
        <w:right w:val="none" w:sz="0" w:space="0" w:color="auto"/>
      </w:divBdr>
    </w:div>
    <w:div w:id="299071390">
      <w:bodyDiv w:val="1"/>
      <w:marLeft w:val="0"/>
      <w:marRight w:val="0"/>
      <w:marTop w:val="0"/>
      <w:marBottom w:val="0"/>
      <w:divBdr>
        <w:top w:val="none" w:sz="0" w:space="0" w:color="auto"/>
        <w:left w:val="none" w:sz="0" w:space="0" w:color="auto"/>
        <w:bottom w:val="none" w:sz="0" w:space="0" w:color="auto"/>
        <w:right w:val="none" w:sz="0" w:space="0" w:color="auto"/>
      </w:divBdr>
    </w:div>
    <w:div w:id="300968644">
      <w:bodyDiv w:val="1"/>
      <w:marLeft w:val="0"/>
      <w:marRight w:val="0"/>
      <w:marTop w:val="0"/>
      <w:marBottom w:val="0"/>
      <w:divBdr>
        <w:top w:val="none" w:sz="0" w:space="0" w:color="auto"/>
        <w:left w:val="none" w:sz="0" w:space="0" w:color="auto"/>
        <w:bottom w:val="none" w:sz="0" w:space="0" w:color="auto"/>
        <w:right w:val="none" w:sz="0" w:space="0" w:color="auto"/>
      </w:divBdr>
    </w:div>
    <w:div w:id="338582775">
      <w:bodyDiv w:val="1"/>
      <w:marLeft w:val="0"/>
      <w:marRight w:val="0"/>
      <w:marTop w:val="0"/>
      <w:marBottom w:val="0"/>
      <w:divBdr>
        <w:top w:val="none" w:sz="0" w:space="0" w:color="auto"/>
        <w:left w:val="none" w:sz="0" w:space="0" w:color="auto"/>
        <w:bottom w:val="none" w:sz="0" w:space="0" w:color="auto"/>
        <w:right w:val="none" w:sz="0" w:space="0" w:color="auto"/>
      </w:divBdr>
    </w:div>
    <w:div w:id="340619470">
      <w:bodyDiv w:val="1"/>
      <w:marLeft w:val="0"/>
      <w:marRight w:val="0"/>
      <w:marTop w:val="0"/>
      <w:marBottom w:val="0"/>
      <w:divBdr>
        <w:top w:val="none" w:sz="0" w:space="0" w:color="auto"/>
        <w:left w:val="none" w:sz="0" w:space="0" w:color="auto"/>
        <w:bottom w:val="none" w:sz="0" w:space="0" w:color="auto"/>
        <w:right w:val="none" w:sz="0" w:space="0" w:color="auto"/>
      </w:divBdr>
    </w:div>
    <w:div w:id="343244395">
      <w:bodyDiv w:val="1"/>
      <w:marLeft w:val="0"/>
      <w:marRight w:val="0"/>
      <w:marTop w:val="0"/>
      <w:marBottom w:val="0"/>
      <w:divBdr>
        <w:top w:val="none" w:sz="0" w:space="0" w:color="auto"/>
        <w:left w:val="none" w:sz="0" w:space="0" w:color="auto"/>
        <w:bottom w:val="none" w:sz="0" w:space="0" w:color="auto"/>
        <w:right w:val="none" w:sz="0" w:space="0" w:color="auto"/>
      </w:divBdr>
    </w:div>
    <w:div w:id="358551114">
      <w:bodyDiv w:val="1"/>
      <w:marLeft w:val="0"/>
      <w:marRight w:val="0"/>
      <w:marTop w:val="0"/>
      <w:marBottom w:val="0"/>
      <w:divBdr>
        <w:top w:val="none" w:sz="0" w:space="0" w:color="auto"/>
        <w:left w:val="none" w:sz="0" w:space="0" w:color="auto"/>
        <w:bottom w:val="none" w:sz="0" w:space="0" w:color="auto"/>
        <w:right w:val="none" w:sz="0" w:space="0" w:color="auto"/>
      </w:divBdr>
    </w:div>
    <w:div w:id="370693018">
      <w:bodyDiv w:val="1"/>
      <w:marLeft w:val="0"/>
      <w:marRight w:val="0"/>
      <w:marTop w:val="0"/>
      <w:marBottom w:val="0"/>
      <w:divBdr>
        <w:top w:val="none" w:sz="0" w:space="0" w:color="auto"/>
        <w:left w:val="none" w:sz="0" w:space="0" w:color="auto"/>
        <w:bottom w:val="none" w:sz="0" w:space="0" w:color="auto"/>
        <w:right w:val="none" w:sz="0" w:space="0" w:color="auto"/>
      </w:divBdr>
    </w:div>
    <w:div w:id="378669171">
      <w:bodyDiv w:val="1"/>
      <w:marLeft w:val="0"/>
      <w:marRight w:val="0"/>
      <w:marTop w:val="0"/>
      <w:marBottom w:val="0"/>
      <w:divBdr>
        <w:top w:val="none" w:sz="0" w:space="0" w:color="auto"/>
        <w:left w:val="none" w:sz="0" w:space="0" w:color="auto"/>
        <w:bottom w:val="none" w:sz="0" w:space="0" w:color="auto"/>
        <w:right w:val="none" w:sz="0" w:space="0" w:color="auto"/>
      </w:divBdr>
    </w:div>
    <w:div w:id="398750480">
      <w:bodyDiv w:val="1"/>
      <w:marLeft w:val="0"/>
      <w:marRight w:val="0"/>
      <w:marTop w:val="0"/>
      <w:marBottom w:val="0"/>
      <w:divBdr>
        <w:top w:val="none" w:sz="0" w:space="0" w:color="auto"/>
        <w:left w:val="none" w:sz="0" w:space="0" w:color="auto"/>
        <w:bottom w:val="none" w:sz="0" w:space="0" w:color="auto"/>
        <w:right w:val="none" w:sz="0" w:space="0" w:color="auto"/>
      </w:divBdr>
    </w:div>
    <w:div w:id="419183195">
      <w:bodyDiv w:val="1"/>
      <w:marLeft w:val="0"/>
      <w:marRight w:val="0"/>
      <w:marTop w:val="0"/>
      <w:marBottom w:val="0"/>
      <w:divBdr>
        <w:top w:val="none" w:sz="0" w:space="0" w:color="auto"/>
        <w:left w:val="none" w:sz="0" w:space="0" w:color="auto"/>
        <w:bottom w:val="none" w:sz="0" w:space="0" w:color="auto"/>
        <w:right w:val="none" w:sz="0" w:space="0" w:color="auto"/>
      </w:divBdr>
    </w:div>
    <w:div w:id="443771401">
      <w:bodyDiv w:val="1"/>
      <w:marLeft w:val="0"/>
      <w:marRight w:val="0"/>
      <w:marTop w:val="0"/>
      <w:marBottom w:val="0"/>
      <w:divBdr>
        <w:top w:val="none" w:sz="0" w:space="0" w:color="auto"/>
        <w:left w:val="none" w:sz="0" w:space="0" w:color="auto"/>
        <w:bottom w:val="none" w:sz="0" w:space="0" w:color="auto"/>
        <w:right w:val="none" w:sz="0" w:space="0" w:color="auto"/>
      </w:divBdr>
    </w:div>
    <w:div w:id="457720749">
      <w:bodyDiv w:val="1"/>
      <w:marLeft w:val="0"/>
      <w:marRight w:val="0"/>
      <w:marTop w:val="0"/>
      <w:marBottom w:val="0"/>
      <w:divBdr>
        <w:top w:val="none" w:sz="0" w:space="0" w:color="auto"/>
        <w:left w:val="none" w:sz="0" w:space="0" w:color="auto"/>
        <w:bottom w:val="none" w:sz="0" w:space="0" w:color="auto"/>
        <w:right w:val="none" w:sz="0" w:space="0" w:color="auto"/>
      </w:divBdr>
    </w:div>
    <w:div w:id="465246176">
      <w:bodyDiv w:val="1"/>
      <w:marLeft w:val="0"/>
      <w:marRight w:val="0"/>
      <w:marTop w:val="0"/>
      <w:marBottom w:val="0"/>
      <w:divBdr>
        <w:top w:val="none" w:sz="0" w:space="0" w:color="auto"/>
        <w:left w:val="none" w:sz="0" w:space="0" w:color="auto"/>
        <w:bottom w:val="none" w:sz="0" w:space="0" w:color="auto"/>
        <w:right w:val="none" w:sz="0" w:space="0" w:color="auto"/>
      </w:divBdr>
    </w:div>
    <w:div w:id="474566231">
      <w:bodyDiv w:val="1"/>
      <w:marLeft w:val="0"/>
      <w:marRight w:val="0"/>
      <w:marTop w:val="0"/>
      <w:marBottom w:val="0"/>
      <w:divBdr>
        <w:top w:val="none" w:sz="0" w:space="0" w:color="auto"/>
        <w:left w:val="none" w:sz="0" w:space="0" w:color="auto"/>
        <w:bottom w:val="none" w:sz="0" w:space="0" w:color="auto"/>
        <w:right w:val="none" w:sz="0" w:space="0" w:color="auto"/>
      </w:divBdr>
    </w:div>
    <w:div w:id="559098805">
      <w:bodyDiv w:val="1"/>
      <w:marLeft w:val="0"/>
      <w:marRight w:val="0"/>
      <w:marTop w:val="0"/>
      <w:marBottom w:val="0"/>
      <w:divBdr>
        <w:top w:val="none" w:sz="0" w:space="0" w:color="auto"/>
        <w:left w:val="none" w:sz="0" w:space="0" w:color="auto"/>
        <w:bottom w:val="none" w:sz="0" w:space="0" w:color="auto"/>
        <w:right w:val="none" w:sz="0" w:space="0" w:color="auto"/>
      </w:divBdr>
    </w:div>
    <w:div w:id="566765246">
      <w:bodyDiv w:val="1"/>
      <w:marLeft w:val="0"/>
      <w:marRight w:val="0"/>
      <w:marTop w:val="0"/>
      <w:marBottom w:val="0"/>
      <w:divBdr>
        <w:top w:val="none" w:sz="0" w:space="0" w:color="auto"/>
        <w:left w:val="none" w:sz="0" w:space="0" w:color="auto"/>
        <w:bottom w:val="none" w:sz="0" w:space="0" w:color="auto"/>
        <w:right w:val="none" w:sz="0" w:space="0" w:color="auto"/>
      </w:divBdr>
    </w:div>
    <w:div w:id="591402562">
      <w:bodyDiv w:val="1"/>
      <w:marLeft w:val="0"/>
      <w:marRight w:val="0"/>
      <w:marTop w:val="0"/>
      <w:marBottom w:val="0"/>
      <w:divBdr>
        <w:top w:val="none" w:sz="0" w:space="0" w:color="auto"/>
        <w:left w:val="none" w:sz="0" w:space="0" w:color="auto"/>
        <w:bottom w:val="none" w:sz="0" w:space="0" w:color="auto"/>
        <w:right w:val="none" w:sz="0" w:space="0" w:color="auto"/>
      </w:divBdr>
    </w:div>
    <w:div w:id="611860712">
      <w:bodyDiv w:val="1"/>
      <w:marLeft w:val="0"/>
      <w:marRight w:val="0"/>
      <w:marTop w:val="0"/>
      <w:marBottom w:val="0"/>
      <w:divBdr>
        <w:top w:val="none" w:sz="0" w:space="0" w:color="auto"/>
        <w:left w:val="none" w:sz="0" w:space="0" w:color="auto"/>
        <w:bottom w:val="none" w:sz="0" w:space="0" w:color="auto"/>
        <w:right w:val="none" w:sz="0" w:space="0" w:color="auto"/>
      </w:divBdr>
    </w:div>
    <w:div w:id="671182695">
      <w:bodyDiv w:val="1"/>
      <w:marLeft w:val="0"/>
      <w:marRight w:val="0"/>
      <w:marTop w:val="0"/>
      <w:marBottom w:val="0"/>
      <w:divBdr>
        <w:top w:val="none" w:sz="0" w:space="0" w:color="auto"/>
        <w:left w:val="none" w:sz="0" w:space="0" w:color="auto"/>
        <w:bottom w:val="none" w:sz="0" w:space="0" w:color="auto"/>
        <w:right w:val="none" w:sz="0" w:space="0" w:color="auto"/>
      </w:divBdr>
    </w:div>
    <w:div w:id="685864501">
      <w:bodyDiv w:val="1"/>
      <w:marLeft w:val="0"/>
      <w:marRight w:val="0"/>
      <w:marTop w:val="0"/>
      <w:marBottom w:val="0"/>
      <w:divBdr>
        <w:top w:val="none" w:sz="0" w:space="0" w:color="auto"/>
        <w:left w:val="none" w:sz="0" w:space="0" w:color="auto"/>
        <w:bottom w:val="none" w:sz="0" w:space="0" w:color="auto"/>
        <w:right w:val="none" w:sz="0" w:space="0" w:color="auto"/>
      </w:divBdr>
    </w:div>
    <w:div w:id="701903044">
      <w:bodyDiv w:val="1"/>
      <w:marLeft w:val="0"/>
      <w:marRight w:val="0"/>
      <w:marTop w:val="0"/>
      <w:marBottom w:val="0"/>
      <w:divBdr>
        <w:top w:val="none" w:sz="0" w:space="0" w:color="auto"/>
        <w:left w:val="none" w:sz="0" w:space="0" w:color="auto"/>
        <w:bottom w:val="none" w:sz="0" w:space="0" w:color="auto"/>
        <w:right w:val="none" w:sz="0" w:space="0" w:color="auto"/>
      </w:divBdr>
    </w:div>
    <w:div w:id="702629245">
      <w:bodyDiv w:val="1"/>
      <w:marLeft w:val="0"/>
      <w:marRight w:val="0"/>
      <w:marTop w:val="0"/>
      <w:marBottom w:val="0"/>
      <w:divBdr>
        <w:top w:val="none" w:sz="0" w:space="0" w:color="auto"/>
        <w:left w:val="none" w:sz="0" w:space="0" w:color="auto"/>
        <w:bottom w:val="none" w:sz="0" w:space="0" w:color="auto"/>
        <w:right w:val="none" w:sz="0" w:space="0" w:color="auto"/>
      </w:divBdr>
    </w:div>
    <w:div w:id="723140371">
      <w:bodyDiv w:val="1"/>
      <w:marLeft w:val="0"/>
      <w:marRight w:val="0"/>
      <w:marTop w:val="0"/>
      <w:marBottom w:val="0"/>
      <w:divBdr>
        <w:top w:val="none" w:sz="0" w:space="0" w:color="auto"/>
        <w:left w:val="none" w:sz="0" w:space="0" w:color="auto"/>
        <w:bottom w:val="none" w:sz="0" w:space="0" w:color="auto"/>
        <w:right w:val="none" w:sz="0" w:space="0" w:color="auto"/>
      </w:divBdr>
    </w:div>
    <w:div w:id="723985811">
      <w:bodyDiv w:val="1"/>
      <w:marLeft w:val="0"/>
      <w:marRight w:val="0"/>
      <w:marTop w:val="0"/>
      <w:marBottom w:val="0"/>
      <w:divBdr>
        <w:top w:val="none" w:sz="0" w:space="0" w:color="auto"/>
        <w:left w:val="none" w:sz="0" w:space="0" w:color="auto"/>
        <w:bottom w:val="none" w:sz="0" w:space="0" w:color="auto"/>
        <w:right w:val="none" w:sz="0" w:space="0" w:color="auto"/>
      </w:divBdr>
    </w:div>
    <w:div w:id="725421466">
      <w:bodyDiv w:val="1"/>
      <w:marLeft w:val="0"/>
      <w:marRight w:val="0"/>
      <w:marTop w:val="0"/>
      <w:marBottom w:val="0"/>
      <w:divBdr>
        <w:top w:val="none" w:sz="0" w:space="0" w:color="auto"/>
        <w:left w:val="none" w:sz="0" w:space="0" w:color="auto"/>
        <w:bottom w:val="none" w:sz="0" w:space="0" w:color="auto"/>
        <w:right w:val="none" w:sz="0" w:space="0" w:color="auto"/>
      </w:divBdr>
    </w:div>
    <w:div w:id="734820308">
      <w:bodyDiv w:val="1"/>
      <w:marLeft w:val="0"/>
      <w:marRight w:val="0"/>
      <w:marTop w:val="0"/>
      <w:marBottom w:val="0"/>
      <w:divBdr>
        <w:top w:val="none" w:sz="0" w:space="0" w:color="auto"/>
        <w:left w:val="none" w:sz="0" w:space="0" w:color="auto"/>
        <w:bottom w:val="none" w:sz="0" w:space="0" w:color="auto"/>
        <w:right w:val="none" w:sz="0" w:space="0" w:color="auto"/>
      </w:divBdr>
    </w:div>
    <w:div w:id="742070200">
      <w:bodyDiv w:val="1"/>
      <w:marLeft w:val="0"/>
      <w:marRight w:val="0"/>
      <w:marTop w:val="0"/>
      <w:marBottom w:val="0"/>
      <w:divBdr>
        <w:top w:val="none" w:sz="0" w:space="0" w:color="auto"/>
        <w:left w:val="none" w:sz="0" w:space="0" w:color="auto"/>
        <w:bottom w:val="none" w:sz="0" w:space="0" w:color="auto"/>
        <w:right w:val="none" w:sz="0" w:space="0" w:color="auto"/>
      </w:divBdr>
    </w:div>
    <w:div w:id="745420699">
      <w:bodyDiv w:val="1"/>
      <w:marLeft w:val="0"/>
      <w:marRight w:val="0"/>
      <w:marTop w:val="0"/>
      <w:marBottom w:val="0"/>
      <w:divBdr>
        <w:top w:val="none" w:sz="0" w:space="0" w:color="auto"/>
        <w:left w:val="none" w:sz="0" w:space="0" w:color="auto"/>
        <w:bottom w:val="none" w:sz="0" w:space="0" w:color="auto"/>
        <w:right w:val="none" w:sz="0" w:space="0" w:color="auto"/>
      </w:divBdr>
    </w:div>
    <w:div w:id="758522634">
      <w:bodyDiv w:val="1"/>
      <w:marLeft w:val="0"/>
      <w:marRight w:val="0"/>
      <w:marTop w:val="0"/>
      <w:marBottom w:val="0"/>
      <w:divBdr>
        <w:top w:val="none" w:sz="0" w:space="0" w:color="auto"/>
        <w:left w:val="none" w:sz="0" w:space="0" w:color="auto"/>
        <w:bottom w:val="none" w:sz="0" w:space="0" w:color="auto"/>
        <w:right w:val="none" w:sz="0" w:space="0" w:color="auto"/>
      </w:divBdr>
    </w:div>
    <w:div w:id="802045812">
      <w:bodyDiv w:val="1"/>
      <w:marLeft w:val="0"/>
      <w:marRight w:val="0"/>
      <w:marTop w:val="0"/>
      <w:marBottom w:val="0"/>
      <w:divBdr>
        <w:top w:val="none" w:sz="0" w:space="0" w:color="auto"/>
        <w:left w:val="none" w:sz="0" w:space="0" w:color="auto"/>
        <w:bottom w:val="none" w:sz="0" w:space="0" w:color="auto"/>
        <w:right w:val="none" w:sz="0" w:space="0" w:color="auto"/>
      </w:divBdr>
    </w:div>
    <w:div w:id="813834239">
      <w:bodyDiv w:val="1"/>
      <w:marLeft w:val="0"/>
      <w:marRight w:val="0"/>
      <w:marTop w:val="0"/>
      <w:marBottom w:val="0"/>
      <w:divBdr>
        <w:top w:val="none" w:sz="0" w:space="0" w:color="auto"/>
        <w:left w:val="none" w:sz="0" w:space="0" w:color="auto"/>
        <w:bottom w:val="none" w:sz="0" w:space="0" w:color="auto"/>
        <w:right w:val="none" w:sz="0" w:space="0" w:color="auto"/>
      </w:divBdr>
    </w:div>
    <w:div w:id="818692588">
      <w:bodyDiv w:val="1"/>
      <w:marLeft w:val="0"/>
      <w:marRight w:val="0"/>
      <w:marTop w:val="0"/>
      <w:marBottom w:val="0"/>
      <w:divBdr>
        <w:top w:val="none" w:sz="0" w:space="0" w:color="auto"/>
        <w:left w:val="none" w:sz="0" w:space="0" w:color="auto"/>
        <w:bottom w:val="none" w:sz="0" w:space="0" w:color="auto"/>
        <w:right w:val="none" w:sz="0" w:space="0" w:color="auto"/>
      </w:divBdr>
    </w:div>
    <w:div w:id="828793337">
      <w:bodyDiv w:val="1"/>
      <w:marLeft w:val="0"/>
      <w:marRight w:val="0"/>
      <w:marTop w:val="0"/>
      <w:marBottom w:val="0"/>
      <w:divBdr>
        <w:top w:val="none" w:sz="0" w:space="0" w:color="auto"/>
        <w:left w:val="none" w:sz="0" w:space="0" w:color="auto"/>
        <w:bottom w:val="none" w:sz="0" w:space="0" w:color="auto"/>
        <w:right w:val="none" w:sz="0" w:space="0" w:color="auto"/>
      </w:divBdr>
    </w:div>
    <w:div w:id="832379827">
      <w:bodyDiv w:val="1"/>
      <w:marLeft w:val="0"/>
      <w:marRight w:val="0"/>
      <w:marTop w:val="0"/>
      <w:marBottom w:val="0"/>
      <w:divBdr>
        <w:top w:val="none" w:sz="0" w:space="0" w:color="auto"/>
        <w:left w:val="none" w:sz="0" w:space="0" w:color="auto"/>
        <w:bottom w:val="none" w:sz="0" w:space="0" w:color="auto"/>
        <w:right w:val="none" w:sz="0" w:space="0" w:color="auto"/>
      </w:divBdr>
    </w:div>
    <w:div w:id="852843129">
      <w:bodyDiv w:val="1"/>
      <w:marLeft w:val="0"/>
      <w:marRight w:val="0"/>
      <w:marTop w:val="0"/>
      <w:marBottom w:val="0"/>
      <w:divBdr>
        <w:top w:val="none" w:sz="0" w:space="0" w:color="auto"/>
        <w:left w:val="none" w:sz="0" w:space="0" w:color="auto"/>
        <w:bottom w:val="none" w:sz="0" w:space="0" w:color="auto"/>
        <w:right w:val="none" w:sz="0" w:space="0" w:color="auto"/>
      </w:divBdr>
    </w:div>
    <w:div w:id="869537842">
      <w:bodyDiv w:val="1"/>
      <w:marLeft w:val="0"/>
      <w:marRight w:val="0"/>
      <w:marTop w:val="0"/>
      <w:marBottom w:val="0"/>
      <w:divBdr>
        <w:top w:val="none" w:sz="0" w:space="0" w:color="auto"/>
        <w:left w:val="none" w:sz="0" w:space="0" w:color="auto"/>
        <w:bottom w:val="none" w:sz="0" w:space="0" w:color="auto"/>
        <w:right w:val="none" w:sz="0" w:space="0" w:color="auto"/>
      </w:divBdr>
    </w:div>
    <w:div w:id="872889586">
      <w:bodyDiv w:val="1"/>
      <w:marLeft w:val="0"/>
      <w:marRight w:val="0"/>
      <w:marTop w:val="0"/>
      <w:marBottom w:val="0"/>
      <w:divBdr>
        <w:top w:val="none" w:sz="0" w:space="0" w:color="auto"/>
        <w:left w:val="none" w:sz="0" w:space="0" w:color="auto"/>
        <w:bottom w:val="none" w:sz="0" w:space="0" w:color="auto"/>
        <w:right w:val="none" w:sz="0" w:space="0" w:color="auto"/>
      </w:divBdr>
    </w:div>
    <w:div w:id="883104589">
      <w:bodyDiv w:val="1"/>
      <w:marLeft w:val="0"/>
      <w:marRight w:val="0"/>
      <w:marTop w:val="0"/>
      <w:marBottom w:val="0"/>
      <w:divBdr>
        <w:top w:val="none" w:sz="0" w:space="0" w:color="auto"/>
        <w:left w:val="none" w:sz="0" w:space="0" w:color="auto"/>
        <w:bottom w:val="none" w:sz="0" w:space="0" w:color="auto"/>
        <w:right w:val="none" w:sz="0" w:space="0" w:color="auto"/>
      </w:divBdr>
    </w:div>
    <w:div w:id="883568159">
      <w:bodyDiv w:val="1"/>
      <w:marLeft w:val="0"/>
      <w:marRight w:val="0"/>
      <w:marTop w:val="0"/>
      <w:marBottom w:val="0"/>
      <w:divBdr>
        <w:top w:val="none" w:sz="0" w:space="0" w:color="auto"/>
        <w:left w:val="none" w:sz="0" w:space="0" w:color="auto"/>
        <w:bottom w:val="none" w:sz="0" w:space="0" w:color="auto"/>
        <w:right w:val="none" w:sz="0" w:space="0" w:color="auto"/>
      </w:divBdr>
    </w:div>
    <w:div w:id="908536045">
      <w:bodyDiv w:val="1"/>
      <w:marLeft w:val="0"/>
      <w:marRight w:val="0"/>
      <w:marTop w:val="0"/>
      <w:marBottom w:val="0"/>
      <w:divBdr>
        <w:top w:val="none" w:sz="0" w:space="0" w:color="auto"/>
        <w:left w:val="none" w:sz="0" w:space="0" w:color="auto"/>
        <w:bottom w:val="none" w:sz="0" w:space="0" w:color="auto"/>
        <w:right w:val="none" w:sz="0" w:space="0" w:color="auto"/>
      </w:divBdr>
    </w:div>
    <w:div w:id="911811315">
      <w:bodyDiv w:val="1"/>
      <w:marLeft w:val="0"/>
      <w:marRight w:val="0"/>
      <w:marTop w:val="0"/>
      <w:marBottom w:val="0"/>
      <w:divBdr>
        <w:top w:val="none" w:sz="0" w:space="0" w:color="auto"/>
        <w:left w:val="none" w:sz="0" w:space="0" w:color="auto"/>
        <w:bottom w:val="none" w:sz="0" w:space="0" w:color="auto"/>
        <w:right w:val="none" w:sz="0" w:space="0" w:color="auto"/>
      </w:divBdr>
    </w:div>
    <w:div w:id="937982370">
      <w:bodyDiv w:val="1"/>
      <w:marLeft w:val="0"/>
      <w:marRight w:val="0"/>
      <w:marTop w:val="0"/>
      <w:marBottom w:val="0"/>
      <w:divBdr>
        <w:top w:val="none" w:sz="0" w:space="0" w:color="auto"/>
        <w:left w:val="none" w:sz="0" w:space="0" w:color="auto"/>
        <w:bottom w:val="none" w:sz="0" w:space="0" w:color="auto"/>
        <w:right w:val="none" w:sz="0" w:space="0" w:color="auto"/>
      </w:divBdr>
    </w:div>
    <w:div w:id="961034178">
      <w:bodyDiv w:val="1"/>
      <w:marLeft w:val="0"/>
      <w:marRight w:val="0"/>
      <w:marTop w:val="0"/>
      <w:marBottom w:val="0"/>
      <w:divBdr>
        <w:top w:val="none" w:sz="0" w:space="0" w:color="auto"/>
        <w:left w:val="none" w:sz="0" w:space="0" w:color="auto"/>
        <w:bottom w:val="none" w:sz="0" w:space="0" w:color="auto"/>
        <w:right w:val="none" w:sz="0" w:space="0" w:color="auto"/>
      </w:divBdr>
    </w:div>
    <w:div w:id="965237378">
      <w:bodyDiv w:val="1"/>
      <w:marLeft w:val="0"/>
      <w:marRight w:val="0"/>
      <w:marTop w:val="0"/>
      <w:marBottom w:val="0"/>
      <w:divBdr>
        <w:top w:val="none" w:sz="0" w:space="0" w:color="auto"/>
        <w:left w:val="none" w:sz="0" w:space="0" w:color="auto"/>
        <w:bottom w:val="none" w:sz="0" w:space="0" w:color="auto"/>
        <w:right w:val="none" w:sz="0" w:space="0" w:color="auto"/>
      </w:divBdr>
    </w:div>
    <w:div w:id="967010850">
      <w:bodyDiv w:val="1"/>
      <w:marLeft w:val="0"/>
      <w:marRight w:val="0"/>
      <w:marTop w:val="0"/>
      <w:marBottom w:val="0"/>
      <w:divBdr>
        <w:top w:val="none" w:sz="0" w:space="0" w:color="auto"/>
        <w:left w:val="none" w:sz="0" w:space="0" w:color="auto"/>
        <w:bottom w:val="none" w:sz="0" w:space="0" w:color="auto"/>
        <w:right w:val="none" w:sz="0" w:space="0" w:color="auto"/>
      </w:divBdr>
    </w:div>
    <w:div w:id="971516771">
      <w:bodyDiv w:val="1"/>
      <w:marLeft w:val="0"/>
      <w:marRight w:val="0"/>
      <w:marTop w:val="0"/>
      <w:marBottom w:val="0"/>
      <w:divBdr>
        <w:top w:val="none" w:sz="0" w:space="0" w:color="auto"/>
        <w:left w:val="none" w:sz="0" w:space="0" w:color="auto"/>
        <w:bottom w:val="none" w:sz="0" w:space="0" w:color="auto"/>
        <w:right w:val="none" w:sz="0" w:space="0" w:color="auto"/>
      </w:divBdr>
    </w:div>
    <w:div w:id="974260066">
      <w:bodyDiv w:val="1"/>
      <w:marLeft w:val="0"/>
      <w:marRight w:val="0"/>
      <w:marTop w:val="0"/>
      <w:marBottom w:val="0"/>
      <w:divBdr>
        <w:top w:val="none" w:sz="0" w:space="0" w:color="auto"/>
        <w:left w:val="none" w:sz="0" w:space="0" w:color="auto"/>
        <w:bottom w:val="none" w:sz="0" w:space="0" w:color="auto"/>
        <w:right w:val="none" w:sz="0" w:space="0" w:color="auto"/>
      </w:divBdr>
    </w:div>
    <w:div w:id="1006246048">
      <w:bodyDiv w:val="1"/>
      <w:marLeft w:val="0"/>
      <w:marRight w:val="0"/>
      <w:marTop w:val="0"/>
      <w:marBottom w:val="0"/>
      <w:divBdr>
        <w:top w:val="none" w:sz="0" w:space="0" w:color="auto"/>
        <w:left w:val="none" w:sz="0" w:space="0" w:color="auto"/>
        <w:bottom w:val="none" w:sz="0" w:space="0" w:color="auto"/>
        <w:right w:val="none" w:sz="0" w:space="0" w:color="auto"/>
      </w:divBdr>
    </w:div>
    <w:div w:id="1020088957">
      <w:bodyDiv w:val="1"/>
      <w:marLeft w:val="0"/>
      <w:marRight w:val="0"/>
      <w:marTop w:val="0"/>
      <w:marBottom w:val="0"/>
      <w:divBdr>
        <w:top w:val="none" w:sz="0" w:space="0" w:color="auto"/>
        <w:left w:val="none" w:sz="0" w:space="0" w:color="auto"/>
        <w:bottom w:val="none" w:sz="0" w:space="0" w:color="auto"/>
        <w:right w:val="none" w:sz="0" w:space="0" w:color="auto"/>
      </w:divBdr>
    </w:div>
    <w:div w:id="1020817374">
      <w:bodyDiv w:val="1"/>
      <w:marLeft w:val="0"/>
      <w:marRight w:val="0"/>
      <w:marTop w:val="0"/>
      <w:marBottom w:val="0"/>
      <w:divBdr>
        <w:top w:val="none" w:sz="0" w:space="0" w:color="auto"/>
        <w:left w:val="none" w:sz="0" w:space="0" w:color="auto"/>
        <w:bottom w:val="none" w:sz="0" w:space="0" w:color="auto"/>
        <w:right w:val="none" w:sz="0" w:space="0" w:color="auto"/>
      </w:divBdr>
    </w:div>
    <w:div w:id="1021130489">
      <w:bodyDiv w:val="1"/>
      <w:marLeft w:val="0"/>
      <w:marRight w:val="0"/>
      <w:marTop w:val="0"/>
      <w:marBottom w:val="0"/>
      <w:divBdr>
        <w:top w:val="none" w:sz="0" w:space="0" w:color="auto"/>
        <w:left w:val="none" w:sz="0" w:space="0" w:color="auto"/>
        <w:bottom w:val="none" w:sz="0" w:space="0" w:color="auto"/>
        <w:right w:val="none" w:sz="0" w:space="0" w:color="auto"/>
      </w:divBdr>
    </w:div>
    <w:div w:id="1034964423">
      <w:bodyDiv w:val="1"/>
      <w:marLeft w:val="0"/>
      <w:marRight w:val="0"/>
      <w:marTop w:val="0"/>
      <w:marBottom w:val="0"/>
      <w:divBdr>
        <w:top w:val="none" w:sz="0" w:space="0" w:color="auto"/>
        <w:left w:val="none" w:sz="0" w:space="0" w:color="auto"/>
        <w:bottom w:val="none" w:sz="0" w:space="0" w:color="auto"/>
        <w:right w:val="none" w:sz="0" w:space="0" w:color="auto"/>
      </w:divBdr>
    </w:div>
    <w:div w:id="1058281854">
      <w:bodyDiv w:val="1"/>
      <w:marLeft w:val="0"/>
      <w:marRight w:val="0"/>
      <w:marTop w:val="0"/>
      <w:marBottom w:val="0"/>
      <w:divBdr>
        <w:top w:val="none" w:sz="0" w:space="0" w:color="auto"/>
        <w:left w:val="none" w:sz="0" w:space="0" w:color="auto"/>
        <w:bottom w:val="none" w:sz="0" w:space="0" w:color="auto"/>
        <w:right w:val="none" w:sz="0" w:space="0" w:color="auto"/>
      </w:divBdr>
    </w:div>
    <w:div w:id="1060053240">
      <w:bodyDiv w:val="1"/>
      <w:marLeft w:val="0"/>
      <w:marRight w:val="0"/>
      <w:marTop w:val="0"/>
      <w:marBottom w:val="0"/>
      <w:divBdr>
        <w:top w:val="none" w:sz="0" w:space="0" w:color="auto"/>
        <w:left w:val="none" w:sz="0" w:space="0" w:color="auto"/>
        <w:bottom w:val="none" w:sz="0" w:space="0" w:color="auto"/>
        <w:right w:val="none" w:sz="0" w:space="0" w:color="auto"/>
      </w:divBdr>
    </w:div>
    <w:div w:id="1061559015">
      <w:bodyDiv w:val="1"/>
      <w:marLeft w:val="0"/>
      <w:marRight w:val="0"/>
      <w:marTop w:val="0"/>
      <w:marBottom w:val="0"/>
      <w:divBdr>
        <w:top w:val="none" w:sz="0" w:space="0" w:color="auto"/>
        <w:left w:val="none" w:sz="0" w:space="0" w:color="auto"/>
        <w:bottom w:val="none" w:sz="0" w:space="0" w:color="auto"/>
        <w:right w:val="none" w:sz="0" w:space="0" w:color="auto"/>
      </w:divBdr>
    </w:div>
    <w:div w:id="1075784771">
      <w:bodyDiv w:val="1"/>
      <w:marLeft w:val="0"/>
      <w:marRight w:val="0"/>
      <w:marTop w:val="0"/>
      <w:marBottom w:val="0"/>
      <w:divBdr>
        <w:top w:val="none" w:sz="0" w:space="0" w:color="auto"/>
        <w:left w:val="none" w:sz="0" w:space="0" w:color="auto"/>
        <w:bottom w:val="none" w:sz="0" w:space="0" w:color="auto"/>
        <w:right w:val="none" w:sz="0" w:space="0" w:color="auto"/>
      </w:divBdr>
    </w:div>
    <w:div w:id="1091901046">
      <w:bodyDiv w:val="1"/>
      <w:marLeft w:val="0"/>
      <w:marRight w:val="0"/>
      <w:marTop w:val="0"/>
      <w:marBottom w:val="0"/>
      <w:divBdr>
        <w:top w:val="none" w:sz="0" w:space="0" w:color="auto"/>
        <w:left w:val="none" w:sz="0" w:space="0" w:color="auto"/>
        <w:bottom w:val="none" w:sz="0" w:space="0" w:color="auto"/>
        <w:right w:val="none" w:sz="0" w:space="0" w:color="auto"/>
      </w:divBdr>
    </w:div>
    <w:div w:id="1092093639">
      <w:bodyDiv w:val="1"/>
      <w:marLeft w:val="0"/>
      <w:marRight w:val="0"/>
      <w:marTop w:val="0"/>
      <w:marBottom w:val="0"/>
      <w:divBdr>
        <w:top w:val="none" w:sz="0" w:space="0" w:color="auto"/>
        <w:left w:val="none" w:sz="0" w:space="0" w:color="auto"/>
        <w:bottom w:val="none" w:sz="0" w:space="0" w:color="auto"/>
        <w:right w:val="none" w:sz="0" w:space="0" w:color="auto"/>
      </w:divBdr>
    </w:div>
    <w:div w:id="1094790812">
      <w:bodyDiv w:val="1"/>
      <w:marLeft w:val="0"/>
      <w:marRight w:val="0"/>
      <w:marTop w:val="0"/>
      <w:marBottom w:val="0"/>
      <w:divBdr>
        <w:top w:val="none" w:sz="0" w:space="0" w:color="auto"/>
        <w:left w:val="none" w:sz="0" w:space="0" w:color="auto"/>
        <w:bottom w:val="none" w:sz="0" w:space="0" w:color="auto"/>
        <w:right w:val="none" w:sz="0" w:space="0" w:color="auto"/>
      </w:divBdr>
    </w:div>
    <w:div w:id="1100293553">
      <w:bodyDiv w:val="1"/>
      <w:marLeft w:val="0"/>
      <w:marRight w:val="0"/>
      <w:marTop w:val="0"/>
      <w:marBottom w:val="0"/>
      <w:divBdr>
        <w:top w:val="none" w:sz="0" w:space="0" w:color="auto"/>
        <w:left w:val="none" w:sz="0" w:space="0" w:color="auto"/>
        <w:bottom w:val="none" w:sz="0" w:space="0" w:color="auto"/>
        <w:right w:val="none" w:sz="0" w:space="0" w:color="auto"/>
      </w:divBdr>
    </w:div>
    <w:div w:id="1120613639">
      <w:bodyDiv w:val="1"/>
      <w:marLeft w:val="0"/>
      <w:marRight w:val="0"/>
      <w:marTop w:val="0"/>
      <w:marBottom w:val="0"/>
      <w:divBdr>
        <w:top w:val="none" w:sz="0" w:space="0" w:color="auto"/>
        <w:left w:val="none" w:sz="0" w:space="0" w:color="auto"/>
        <w:bottom w:val="none" w:sz="0" w:space="0" w:color="auto"/>
        <w:right w:val="none" w:sz="0" w:space="0" w:color="auto"/>
      </w:divBdr>
    </w:div>
    <w:div w:id="1124274543">
      <w:bodyDiv w:val="1"/>
      <w:marLeft w:val="0"/>
      <w:marRight w:val="0"/>
      <w:marTop w:val="0"/>
      <w:marBottom w:val="0"/>
      <w:divBdr>
        <w:top w:val="none" w:sz="0" w:space="0" w:color="auto"/>
        <w:left w:val="none" w:sz="0" w:space="0" w:color="auto"/>
        <w:bottom w:val="none" w:sz="0" w:space="0" w:color="auto"/>
        <w:right w:val="none" w:sz="0" w:space="0" w:color="auto"/>
      </w:divBdr>
    </w:div>
    <w:div w:id="1144276898">
      <w:bodyDiv w:val="1"/>
      <w:marLeft w:val="0"/>
      <w:marRight w:val="0"/>
      <w:marTop w:val="0"/>
      <w:marBottom w:val="0"/>
      <w:divBdr>
        <w:top w:val="none" w:sz="0" w:space="0" w:color="auto"/>
        <w:left w:val="none" w:sz="0" w:space="0" w:color="auto"/>
        <w:bottom w:val="none" w:sz="0" w:space="0" w:color="auto"/>
        <w:right w:val="none" w:sz="0" w:space="0" w:color="auto"/>
      </w:divBdr>
    </w:div>
    <w:div w:id="1149861149">
      <w:bodyDiv w:val="1"/>
      <w:marLeft w:val="0"/>
      <w:marRight w:val="0"/>
      <w:marTop w:val="0"/>
      <w:marBottom w:val="0"/>
      <w:divBdr>
        <w:top w:val="none" w:sz="0" w:space="0" w:color="auto"/>
        <w:left w:val="none" w:sz="0" w:space="0" w:color="auto"/>
        <w:bottom w:val="none" w:sz="0" w:space="0" w:color="auto"/>
        <w:right w:val="none" w:sz="0" w:space="0" w:color="auto"/>
      </w:divBdr>
    </w:div>
    <w:div w:id="1163624298">
      <w:bodyDiv w:val="1"/>
      <w:marLeft w:val="0"/>
      <w:marRight w:val="0"/>
      <w:marTop w:val="0"/>
      <w:marBottom w:val="0"/>
      <w:divBdr>
        <w:top w:val="none" w:sz="0" w:space="0" w:color="auto"/>
        <w:left w:val="none" w:sz="0" w:space="0" w:color="auto"/>
        <w:bottom w:val="none" w:sz="0" w:space="0" w:color="auto"/>
        <w:right w:val="none" w:sz="0" w:space="0" w:color="auto"/>
      </w:divBdr>
    </w:div>
    <w:div w:id="1184056351">
      <w:bodyDiv w:val="1"/>
      <w:marLeft w:val="0"/>
      <w:marRight w:val="0"/>
      <w:marTop w:val="0"/>
      <w:marBottom w:val="0"/>
      <w:divBdr>
        <w:top w:val="none" w:sz="0" w:space="0" w:color="auto"/>
        <w:left w:val="none" w:sz="0" w:space="0" w:color="auto"/>
        <w:bottom w:val="none" w:sz="0" w:space="0" w:color="auto"/>
        <w:right w:val="none" w:sz="0" w:space="0" w:color="auto"/>
      </w:divBdr>
    </w:div>
    <w:div w:id="1186866792">
      <w:bodyDiv w:val="1"/>
      <w:marLeft w:val="0"/>
      <w:marRight w:val="0"/>
      <w:marTop w:val="0"/>
      <w:marBottom w:val="0"/>
      <w:divBdr>
        <w:top w:val="none" w:sz="0" w:space="0" w:color="auto"/>
        <w:left w:val="none" w:sz="0" w:space="0" w:color="auto"/>
        <w:bottom w:val="none" w:sz="0" w:space="0" w:color="auto"/>
        <w:right w:val="none" w:sz="0" w:space="0" w:color="auto"/>
      </w:divBdr>
    </w:div>
    <w:div w:id="1209806622">
      <w:bodyDiv w:val="1"/>
      <w:marLeft w:val="0"/>
      <w:marRight w:val="0"/>
      <w:marTop w:val="0"/>
      <w:marBottom w:val="0"/>
      <w:divBdr>
        <w:top w:val="none" w:sz="0" w:space="0" w:color="auto"/>
        <w:left w:val="none" w:sz="0" w:space="0" w:color="auto"/>
        <w:bottom w:val="none" w:sz="0" w:space="0" w:color="auto"/>
        <w:right w:val="none" w:sz="0" w:space="0" w:color="auto"/>
      </w:divBdr>
    </w:div>
    <w:div w:id="1223249057">
      <w:bodyDiv w:val="1"/>
      <w:marLeft w:val="0"/>
      <w:marRight w:val="0"/>
      <w:marTop w:val="0"/>
      <w:marBottom w:val="0"/>
      <w:divBdr>
        <w:top w:val="none" w:sz="0" w:space="0" w:color="auto"/>
        <w:left w:val="none" w:sz="0" w:space="0" w:color="auto"/>
        <w:bottom w:val="none" w:sz="0" w:space="0" w:color="auto"/>
        <w:right w:val="none" w:sz="0" w:space="0" w:color="auto"/>
      </w:divBdr>
    </w:div>
    <w:div w:id="1237670837">
      <w:bodyDiv w:val="1"/>
      <w:marLeft w:val="0"/>
      <w:marRight w:val="0"/>
      <w:marTop w:val="0"/>
      <w:marBottom w:val="0"/>
      <w:divBdr>
        <w:top w:val="none" w:sz="0" w:space="0" w:color="auto"/>
        <w:left w:val="none" w:sz="0" w:space="0" w:color="auto"/>
        <w:bottom w:val="none" w:sz="0" w:space="0" w:color="auto"/>
        <w:right w:val="none" w:sz="0" w:space="0" w:color="auto"/>
      </w:divBdr>
    </w:div>
    <w:div w:id="1257052323">
      <w:bodyDiv w:val="1"/>
      <w:marLeft w:val="0"/>
      <w:marRight w:val="0"/>
      <w:marTop w:val="0"/>
      <w:marBottom w:val="0"/>
      <w:divBdr>
        <w:top w:val="none" w:sz="0" w:space="0" w:color="auto"/>
        <w:left w:val="none" w:sz="0" w:space="0" w:color="auto"/>
        <w:bottom w:val="none" w:sz="0" w:space="0" w:color="auto"/>
        <w:right w:val="none" w:sz="0" w:space="0" w:color="auto"/>
      </w:divBdr>
    </w:div>
    <w:div w:id="1257716618">
      <w:bodyDiv w:val="1"/>
      <w:marLeft w:val="0"/>
      <w:marRight w:val="0"/>
      <w:marTop w:val="0"/>
      <w:marBottom w:val="0"/>
      <w:divBdr>
        <w:top w:val="none" w:sz="0" w:space="0" w:color="auto"/>
        <w:left w:val="none" w:sz="0" w:space="0" w:color="auto"/>
        <w:bottom w:val="none" w:sz="0" w:space="0" w:color="auto"/>
        <w:right w:val="none" w:sz="0" w:space="0" w:color="auto"/>
      </w:divBdr>
    </w:div>
    <w:div w:id="1269389456">
      <w:bodyDiv w:val="1"/>
      <w:marLeft w:val="0"/>
      <w:marRight w:val="0"/>
      <w:marTop w:val="0"/>
      <w:marBottom w:val="0"/>
      <w:divBdr>
        <w:top w:val="none" w:sz="0" w:space="0" w:color="auto"/>
        <w:left w:val="none" w:sz="0" w:space="0" w:color="auto"/>
        <w:bottom w:val="none" w:sz="0" w:space="0" w:color="auto"/>
        <w:right w:val="none" w:sz="0" w:space="0" w:color="auto"/>
      </w:divBdr>
    </w:div>
    <w:div w:id="1296788499">
      <w:bodyDiv w:val="1"/>
      <w:marLeft w:val="0"/>
      <w:marRight w:val="0"/>
      <w:marTop w:val="0"/>
      <w:marBottom w:val="0"/>
      <w:divBdr>
        <w:top w:val="none" w:sz="0" w:space="0" w:color="auto"/>
        <w:left w:val="none" w:sz="0" w:space="0" w:color="auto"/>
        <w:bottom w:val="none" w:sz="0" w:space="0" w:color="auto"/>
        <w:right w:val="none" w:sz="0" w:space="0" w:color="auto"/>
      </w:divBdr>
    </w:div>
    <w:div w:id="1322464165">
      <w:bodyDiv w:val="1"/>
      <w:marLeft w:val="0"/>
      <w:marRight w:val="0"/>
      <w:marTop w:val="0"/>
      <w:marBottom w:val="0"/>
      <w:divBdr>
        <w:top w:val="none" w:sz="0" w:space="0" w:color="auto"/>
        <w:left w:val="none" w:sz="0" w:space="0" w:color="auto"/>
        <w:bottom w:val="none" w:sz="0" w:space="0" w:color="auto"/>
        <w:right w:val="none" w:sz="0" w:space="0" w:color="auto"/>
      </w:divBdr>
    </w:div>
    <w:div w:id="1340548344">
      <w:bodyDiv w:val="1"/>
      <w:marLeft w:val="0"/>
      <w:marRight w:val="0"/>
      <w:marTop w:val="0"/>
      <w:marBottom w:val="0"/>
      <w:divBdr>
        <w:top w:val="none" w:sz="0" w:space="0" w:color="auto"/>
        <w:left w:val="none" w:sz="0" w:space="0" w:color="auto"/>
        <w:bottom w:val="none" w:sz="0" w:space="0" w:color="auto"/>
        <w:right w:val="none" w:sz="0" w:space="0" w:color="auto"/>
      </w:divBdr>
    </w:div>
    <w:div w:id="1343822666">
      <w:bodyDiv w:val="1"/>
      <w:marLeft w:val="0"/>
      <w:marRight w:val="0"/>
      <w:marTop w:val="0"/>
      <w:marBottom w:val="0"/>
      <w:divBdr>
        <w:top w:val="none" w:sz="0" w:space="0" w:color="auto"/>
        <w:left w:val="none" w:sz="0" w:space="0" w:color="auto"/>
        <w:bottom w:val="none" w:sz="0" w:space="0" w:color="auto"/>
        <w:right w:val="none" w:sz="0" w:space="0" w:color="auto"/>
      </w:divBdr>
    </w:div>
    <w:div w:id="1369796389">
      <w:bodyDiv w:val="1"/>
      <w:marLeft w:val="0"/>
      <w:marRight w:val="0"/>
      <w:marTop w:val="0"/>
      <w:marBottom w:val="0"/>
      <w:divBdr>
        <w:top w:val="none" w:sz="0" w:space="0" w:color="auto"/>
        <w:left w:val="none" w:sz="0" w:space="0" w:color="auto"/>
        <w:bottom w:val="none" w:sz="0" w:space="0" w:color="auto"/>
        <w:right w:val="none" w:sz="0" w:space="0" w:color="auto"/>
      </w:divBdr>
    </w:div>
    <w:div w:id="1384594661">
      <w:bodyDiv w:val="1"/>
      <w:marLeft w:val="0"/>
      <w:marRight w:val="0"/>
      <w:marTop w:val="0"/>
      <w:marBottom w:val="0"/>
      <w:divBdr>
        <w:top w:val="none" w:sz="0" w:space="0" w:color="auto"/>
        <w:left w:val="none" w:sz="0" w:space="0" w:color="auto"/>
        <w:bottom w:val="none" w:sz="0" w:space="0" w:color="auto"/>
        <w:right w:val="none" w:sz="0" w:space="0" w:color="auto"/>
      </w:divBdr>
    </w:div>
    <w:div w:id="1405103643">
      <w:bodyDiv w:val="1"/>
      <w:marLeft w:val="0"/>
      <w:marRight w:val="0"/>
      <w:marTop w:val="0"/>
      <w:marBottom w:val="0"/>
      <w:divBdr>
        <w:top w:val="none" w:sz="0" w:space="0" w:color="auto"/>
        <w:left w:val="none" w:sz="0" w:space="0" w:color="auto"/>
        <w:bottom w:val="none" w:sz="0" w:space="0" w:color="auto"/>
        <w:right w:val="none" w:sz="0" w:space="0" w:color="auto"/>
      </w:divBdr>
    </w:div>
    <w:div w:id="1408113622">
      <w:bodyDiv w:val="1"/>
      <w:marLeft w:val="0"/>
      <w:marRight w:val="0"/>
      <w:marTop w:val="0"/>
      <w:marBottom w:val="0"/>
      <w:divBdr>
        <w:top w:val="none" w:sz="0" w:space="0" w:color="auto"/>
        <w:left w:val="none" w:sz="0" w:space="0" w:color="auto"/>
        <w:bottom w:val="none" w:sz="0" w:space="0" w:color="auto"/>
        <w:right w:val="none" w:sz="0" w:space="0" w:color="auto"/>
      </w:divBdr>
    </w:div>
    <w:div w:id="1411388312">
      <w:bodyDiv w:val="1"/>
      <w:marLeft w:val="0"/>
      <w:marRight w:val="0"/>
      <w:marTop w:val="0"/>
      <w:marBottom w:val="0"/>
      <w:divBdr>
        <w:top w:val="none" w:sz="0" w:space="0" w:color="auto"/>
        <w:left w:val="none" w:sz="0" w:space="0" w:color="auto"/>
        <w:bottom w:val="none" w:sz="0" w:space="0" w:color="auto"/>
        <w:right w:val="none" w:sz="0" w:space="0" w:color="auto"/>
      </w:divBdr>
    </w:div>
    <w:div w:id="1412892591">
      <w:bodyDiv w:val="1"/>
      <w:marLeft w:val="0"/>
      <w:marRight w:val="0"/>
      <w:marTop w:val="0"/>
      <w:marBottom w:val="0"/>
      <w:divBdr>
        <w:top w:val="none" w:sz="0" w:space="0" w:color="auto"/>
        <w:left w:val="none" w:sz="0" w:space="0" w:color="auto"/>
        <w:bottom w:val="none" w:sz="0" w:space="0" w:color="auto"/>
        <w:right w:val="none" w:sz="0" w:space="0" w:color="auto"/>
      </w:divBdr>
    </w:div>
    <w:div w:id="1429765026">
      <w:bodyDiv w:val="1"/>
      <w:marLeft w:val="0"/>
      <w:marRight w:val="0"/>
      <w:marTop w:val="0"/>
      <w:marBottom w:val="0"/>
      <w:divBdr>
        <w:top w:val="none" w:sz="0" w:space="0" w:color="auto"/>
        <w:left w:val="none" w:sz="0" w:space="0" w:color="auto"/>
        <w:bottom w:val="none" w:sz="0" w:space="0" w:color="auto"/>
        <w:right w:val="none" w:sz="0" w:space="0" w:color="auto"/>
      </w:divBdr>
    </w:div>
    <w:div w:id="1430392757">
      <w:bodyDiv w:val="1"/>
      <w:marLeft w:val="0"/>
      <w:marRight w:val="0"/>
      <w:marTop w:val="0"/>
      <w:marBottom w:val="0"/>
      <w:divBdr>
        <w:top w:val="none" w:sz="0" w:space="0" w:color="auto"/>
        <w:left w:val="none" w:sz="0" w:space="0" w:color="auto"/>
        <w:bottom w:val="none" w:sz="0" w:space="0" w:color="auto"/>
        <w:right w:val="none" w:sz="0" w:space="0" w:color="auto"/>
      </w:divBdr>
    </w:div>
    <w:div w:id="1445419367">
      <w:bodyDiv w:val="1"/>
      <w:marLeft w:val="0"/>
      <w:marRight w:val="0"/>
      <w:marTop w:val="0"/>
      <w:marBottom w:val="0"/>
      <w:divBdr>
        <w:top w:val="none" w:sz="0" w:space="0" w:color="auto"/>
        <w:left w:val="none" w:sz="0" w:space="0" w:color="auto"/>
        <w:bottom w:val="none" w:sz="0" w:space="0" w:color="auto"/>
        <w:right w:val="none" w:sz="0" w:space="0" w:color="auto"/>
      </w:divBdr>
    </w:div>
    <w:div w:id="1467550960">
      <w:bodyDiv w:val="1"/>
      <w:marLeft w:val="0"/>
      <w:marRight w:val="0"/>
      <w:marTop w:val="0"/>
      <w:marBottom w:val="0"/>
      <w:divBdr>
        <w:top w:val="none" w:sz="0" w:space="0" w:color="auto"/>
        <w:left w:val="none" w:sz="0" w:space="0" w:color="auto"/>
        <w:bottom w:val="none" w:sz="0" w:space="0" w:color="auto"/>
        <w:right w:val="none" w:sz="0" w:space="0" w:color="auto"/>
      </w:divBdr>
    </w:div>
    <w:div w:id="1468931460">
      <w:bodyDiv w:val="1"/>
      <w:marLeft w:val="0"/>
      <w:marRight w:val="0"/>
      <w:marTop w:val="0"/>
      <w:marBottom w:val="0"/>
      <w:divBdr>
        <w:top w:val="none" w:sz="0" w:space="0" w:color="auto"/>
        <w:left w:val="none" w:sz="0" w:space="0" w:color="auto"/>
        <w:bottom w:val="none" w:sz="0" w:space="0" w:color="auto"/>
        <w:right w:val="none" w:sz="0" w:space="0" w:color="auto"/>
      </w:divBdr>
    </w:div>
    <w:div w:id="1485779314">
      <w:bodyDiv w:val="1"/>
      <w:marLeft w:val="0"/>
      <w:marRight w:val="0"/>
      <w:marTop w:val="0"/>
      <w:marBottom w:val="0"/>
      <w:divBdr>
        <w:top w:val="none" w:sz="0" w:space="0" w:color="auto"/>
        <w:left w:val="none" w:sz="0" w:space="0" w:color="auto"/>
        <w:bottom w:val="none" w:sz="0" w:space="0" w:color="auto"/>
        <w:right w:val="none" w:sz="0" w:space="0" w:color="auto"/>
      </w:divBdr>
    </w:div>
    <w:div w:id="1508868065">
      <w:bodyDiv w:val="1"/>
      <w:marLeft w:val="0"/>
      <w:marRight w:val="0"/>
      <w:marTop w:val="0"/>
      <w:marBottom w:val="0"/>
      <w:divBdr>
        <w:top w:val="none" w:sz="0" w:space="0" w:color="auto"/>
        <w:left w:val="none" w:sz="0" w:space="0" w:color="auto"/>
        <w:bottom w:val="none" w:sz="0" w:space="0" w:color="auto"/>
        <w:right w:val="none" w:sz="0" w:space="0" w:color="auto"/>
      </w:divBdr>
    </w:div>
    <w:div w:id="1512643305">
      <w:bodyDiv w:val="1"/>
      <w:marLeft w:val="0"/>
      <w:marRight w:val="0"/>
      <w:marTop w:val="0"/>
      <w:marBottom w:val="0"/>
      <w:divBdr>
        <w:top w:val="none" w:sz="0" w:space="0" w:color="auto"/>
        <w:left w:val="none" w:sz="0" w:space="0" w:color="auto"/>
        <w:bottom w:val="none" w:sz="0" w:space="0" w:color="auto"/>
        <w:right w:val="none" w:sz="0" w:space="0" w:color="auto"/>
      </w:divBdr>
    </w:div>
    <w:div w:id="1513374107">
      <w:bodyDiv w:val="1"/>
      <w:marLeft w:val="0"/>
      <w:marRight w:val="0"/>
      <w:marTop w:val="0"/>
      <w:marBottom w:val="0"/>
      <w:divBdr>
        <w:top w:val="none" w:sz="0" w:space="0" w:color="auto"/>
        <w:left w:val="none" w:sz="0" w:space="0" w:color="auto"/>
        <w:bottom w:val="none" w:sz="0" w:space="0" w:color="auto"/>
        <w:right w:val="none" w:sz="0" w:space="0" w:color="auto"/>
      </w:divBdr>
    </w:div>
    <w:div w:id="1519932394">
      <w:bodyDiv w:val="1"/>
      <w:marLeft w:val="0"/>
      <w:marRight w:val="0"/>
      <w:marTop w:val="0"/>
      <w:marBottom w:val="0"/>
      <w:divBdr>
        <w:top w:val="none" w:sz="0" w:space="0" w:color="auto"/>
        <w:left w:val="none" w:sz="0" w:space="0" w:color="auto"/>
        <w:bottom w:val="none" w:sz="0" w:space="0" w:color="auto"/>
        <w:right w:val="none" w:sz="0" w:space="0" w:color="auto"/>
      </w:divBdr>
    </w:div>
    <w:div w:id="1531457756">
      <w:bodyDiv w:val="1"/>
      <w:marLeft w:val="0"/>
      <w:marRight w:val="0"/>
      <w:marTop w:val="0"/>
      <w:marBottom w:val="0"/>
      <w:divBdr>
        <w:top w:val="none" w:sz="0" w:space="0" w:color="auto"/>
        <w:left w:val="none" w:sz="0" w:space="0" w:color="auto"/>
        <w:bottom w:val="none" w:sz="0" w:space="0" w:color="auto"/>
        <w:right w:val="none" w:sz="0" w:space="0" w:color="auto"/>
      </w:divBdr>
    </w:div>
    <w:div w:id="1532264102">
      <w:bodyDiv w:val="1"/>
      <w:marLeft w:val="0"/>
      <w:marRight w:val="0"/>
      <w:marTop w:val="0"/>
      <w:marBottom w:val="0"/>
      <w:divBdr>
        <w:top w:val="none" w:sz="0" w:space="0" w:color="auto"/>
        <w:left w:val="none" w:sz="0" w:space="0" w:color="auto"/>
        <w:bottom w:val="none" w:sz="0" w:space="0" w:color="auto"/>
        <w:right w:val="none" w:sz="0" w:space="0" w:color="auto"/>
      </w:divBdr>
    </w:div>
    <w:div w:id="1553809532">
      <w:bodyDiv w:val="1"/>
      <w:marLeft w:val="0"/>
      <w:marRight w:val="0"/>
      <w:marTop w:val="0"/>
      <w:marBottom w:val="0"/>
      <w:divBdr>
        <w:top w:val="none" w:sz="0" w:space="0" w:color="auto"/>
        <w:left w:val="none" w:sz="0" w:space="0" w:color="auto"/>
        <w:bottom w:val="none" w:sz="0" w:space="0" w:color="auto"/>
        <w:right w:val="none" w:sz="0" w:space="0" w:color="auto"/>
      </w:divBdr>
    </w:div>
    <w:div w:id="1556770347">
      <w:bodyDiv w:val="1"/>
      <w:marLeft w:val="0"/>
      <w:marRight w:val="0"/>
      <w:marTop w:val="0"/>
      <w:marBottom w:val="0"/>
      <w:divBdr>
        <w:top w:val="none" w:sz="0" w:space="0" w:color="auto"/>
        <w:left w:val="none" w:sz="0" w:space="0" w:color="auto"/>
        <w:bottom w:val="none" w:sz="0" w:space="0" w:color="auto"/>
        <w:right w:val="none" w:sz="0" w:space="0" w:color="auto"/>
      </w:divBdr>
    </w:div>
    <w:div w:id="1565988543">
      <w:bodyDiv w:val="1"/>
      <w:marLeft w:val="0"/>
      <w:marRight w:val="0"/>
      <w:marTop w:val="0"/>
      <w:marBottom w:val="0"/>
      <w:divBdr>
        <w:top w:val="none" w:sz="0" w:space="0" w:color="auto"/>
        <w:left w:val="none" w:sz="0" w:space="0" w:color="auto"/>
        <w:bottom w:val="none" w:sz="0" w:space="0" w:color="auto"/>
        <w:right w:val="none" w:sz="0" w:space="0" w:color="auto"/>
      </w:divBdr>
    </w:div>
    <w:div w:id="1568876290">
      <w:bodyDiv w:val="1"/>
      <w:marLeft w:val="0"/>
      <w:marRight w:val="0"/>
      <w:marTop w:val="0"/>
      <w:marBottom w:val="0"/>
      <w:divBdr>
        <w:top w:val="none" w:sz="0" w:space="0" w:color="auto"/>
        <w:left w:val="none" w:sz="0" w:space="0" w:color="auto"/>
        <w:bottom w:val="none" w:sz="0" w:space="0" w:color="auto"/>
        <w:right w:val="none" w:sz="0" w:space="0" w:color="auto"/>
      </w:divBdr>
    </w:div>
    <w:div w:id="1579753062">
      <w:bodyDiv w:val="1"/>
      <w:marLeft w:val="0"/>
      <w:marRight w:val="0"/>
      <w:marTop w:val="0"/>
      <w:marBottom w:val="0"/>
      <w:divBdr>
        <w:top w:val="none" w:sz="0" w:space="0" w:color="auto"/>
        <w:left w:val="none" w:sz="0" w:space="0" w:color="auto"/>
        <w:bottom w:val="none" w:sz="0" w:space="0" w:color="auto"/>
        <w:right w:val="none" w:sz="0" w:space="0" w:color="auto"/>
      </w:divBdr>
    </w:div>
    <w:div w:id="1596282272">
      <w:bodyDiv w:val="1"/>
      <w:marLeft w:val="0"/>
      <w:marRight w:val="0"/>
      <w:marTop w:val="0"/>
      <w:marBottom w:val="0"/>
      <w:divBdr>
        <w:top w:val="none" w:sz="0" w:space="0" w:color="auto"/>
        <w:left w:val="none" w:sz="0" w:space="0" w:color="auto"/>
        <w:bottom w:val="none" w:sz="0" w:space="0" w:color="auto"/>
        <w:right w:val="none" w:sz="0" w:space="0" w:color="auto"/>
      </w:divBdr>
    </w:div>
    <w:div w:id="1602108149">
      <w:bodyDiv w:val="1"/>
      <w:marLeft w:val="0"/>
      <w:marRight w:val="0"/>
      <w:marTop w:val="0"/>
      <w:marBottom w:val="0"/>
      <w:divBdr>
        <w:top w:val="none" w:sz="0" w:space="0" w:color="auto"/>
        <w:left w:val="none" w:sz="0" w:space="0" w:color="auto"/>
        <w:bottom w:val="none" w:sz="0" w:space="0" w:color="auto"/>
        <w:right w:val="none" w:sz="0" w:space="0" w:color="auto"/>
      </w:divBdr>
    </w:div>
    <w:div w:id="1627277785">
      <w:bodyDiv w:val="1"/>
      <w:marLeft w:val="0"/>
      <w:marRight w:val="0"/>
      <w:marTop w:val="0"/>
      <w:marBottom w:val="0"/>
      <w:divBdr>
        <w:top w:val="none" w:sz="0" w:space="0" w:color="auto"/>
        <w:left w:val="none" w:sz="0" w:space="0" w:color="auto"/>
        <w:bottom w:val="none" w:sz="0" w:space="0" w:color="auto"/>
        <w:right w:val="none" w:sz="0" w:space="0" w:color="auto"/>
      </w:divBdr>
    </w:div>
    <w:div w:id="1635519147">
      <w:bodyDiv w:val="1"/>
      <w:marLeft w:val="0"/>
      <w:marRight w:val="0"/>
      <w:marTop w:val="0"/>
      <w:marBottom w:val="0"/>
      <w:divBdr>
        <w:top w:val="none" w:sz="0" w:space="0" w:color="auto"/>
        <w:left w:val="none" w:sz="0" w:space="0" w:color="auto"/>
        <w:bottom w:val="none" w:sz="0" w:space="0" w:color="auto"/>
        <w:right w:val="none" w:sz="0" w:space="0" w:color="auto"/>
      </w:divBdr>
    </w:div>
    <w:div w:id="1660040256">
      <w:bodyDiv w:val="1"/>
      <w:marLeft w:val="0"/>
      <w:marRight w:val="0"/>
      <w:marTop w:val="0"/>
      <w:marBottom w:val="0"/>
      <w:divBdr>
        <w:top w:val="none" w:sz="0" w:space="0" w:color="auto"/>
        <w:left w:val="none" w:sz="0" w:space="0" w:color="auto"/>
        <w:bottom w:val="none" w:sz="0" w:space="0" w:color="auto"/>
        <w:right w:val="none" w:sz="0" w:space="0" w:color="auto"/>
      </w:divBdr>
    </w:div>
    <w:div w:id="1666515335">
      <w:bodyDiv w:val="1"/>
      <w:marLeft w:val="0"/>
      <w:marRight w:val="0"/>
      <w:marTop w:val="0"/>
      <w:marBottom w:val="0"/>
      <w:divBdr>
        <w:top w:val="none" w:sz="0" w:space="0" w:color="auto"/>
        <w:left w:val="none" w:sz="0" w:space="0" w:color="auto"/>
        <w:bottom w:val="none" w:sz="0" w:space="0" w:color="auto"/>
        <w:right w:val="none" w:sz="0" w:space="0" w:color="auto"/>
      </w:divBdr>
    </w:div>
    <w:div w:id="1673288848">
      <w:bodyDiv w:val="1"/>
      <w:marLeft w:val="0"/>
      <w:marRight w:val="0"/>
      <w:marTop w:val="0"/>
      <w:marBottom w:val="0"/>
      <w:divBdr>
        <w:top w:val="none" w:sz="0" w:space="0" w:color="auto"/>
        <w:left w:val="none" w:sz="0" w:space="0" w:color="auto"/>
        <w:bottom w:val="none" w:sz="0" w:space="0" w:color="auto"/>
        <w:right w:val="none" w:sz="0" w:space="0" w:color="auto"/>
      </w:divBdr>
    </w:div>
    <w:div w:id="1677995264">
      <w:bodyDiv w:val="1"/>
      <w:marLeft w:val="0"/>
      <w:marRight w:val="0"/>
      <w:marTop w:val="0"/>
      <w:marBottom w:val="0"/>
      <w:divBdr>
        <w:top w:val="none" w:sz="0" w:space="0" w:color="auto"/>
        <w:left w:val="none" w:sz="0" w:space="0" w:color="auto"/>
        <w:bottom w:val="none" w:sz="0" w:space="0" w:color="auto"/>
        <w:right w:val="none" w:sz="0" w:space="0" w:color="auto"/>
      </w:divBdr>
    </w:div>
    <w:div w:id="1682196396">
      <w:bodyDiv w:val="1"/>
      <w:marLeft w:val="0"/>
      <w:marRight w:val="0"/>
      <w:marTop w:val="0"/>
      <w:marBottom w:val="0"/>
      <w:divBdr>
        <w:top w:val="none" w:sz="0" w:space="0" w:color="auto"/>
        <w:left w:val="none" w:sz="0" w:space="0" w:color="auto"/>
        <w:bottom w:val="none" w:sz="0" w:space="0" w:color="auto"/>
        <w:right w:val="none" w:sz="0" w:space="0" w:color="auto"/>
      </w:divBdr>
    </w:div>
    <w:div w:id="1701206455">
      <w:bodyDiv w:val="1"/>
      <w:marLeft w:val="0"/>
      <w:marRight w:val="0"/>
      <w:marTop w:val="0"/>
      <w:marBottom w:val="0"/>
      <w:divBdr>
        <w:top w:val="none" w:sz="0" w:space="0" w:color="auto"/>
        <w:left w:val="none" w:sz="0" w:space="0" w:color="auto"/>
        <w:bottom w:val="none" w:sz="0" w:space="0" w:color="auto"/>
        <w:right w:val="none" w:sz="0" w:space="0" w:color="auto"/>
      </w:divBdr>
    </w:div>
    <w:div w:id="1704751010">
      <w:bodyDiv w:val="1"/>
      <w:marLeft w:val="0"/>
      <w:marRight w:val="0"/>
      <w:marTop w:val="0"/>
      <w:marBottom w:val="0"/>
      <w:divBdr>
        <w:top w:val="none" w:sz="0" w:space="0" w:color="auto"/>
        <w:left w:val="none" w:sz="0" w:space="0" w:color="auto"/>
        <w:bottom w:val="none" w:sz="0" w:space="0" w:color="auto"/>
        <w:right w:val="none" w:sz="0" w:space="0" w:color="auto"/>
      </w:divBdr>
    </w:div>
    <w:div w:id="1742412434">
      <w:bodyDiv w:val="1"/>
      <w:marLeft w:val="0"/>
      <w:marRight w:val="0"/>
      <w:marTop w:val="0"/>
      <w:marBottom w:val="0"/>
      <w:divBdr>
        <w:top w:val="none" w:sz="0" w:space="0" w:color="auto"/>
        <w:left w:val="none" w:sz="0" w:space="0" w:color="auto"/>
        <w:bottom w:val="none" w:sz="0" w:space="0" w:color="auto"/>
        <w:right w:val="none" w:sz="0" w:space="0" w:color="auto"/>
      </w:divBdr>
    </w:div>
    <w:div w:id="1756168664">
      <w:bodyDiv w:val="1"/>
      <w:marLeft w:val="0"/>
      <w:marRight w:val="0"/>
      <w:marTop w:val="0"/>
      <w:marBottom w:val="0"/>
      <w:divBdr>
        <w:top w:val="none" w:sz="0" w:space="0" w:color="auto"/>
        <w:left w:val="none" w:sz="0" w:space="0" w:color="auto"/>
        <w:bottom w:val="none" w:sz="0" w:space="0" w:color="auto"/>
        <w:right w:val="none" w:sz="0" w:space="0" w:color="auto"/>
      </w:divBdr>
    </w:div>
    <w:div w:id="1764448578">
      <w:bodyDiv w:val="1"/>
      <w:marLeft w:val="0"/>
      <w:marRight w:val="0"/>
      <w:marTop w:val="0"/>
      <w:marBottom w:val="0"/>
      <w:divBdr>
        <w:top w:val="none" w:sz="0" w:space="0" w:color="auto"/>
        <w:left w:val="none" w:sz="0" w:space="0" w:color="auto"/>
        <w:bottom w:val="none" w:sz="0" w:space="0" w:color="auto"/>
        <w:right w:val="none" w:sz="0" w:space="0" w:color="auto"/>
      </w:divBdr>
    </w:div>
    <w:div w:id="1776630443">
      <w:bodyDiv w:val="1"/>
      <w:marLeft w:val="0"/>
      <w:marRight w:val="0"/>
      <w:marTop w:val="0"/>
      <w:marBottom w:val="0"/>
      <w:divBdr>
        <w:top w:val="none" w:sz="0" w:space="0" w:color="auto"/>
        <w:left w:val="none" w:sz="0" w:space="0" w:color="auto"/>
        <w:bottom w:val="none" w:sz="0" w:space="0" w:color="auto"/>
        <w:right w:val="none" w:sz="0" w:space="0" w:color="auto"/>
      </w:divBdr>
    </w:div>
    <w:div w:id="1784956027">
      <w:bodyDiv w:val="1"/>
      <w:marLeft w:val="0"/>
      <w:marRight w:val="0"/>
      <w:marTop w:val="0"/>
      <w:marBottom w:val="0"/>
      <w:divBdr>
        <w:top w:val="none" w:sz="0" w:space="0" w:color="auto"/>
        <w:left w:val="none" w:sz="0" w:space="0" w:color="auto"/>
        <w:bottom w:val="none" w:sz="0" w:space="0" w:color="auto"/>
        <w:right w:val="none" w:sz="0" w:space="0" w:color="auto"/>
      </w:divBdr>
    </w:div>
    <w:div w:id="1790004466">
      <w:bodyDiv w:val="1"/>
      <w:marLeft w:val="0"/>
      <w:marRight w:val="0"/>
      <w:marTop w:val="0"/>
      <w:marBottom w:val="0"/>
      <w:divBdr>
        <w:top w:val="none" w:sz="0" w:space="0" w:color="auto"/>
        <w:left w:val="none" w:sz="0" w:space="0" w:color="auto"/>
        <w:bottom w:val="none" w:sz="0" w:space="0" w:color="auto"/>
        <w:right w:val="none" w:sz="0" w:space="0" w:color="auto"/>
      </w:divBdr>
    </w:div>
    <w:div w:id="1799105800">
      <w:bodyDiv w:val="1"/>
      <w:marLeft w:val="0"/>
      <w:marRight w:val="0"/>
      <w:marTop w:val="0"/>
      <w:marBottom w:val="0"/>
      <w:divBdr>
        <w:top w:val="none" w:sz="0" w:space="0" w:color="auto"/>
        <w:left w:val="none" w:sz="0" w:space="0" w:color="auto"/>
        <w:bottom w:val="none" w:sz="0" w:space="0" w:color="auto"/>
        <w:right w:val="none" w:sz="0" w:space="0" w:color="auto"/>
      </w:divBdr>
    </w:div>
    <w:div w:id="1823034742">
      <w:bodyDiv w:val="1"/>
      <w:marLeft w:val="0"/>
      <w:marRight w:val="0"/>
      <w:marTop w:val="0"/>
      <w:marBottom w:val="0"/>
      <w:divBdr>
        <w:top w:val="none" w:sz="0" w:space="0" w:color="auto"/>
        <w:left w:val="none" w:sz="0" w:space="0" w:color="auto"/>
        <w:bottom w:val="none" w:sz="0" w:space="0" w:color="auto"/>
        <w:right w:val="none" w:sz="0" w:space="0" w:color="auto"/>
      </w:divBdr>
    </w:div>
    <w:div w:id="1842507403">
      <w:bodyDiv w:val="1"/>
      <w:marLeft w:val="0"/>
      <w:marRight w:val="0"/>
      <w:marTop w:val="0"/>
      <w:marBottom w:val="0"/>
      <w:divBdr>
        <w:top w:val="none" w:sz="0" w:space="0" w:color="auto"/>
        <w:left w:val="none" w:sz="0" w:space="0" w:color="auto"/>
        <w:bottom w:val="none" w:sz="0" w:space="0" w:color="auto"/>
        <w:right w:val="none" w:sz="0" w:space="0" w:color="auto"/>
      </w:divBdr>
    </w:div>
    <w:div w:id="1864128259">
      <w:bodyDiv w:val="1"/>
      <w:marLeft w:val="0"/>
      <w:marRight w:val="0"/>
      <w:marTop w:val="0"/>
      <w:marBottom w:val="0"/>
      <w:divBdr>
        <w:top w:val="none" w:sz="0" w:space="0" w:color="auto"/>
        <w:left w:val="none" w:sz="0" w:space="0" w:color="auto"/>
        <w:bottom w:val="none" w:sz="0" w:space="0" w:color="auto"/>
        <w:right w:val="none" w:sz="0" w:space="0" w:color="auto"/>
      </w:divBdr>
    </w:div>
    <w:div w:id="1877935458">
      <w:bodyDiv w:val="1"/>
      <w:marLeft w:val="0"/>
      <w:marRight w:val="0"/>
      <w:marTop w:val="0"/>
      <w:marBottom w:val="0"/>
      <w:divBdr>
        <w:top w:val="none" w:sz="0" w:space="0" w:color="auto"/>
        <w:left w:val="none" w:sz="0" w:space="0" w:color="auto"/>
        <w:bottom w:val="none" w:sz="0" w:space="0" w:color="auto"/>
        <w:right w:val="none" w:sz="0" w:space="0" w:color="auto"/>
      </w:divBdr>
    </w:div>
    <w:div w:id="1879128080">
      <w:bodyDiv w:val="1"/>
      <w:marLeft w:val="0"/>
      <w:marRight w:val="0"/>
      <w:marTop w:val="0"/>
      <w:marBottom w:val="0"/>
      <w:divBdr>
        <w:top w:val="none" w:sz="0" w:space="0" w:color="auto"/>
        <w:left w:val="none" w:sz="0" w:space="0" w:color="auto"/>
        <w:bottom w:val="none" w:sz="0" w:space="0" w:color="auto"/>
        <w:right w:val="none" w:sz="0" w:space="0" w:color="auto"/>
      </w:divBdr>
    </w:div>
    <w:div w:id="1884049947">
      <w:bodyDiv w:val="1"/>
      <w:marLeft w:val="0"/>
      <w:marRight w:val="0"/>
      <w:marTop w:val="0"/>
      <w:marBottom w:val="0"/>
      <w:divBdr>
        <w:top w:val="none" w:sz="0" w:space="0" w:color="auto"/>
        <w:left w:val="none" w:sz="0" w:space="0" w:color="auto"/>
        <w:bottom w:val="none" w:sz="0" w:space="0" w:color="auto"/>
        <w:right w:val="none" w:sz="0" w:space="0" w:color="auto"/>
      </w:divBdr>
    </w:div>
    <w:div w:id="1888447287">
      <w:bodyDiv w:val="1"/>
      <w:marLeft w:val="0"/>
      <w:marRight w:val="0"/>
      <w:marTop w:val="0"/>
      <w:marBottom w:val="0"/>
      <w:divBdr>
        <w:top w:val="none" w:sz="0" w:space="0" w:color="auto"/>
        <w:left w:val="none" w:sz="0" w:space="0" w:color="auto"/>
        <w:bottom w:val="none" w:sz="0" w:space="0" w:color="auto"/>
        <w:right w:val="none" w:sz="0" w:space="0" w:color="auto"/>
      </w:divBdr>
    </w:div>
    <w:div w:id="1897203322">
      <w:bodyDiv w:val="1"/>
      <w:marLeft w:val="0"/>
      <w:marRight w:val="0"/>
      <w:marTop w:val="0"/>
      <w:marBottom w:val="0"/>
      <w:divBdr>
        <w:top w:val="none" w:sz="0" w:space="0" w:color="auto"/>
        <w:left w:val="none" w:sz="0" w:space="0" w:color="auto"/>
        <w:bottom w:val="none" w:sz="0" w:space="0" w:color="auto"/>
        <w:right w:val="none" w:sz="0" w:space="0" w:color="auto"/>
      </w:divBdr>
    </w:div>
    <w:div w:id="1897549084">
      <w:bodyDiv w:val="1"/>
      <w:marLeft w:val="0"/>
      <w:marRight w:val="0"/>
      <w:marTop w:val="0"/>
      <w:marBottom w:val="0"/>
      <w:divBdr>
        <w:top w:val="none" w:sz="0" w:space="0" w:color="auto"/>
        <w:left w:val="none" w:sz="0" w:space="0" w:color="auto"/>
        <w:bottom w:val="none" w:sz="0" w:space="0" w:color="auto"/>
        <w:right w:val="none" w:sz="0" w:space="0" w:color="auto"/>
      </w:divBdr>
    </w:div>
    <w:div w:id="1898517707">
      <w:bodyDiv w:val="1"/>
      <w:marLeft w:val="0"/>
      <w:marRight w:val="0"/>
      <w:marTop w:val="0"/>
      <w:marBottom w:val="0"/>
      <w:divBdr>
        <w:top w:val="none" w:sz="0" w:space="0" w:color="auto"/>
        <w:left w:val="none" w:sz="0" w:space="0" w:color="auto"/>
        <w:bottom w:val="none" w:sz="0" w:space="0" w:color="auto"/>
        <w:right w:val="none" w:sz="0" w:space="0" w:color="auto"/>
      </w:divBdr>
    </w:div>
    <w:div w:id="1902209805">
      <w:bodyDiv w:val="1"/>
      <w:marLeft w:val="0"/>
      <w:marRight w:val="0"/>
      <w:marTop w:val="0"/>
      <w:marBottom w:val="0"/>
      <w:divBdr>
        <w:top w:val="none" w:sz="0" w:space="0" w:color="auto"/>
        <w:left w:val="none" w:sz="0" w:space="0" w:color="auto"/>
        <w:bottom w:val="none" w:sz="0" w:space="0" w:color="auto"/>
        <w:right w:val="none" w:sz="0" w:space="0" w:color="auto"/>
      </w:divBdr>
    </w:div>
    <w:div w:id="1907260801">
      <w:bodyDiv w:val="1"/>
      <w:marLeft w:val="0"/>
      <w:marRight w:val="0"/>
      <w:marTop w:val="0"/>
      <w:marBottom w:val="0"/>
      <w:divBdr>
        <w:top w:val="none" w:sz="0" w:space="0" w:color="auto"/>
        <w:left w:val="none" w:sz="0" w:space="0" w:color="auto"/>
        <w:bottom w:val="none" w:sz="0" w:space="0" w:color="auto"/>
        <w:right w:val="none" w:sz="0" w:space="0" w:color="auto"/>
      </w:divBdr>
    </w:div>
    <w:div w:id="1908421313">
      <w:bodyDiv w:val="1"/>
      <w:marLeft w:val="0"/>
      <w:marRight w:val="0"/>
      <w:marTop w:val="0"/>
      <w:marBottom w:val="0"/>
      <w:divBdr>
        <w:top w:val="none" w:sz="0" w:space="0" w:color="auto"/>
        <w:left w:val="none" w:sz="0" w:space="0" w:color="auto"/>
        <w:bottom w:val="none" w:sz="0" w:space="0" w:color="auto"/>
        <w:right w:val="none" w:sz="0" w:space="0" w:color="auto"/>
      </w:divBdr>
    </w:div>
    <w:div w:id="1913348929">
      <w:bodyDiv w:val="1"/>
      <w:marLeft w:val="0"/>
      <w:marRight w:val="0"/>
      <w:marTop w:val="0"/>
      <w:marBottom w:val="0"/>
      <w:divBdr>
        <w:top w:val="none" w:sz="0" w:space="0" w:color="auto"/>
        <w:left w:val="none" w:sz="0" w:space="0" w:color="auto"/>
        <w:bottom w:val="none" w:sz="0" w:space="0" w:color="auto"/>
        <w:right w:val="none" w:sz="0" w:space="0" w:color="auto"/>
      </w:divBdr>
    </w:div>
    <w:div w:id="1913736102">
      <w:bodyDiv w:val="1"/>
      <w:marLeft w:val="0"/>
      <w:marRight w:val="0"/>
      <w:marTop w:val="0"/>
      <w:marBottom w:val="0"/>
      <w:divBdr>
        <w:top w:val="none" w:sz="0" w:space="0" w:color="auto"/>
        <w:left w:val="none" w:sz="0" w:space="0" w:color="auto"/>
        <w:bottom w:val="none" w:sz="0" w:space="0" w:color="auto"/>
        <w:right w:val="none" w:sz="0" w:space="0" w:color="auto"/>
      </w:divBdr>
    </w:div>
    <w:div w:id="1915118829">
      <w:bodyDiv w:val="1"/>
      <w:marLeft w:val="0"/>
      <w:marRight w:val="0"/>
      <w:marTop w:val="0"/>
      <w:marBottom w:val="0"/>
      <w:divBdr>
        <w:top w:val="none" w:sz="0" w:space="0" w:color="auto"/>
        <w:left w:val="none" w:sz="0" w:space="0" w:color="auto"/>
        <w:bottom w:val="none" w:sz="0" w:space="0" w:color="auto"/>
        <w:right w:val="none" w:sz="0" w:space="0" w:color="auto"/>
      </w:divBdr>
    </w:div>
    <w:div w:id="1923684026">
      <w:bodyDiv w:val="1"/>
      <w:marLeft w:val="0"/>
      <w:marRight w:val="0"/>
      <w:marTop w:val="0"/>
      <w:marBottom w:val="0"/>
      <w:divBdr>
        <w:top w:val="none" w:sz="0" w:space="0" w:color="auto"/>
        <w:left w:val="none" w:sz="0" w:space="0" w:color="auto"/>
        <w:bottom w:val="none" w:sz="0" w:space="0" w:color="auto"/>
        <w:right w:val="none" w:sz="0" w:space="0" w:color="auto"/>
      </w:divBdr>
    </w:div>
    <w:div w:id="1970281490">
      <w:bodyDiv w:val="1"/>
      <w:marLeft w:val="0"/>
      <w:marRight w:val="0"/>
      <w:marTop w:val="0"/>
      <w:marBottom w:val="0"/>
      <w:divBdr>
        <w:top w:val="none" w:sz="0" w:space="0" w:color="auto"/>
        <w:left w:val="none" w:sz="0" w:space="0" w:color="auto"/>
        <w:bottom w:val="none" w:sz="0" w:space="0" w:color="auto"/>
        <w:right w:val="none" w:sz="0" w:space="0" w:color="auto"/>
      </w:divBdr>
    </w:div>
    <w:div w:id="1974172935">
      <w:bodyDiv w:val="1"/>
      <w:marLeft w:val="0"/>
      <w:marRight w:val="0"/>
      <w:marTop w:val="0"/>
      <w:marBottom w:val="0"/>
      <w:divBdr>
        <w:top w:val="none" w:sz="0" w:space="0" w:color="auto"/>
        <w:left w:val="none" w:sz="0" w:space="0" w:color="auto"/>
        <w:bottom w:val="none" w:sz="0" w:space="0" w:color="auto"/>
        <w:right w:val="none" w:sz="0" w:space="0" w:color="auto"/>
      </w:divBdr>
    </w:div>
    <w:div w:id="2006929536">
      <w:bodyDiv w:val="1"/>
      <w:marLeft w:val="0"/>
      <w:marRight w:val="0"/>
      <w:marTop w:val="0"/>
      <w:marBottom w:val="0"/>
      <w:divBdr>
        <w:top w:val="none" w:sz="0" w:space="0" w:color="auto"/>
        <w:left w:val="none" w:sz="0" w:space="0" w:color="auto"/>
        <w:bottom w:val="none" w:sz="0" w:space="0" w:color="auto"/>
        <w:right w:val="none" w:sz="0" w:space="0" w:color="auto"/>
      </w:divBdr>
      <w:divsChild>
        <w:div w:id="1834685558">
          <w:marLeft w:val="0"/>
          <w:marRight w:val="0"/>
          <w:marTop w:val="0"/>
          <w:marBottom w:val="0"/>
          <w:divBdr>
            <w:top w:val="none" w:sz="0" w:space="0" w:color="auto"/>
            <w:left w:val="none" w:sz="0" w:space="0" w:color="auto"/>
            <w:bottom w:val="none" w:sz="0" w:space="0" w:color="auto"/>
            <w:right w:val="none" w:sz="0" w:space="0" w:color="auto"/>
          </w:divBdr>
        </w:div>
      </w:divsChild>
    </w:div>
    <w:div w:id="2034724150">
      <w:bodyDiv w:val="1"/>
      <w:marLeft w:val="0"/>
      <w:marRight w:val="0"/>
      <w:marTop w:val="0"/>
      <w:marBottom w:val="0"/>
      <w:divBdr>
        <w:top w:val="none" w:sz="0" w:space="0" w:color="auto"/>
        <w:left w:val="none" w:sz="0" w:space="0" w:color="auto"/>
        <w:bottom w:val="none" w:sz="0" w:space="0" w:color="auto"/>
        <w:right w:val="none" w:sz="0" w:space="0" w:color="auto"/>
      </w:divBdr>
    </w:div>
    <w:div w:id="2037002468">
      <w:bodyDiv w:val="1"/>
      <w:marLeft w:val="0"/>
      <w:marRight w:val="0"/>
      <w:marTop w:val="0"/>
      <w:marBottom w:val="0"/>
      <w:divBdr>
        <w:top w:val="none" w:sz="0" w:space="0" w:color="auto"/>
        <w:left w:val="none" w:sz="0" w:space="0" w:color="auto"/>
        <w:bottom w:val="none" w:sz="0" w:space="0" w:color="auto"/>
        <w:right w:val="none" w:sz="0" w:space="0" w:color="auto"/>
      </w:divBdr>
    </w:div>
    <w:div w:id="2042434085">
      <w:bodyDiv w:val="1"/>
      <w:marLeft w:val="0"/>
      <w:marRight w:val="0"/>
      <w:marTop w:val="0"/>
      <w:marBottom w:val="0"/>
      <w:divBdr>
        <w:top w:val="none" w:sz="0" w:space="0" w:color="auto"/>
        <w:left w:val="none" w:sz="0" w:space="0" w:color="auto"/>
        <w:bottom w:val="none" w:sz="0" w:space="0" w:color="auto"/>
        <w:right w:val="none" w:sz="0" w:space="0" w:color="auto"/>
      </w:divBdr>
    </w:div>
    <w:div w:id="2048597522">
      <w:bodyDiv w:val="1"/>
      <w:marLeft w:val="0"/>
      <w:marRight w:val="0"/>
      <w:marTop w:val="0"/>
      <w:marBottom w:val="0"/>
      <w:divBdr>
        <w:top w:val="none" w:sz="0" w:space="0" w:color="auto"/>
        <w:left w:val="none" w:sz="0" w:space="0" w:color="auto"/>
        <w:bottom w:val="none" w:sz="0" w:space="0" w:color="auto"/>
        <w:right w:val="none" w:sz="0" w:space="0" w:color="auto"/>
      </w:divBdr>
    </w:div>
    <w:div w:id="2053768784">
      <w:bodyDiv w:val="1"/>
      <w:marLeft w:val="0"/>
      <w:marRight w:val="0"/>
      <w:marTop w:val="0"/>
      <w:marBottom w:val="0"/>
      <w:divBdr>
        <w:top w:val="none" w:sz="0" w:space="0" w:color="auto"/>
        <w:left w:val="none" w:sz="0" w:space="0" w:color="auto"/>
        <w:bottom w:val="none" w:sz="0" w:space="0" w:color="auto"/>
        <w:right w:val="none" w:sz="0" w:space="0" w:color="auto"/>
      </w:divBdr>
    </w:div>
    <w:div w:id="2071296380">
      <w:bodyDiv w:val="1"/>
      <w:marLeft w:val="0"/>
      <w:marRight w:val="0"/>
      <w:marTop w:val="0"/>
      <w:marBottom w:val="0"/>
      <w:divBdr>
        <w:top w:val="none" w:sz="0" w:space="0" w:color="auto"/>
        <w:left w:val="none" w:sz="0" w:space="0" w:color="auto"/>
        <w:bottom w:val="none" w:sz="0" w:space="0" w:color="auto"/>
        <w:right w:val="none" w:sz="0" w:space="0" w:color="auto"/>
      </w:divBdr>
    </w:div>
    <w:div w:id="2075159277">
      <w:bodyDiv w:val="1"/>
      <w:marLeft w:val="0"/>
      <w:marRight w:val="0"/>
      <w:marTop w:val="0"/>
      <w:marBottom w:val="0"/>
      <w:divBdr>
        <w:top w:val="none" w:sz="0" w:space="0" w:color="auto"/>
        <w:left w:val="none" w:sz="0" w:space="0" w:color="auto"/>
        <w:bottom w:val="none" w:sz="0" w:space="0" w:color="auto"/>
        <w:right w:val="none" w:sz="0" w:space="0" w:color="auto"/>
      </w:divBdr>
    </w:div>
    <w:div w:id="2081633901">
      <w:bodyDiv w:val="1"/>
      <w:marLeft w:val="0"/>
      <w:marRight w:val="0"/>
      <w:marTop w:val="0"/>
      <w:marBottom w:val="0"/>
      <w:divBdr>
        <w:top w:val="none" w:sz="0" w:space="0" w:color="auto"/>
        <w:left w:val="none" w:sz="0" w:space="0" w:color="auto"/>
        <w:bottom w:val="none" w:sz="0" w:space="0" w:color="auto"/>
        <w:right w:val="none" w:sz="0" w:space="0" w:color="auto"/>
      </w:divBdr>
    </w:div>
    <w:div w:id="2086369954">
      <w:bodyDiv w:val="1"/>
      <w:marLeft w:val="0"/>
      <w:marRight w:val="0"/>
      <w:marTop w:val="0"/>
      <w:marBottom w:val="0"/>
      <w:divBdr>
        <w:top w:val="none" w:sz="0" w:space="0" w:color="auto"/>
        <w:left w:val="none" w:sz="0" w:space="0" w:color="auto"/>
        <w:bottom w:val="none" w:sz="0" w:space="0" w:color="auto"/>
        <w:right w:val="none" w:sz="0" w:space="0" w:color="auto"/>
      </w:divBdr>
    </w:div>
    <w:div w:id="2086609929">
      <w:bodyDiv w:val="1"/>
      <w:marLeft w:val="0"/>
      <w:marRight w:val="0"/>
      <w:marTop w:val="0"/>
      <w:marBottom w:val="0"/>
      <w:divBdr>
        <w:top w:val="none" w:sz="0" w:space="0" w:color="auto"/>
        <w:left w:val="none" w:sz="0" w:space="0" w:color="auto"/>
        <w:bottom w:val="none" w:sz="0" w:space="0" w:color="auto"/>
        <w:right w:val="none" w:sz="0" w:space="0" w:color="auto"/>
      </w:divBdr>
    </w:div>
    <w:div w:id="2119448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137</Pages>
  <Words>19060</Words>
  <Characters>108647</Characters>
  <Application>Microsoft Office Word</Application>
  <DocSecurity>0</DocSecurity>
  <Lines>905</Lines>
  <Paragraphs>254</Paragraphs>
  <ScaleCrop>false</ScaleCrop>
  <Company/>
  <LinksUpToDate>false</LinksUpToDate>
  <CharactersWithSpaces>127453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93</cp:revision>
  <cp:lastPrinted>2024-08-28T07:18:00Z</cp:lastPrinted>
  <dcterms:created xsi:type="dcterms:W3CDTF">2024-08-20T05:55:00Z</dcterms:created>
  <dcterms:modified xsi:type="dcterms:W3CDTF">2024-08-29T00:04:00Z</dcterms:modified>
</cp:coreProperties>
</file>