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65" w:rsidRPr="00E8369E" w:rsidRDefault="00C52C48">
      <w:pPr>
        <w:spacing w:before="200" w:after="1000" w:line="560" w:lineRule="exact"/>
        <w:jc w:val="center"/>
        <w:rPr>
          <w:rFonts w:ascii="宋体" w:eastAsia="宋体" w:hAnsi="宋体" w:cs="宋体"/>
          <w:sz w:val="24"/>
          <w:szCs w:val="24"/>
        </w:rPr>
      </w:pPr>
      <w:r w:rsidRPr="00E8369E">
        <w:rPr>
          <w:rFonts w:ascii="宋体" w:eastAsia="宋体" w:hAnsi="宋体" w:cs="宋体"/>
          <w:sz w:val="24"/>
          <w:szCs w:val="24"/>
        </w:rPr>
        <w:t>证券代码：000936            证券简称：华西股份            公告编号：</w:t>
      </w:r>
      <w:r w:rsidR="00E8369E" w:rsidRPr="00E8369E">
        <w:rPr>
          <w:rFonts w:ascii="宋体" w:eastAsia="宋体" w:hAnsi="宋体" w:cs="宋体"/>
          <w:sz w:val="24"/>
          <w:szCs w:val="24"/>
        </w:rPr>
        <w:t>2024-04</w:t>
      </w:r>
      <w:r w:rsidR="000505B4">
        <w:rPr>
          <w:rFonts w:ascii="宋体" w:eastAsia="宋体" w:hAnsi="宋体" w:cs="宋体" w:hint="eastAsia"/>
          <w:sz w:val="24"/>
          <w:szCs w:val="24"/>
        </w:rPr>
        <w:t>4</w:t>
      </w:r>
    </w:p>
    <w:p w:rsidR="00E12365" w:rsidRDefault="00C52C48">
      <w:pPr>
        <w:spacing w:after="1000" w:line="400" w:lineRule="exact"/>
        <w:jc w:val="center"/>
        <w:rPr>
          <w:rFonts w:ascii="宋体" w:eastAsia="宋体" w:hAnsi="宋体" w:cs="宋体"/>
          <w:b/>
          <w:bCs/>
          <w:sz w:val="36"/>
          <w:szCs w:val="36"/>
        </w:rPr>
      </w:pPr>
      <w:r>
        <w:rPr>
          <w:rFonts w:ascii="宋体" w:eastAsia="宋体" w:hAnsi="宋体" w:cs="宋体"/>
          <w:b/>
          <w:bCs/>
          <w:sz w:val="36"/>
          <w:szCs w:val="36"/>
        </w:rPr>
        <w:t>江苏华西村股份有限公司2</w:t>
      </w:r>
      <w:bookmarkStart w:id="0" w:name="_GoBack"/>
      <w:bookmarkEnd w:id="0"/>
      <w:r>
        <w:rPr>
          <w:rFonts w:ascii="宋体" w:eastAsia="宋体" w:hAnsi="宋体" w:cs="宋体"/>
          <w:b/>
          <w:bCs/>
          <w:sz w:val="36"/>
          <w:szCs w:val="36"/>
        </w:rPr>
        <w:t>024年半年度报告摘要</w:t>
      </w:r>
    </w:p>
    <w:p w:rsidR="00E12365" w:rsidRDefault="00C52C48" w:rsidP="00E8369E">
      <w:pPr>
        <w:rPr>
          <w:rFonts w:ascii="宋体" w:eastAsia="宋体" w:hAnsi="宋体" w:cs="宋体"/>
          <w:b/>
          <w:bCs/>
          <w:sz w:val="24"/>
          <w:szCs w:val="24"/>
        </w:rPr>
      </w:pPr>
      <w:bookmarkStart w:id="1" w:name="_Toc988889"/>
      <w:r>
        <w:rPr>
          <w:rFonts w:ascii="宋体" w:eastAsia="宋体" w:hAnsi="宋体" w:cs="宋体"/>
          <w:b/>
          <w:bCs/>
          <w:sz w:val="24"/>
          <w:szCs w:val="24"/>
        </w:rPr>
        <w:t>一、重要提示</w:t>
      </w:r>
      <w:bookmarkEnd w:id="1"/>
    </w:p>
    <w:p w:rsidR="00E12365" w:rsidRDefault="00C52C48">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本半年度</w:t>
      </w:r>
      <w:proofErr w:type="gramEnd"/>
      <w:r>
        <w:rPr>
          <w:rFonts w:ascii="宋体" w:eastAsia="宋体" w:hAnsi="宋体" w:cs="宋体"/>
          <w:sz w:val="18"/>
          <w:szCs w:val="18"/>
        </w:rPr>
        <w:t>报告摘要来自半年度报告全文，为全面了解本公司的经营成果、财务状况及未来发展规划，投资者应当到证监会指定媒体仔细阅读半年度报告全文。</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E12365" w:rsidRDefault="00C52C48">
      <w:pPr>
        <w:spacing w:before="100" w:after="100" w:line="240" w:lineRule="exact"/>
        <w:rPr>
          <w:rFonts w:ascii="宋体" w:eastAsia="宋体" w:hAnsi="宋体" w:cs="宋体"/>
          <w:sz w:val="18"/>
          <w:szCs w:val="18"/>
        </w:rPr>
      </w:pPr>
      <w:r>
        <w:rPr>
          <w:rFonts w:ascii="宋体" w:eastAsia="宋体" w:hAnsi="宋体" w:cs="宋体"/>
          <w:sz w:val="18"/>
          <w:szCs w:val="18"/>
        </w:rPr>
        <w:t>非标准审计意见提示</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spacing w:before="100" w:after="40" w:line="240" w:lineRule="exact"/>
        <w:rPr>
          <w:rFonts w:ascii="宋体" w:eastAsia="宋体" w:hAnsi="宋体" w:cs="宋体"/>
          <w:sz w:val="18"/>
          <w:szCs w:val="18"/>
        </w:rPr>
      </w:pPr>
      <w:r>
        <w:rPr>
          <w:rFonts w:ascii="宋体" w:eastAsia="宋体" w:hAnsi="宋体" w:cs="宋体"/>
          <w:sz w:val="18"/>
          <w:szCs w:val="18"/>
        </w:rPr>
        <w:t>董事会审议的报告期利润分配预案或公积金转增股本预案</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是否以公积金转增股本</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D68" w:rsidRPr="007F3D68" w:rsidRDefault="007F3D68" w:rsidP="007F3D68">
      <w:pPr>
        <w:spacing w:before="40" w:after="40" w:line="240" w:lineRule="exact"/>
        <w:rPr>
          <w:rFonts w:ascii="宋体" w:eastAsia="宋体" w:hAnsi="宋体" w:cs="宋体"/>
          <w:sz w:val="18"/>
          <w:szCs w:val="18"/>
        </w:rPr>
      </w:pPr>
      <w:r w:rsidRPr="007F3D68">
        <w:rPr>
          <w:rFonts w:ascii="宋体" w:eastAsia="宋体" w:hAnsi="宋体" w:cs="宋体"/>
          <w:sz w:val="18"/>
          <w:szCs w:val="18"/>
        </w:rPr>
        <w:t>公司经本次董事会审议通过的利润分配方案为：以未来实施利润分配方案时股权登记日的总股本为基数，向全体股东每10股派发现金红利0.20元（含税），送红股0股（含税），不以公积金转增股本。</w:t>
      </w:r>
    </w:p>
    <w:p w:rsidR="00E12365" w:rsidRDefault="00C52C48">
      <w:pPr>
        <w:spacing w:before="100" w:after="100" w:line="240" w:lineRule="exact"/>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pStyle w:val="2"/>
        <w:spacing w:before="300" w:after="300" w:line="320" w:lineRule="exact"/>
        <w:rPr>
          <w:rFonts w:ascii="宋体" w:eastAsia="宋体" w:hAnsi="宋体" w:cs="宋体"/>
          <w:b/>
          <w:bCs/>
          <w:sz w:val="24"/>
          <w:szCs w:val="24"/>
        </w:rPr>
      </w:pPr>
      <w:bookmarkStart w:id="2" w:name="_Toc988890"/>
      <w:r>
        <w:rPr>
          <w:rFonts w:ascii="宋体" w:eastAsia="宋体" w:hAnsi="宋体" w:cs="宋体"/>
          <w:b/>
          <w:bCs/>
          <w:sz w:val="24"/>
          <w:szCs w:val="24"/>
        </w:rPr>
        <w:t>二、公司基本情况</w:t>
      </w:r>
      <w:bookmarkEnd w:id="2"/>
    </w:p>
    <w:p w:rsidR="00E12365" w:rsidRDefault="00C52C48">
      <w:pPr>
        <w:pStyle w:val="3"/>
        <w:spacing w:line="280" w:lineRule="exact"/>
        <w:jc w:val="left"/>
        <w:rPr>
          <w:rFonts w:ascii="宋体" w:hAnsi="宋体" w:cs="宋体"/>
          <w:b/>
          <w:bCs/>
        </w:rPr>
      </w:pPr>
      <w:bookmarkStart w:id="3" w:name="_Toc988891"/>
      <w:r>
        <w:rPr>
          <w:rFonts w:ascii="宋体" w:hAnsi="宋体" w:cs="宋体"/>
          <w:b/>
          <w:bCs/>
        </w:rPr>
        <w:t>1、公司简介</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142"/>
        <w:gridCol w:w="2142"/>
        <w:gridCol w:w="2142"/>
      </w:tblGrid>
      <w:tr w:rsidR="00E1236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142"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000936</w:t>
            </w:r>
          </w:p>
        </w:tc>
      </w:tr>
      <w:tr w:rsidR="00E1236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3"/>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2D1C59" w:rsidTr="00425558">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642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r>
      <w:tr w:rsidR="002D1C59" w:rsidTr="00F87F1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6426" w:type="dxa"/>
            <w:gridSpan w:val="3"/>
            <w:tcBorders>
              <w:top w:val="single" w:sz="2" w:space="0" w:color="auto"/>
              <w:left w:val="single" w:sz="2" w:space="0" w:color="auto"/>
              <w:bottom w:val="single" w:sz="2" w:space="0" w:color="auto"/>
              <w:right w:val="single" w:sz="2" w:space="0" w:color="auto"/>
            </w:tcBorders>
            <w:vAlign w:val="center"/>
          </w:tcPr>
          <w:p w:rsidR="002D1C59" w:rsidRDefault="002D1C59">
            <w:pPr>
              <w:spacing w:line="240" w:lineRule="exact"/>
              <w:rPr>
                <w:rFonts w:ascii="宋体" w:eastAsia="宋体" w:hAnsi="宋体" w:cs="宋体"/>
                <w:sz w:val="18"/>
                <w:szCs w:val="18"/>
              </w:rPr>
            </w:pPr>
            <w:r>
              <w:rPr>
                <w:rFonts w:ascii="宋体" w:eastAsia="宋体" w:hAnsi="宋体" w:cs="宋体"/>
                <w:sz w:val="18"/>
                <w:szCs w:val="18"/>
              </w:rPr>
              <w:t>王学良</w:t>
            </w:r>
          </w:p>
        </w:tc>
      </w:tr>
      <w:tr w:rsidR="002D1C59" w:rsidTr="009E106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6426" w:type="dxa"/>
            <w:gridSpan w:val="3"/>
            <w:tcBorders>
              <w:top w:val="single" w:sz="2" w:space="0" w:color="auto"/>
              <w:left w:val="single" w:sz="2" w:space="0" w:color="auto"/>
              <w:bottom w:val="single" w:sz="2" w:space="0" w:color="auto"/>
              <w:right w:val="single" w:sz="2" w:space="0" w:color="auto"/>
            </w:tcBorders>
            <w:vAlign w:val="center"/>
          </w:tcPr>
          <w:p w:rsidR="002D1C59" w:rsidRDefault="002D1C59">
            <w:pPr>
              <w:spacing w:line="240" w:lineRule="exact"/>
              <w:rPr>
                <w:rFonts w:ascii="宋体" w:eastAsia="宋体" w:hAnsi="宋体" w:cs="宋体"/>
                <w:sz w:val="18"/>
                <w:szCs w:val="18"/>
              </w:rPr>
            </w:pPr>
            <w:r>
              <w:rPr>
                <w:rFonts w:ascii="宋体" w:eastAsia="宋体" w:hAnsi="宋体" w:cs="宋体"/>
                <w:sz w:val="18"/>
                <w:szCs w:val="18"/>
              </w:rPr>
              <w:t>江苏省江阴市华士镇华西工业园</w:t>
            </w:r>
            <w:proofErr w:type="gramStart"/>
            <w:r>
              <w:rPr>
                <w:rFonts w:ascii="宋体" w:eastAsia="宋体" w:hAnsi="宋体" w:cs="宋体"/>
                <w:sz w:val="18"/>
                <w:szCs w:val="18"/>
              </w:rPr>
              <w:t>泾浜</w:t>
            </w:r>
            <w:proofErr w:type="gramEnd"/>
            <w:r>
              <w:rPr>
                <w:rFonts w:ascii="宋体" w:eastAsia="宋体" w:hAnsi="宋体" w:cs="宋体"/>
                <w:sz w:val="18"/>
                <w:szCs w:val="18"/>
              </w:rPr>
              <w:t>路88号</w:t>
            </w:r>
          </w:p>
        </w:tc>
      </w:tr>
      <w:tr w:rsidR="002D1C59" w:rsidTr="004652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6426" w:type="dxa"/>
            <w:gridSpan w:val="3"/>
            <w:tcBorders>
              <w:top w:val="single" w:sz="2" w:space="0" w:color="auto"/>
              <w:left w:val="single" w:sz="2" w:space="0" w:color="auto"/>
              <w:bottom w:val="single" w:sz="2" w:space="0" w:color="auto"/>
              <w:right w:val="single" w:sz="2" w:space="0" w:color="auto"/>
            </w:tcBorders>
            <w:vAlign w:val="center"/>
          </w:tcPr>
          <w:p w:rsidR="002D1C59" w:rsidRDefault="002D1C59" w:rsidP="0082540B">
            <w:pPr>
              <w:spacing w:line="240" w:lineRule="exact"/>
              <w:rPr>
                <w:rFonts w:ascii="宋体" w:eastAsia="宋体" w:hAnsi="宋体" w:cs="宋体"/>
                <w:sz w:val="18"/>
                <w:szCs w:val="18"/>
              </w:rPr>
            </w:pPr>
            <w:r>
              <w:rPr>
                <w:rFonts w:ascii="宋体" w:eastAsia="宋体" w:hAnsi="宋体" w:cs="宋体"/>
                <w:sz w:val="18"/>
                <w:szCs w:val="18"/>
              </w:rPr>
              <w:t>0510-86217188</w:t>
            </w:r>
          </w:p>
        </w:tc>
      </w:tr>
      <w:tr w:rsidR="002D1C59" w:rsidTr="00D937E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D1C59" w:rsidRDefault="002D1C59">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426" w:type="dxa"/>
            <w:gridSpan w:val="3"/>
            <w:tcBorders>
              <w:top w:val="single" w:sz="2" w:space="0" w:color="auto"/>
              <w:left w:val="single" w:sz="2" w:space="0" w:color="auto"/>
              <w:bottom w:val="single" w:sz="2" w:space="0" w:color="auto"/>
              <w:right w:val="single" w:sz="2" w:space="0" w:color="auto"/>
            </w:tcBorders>
            <w:vAlign w:val="center"/>
          </w:tcPr>
          <w:p w:rsidR="002D1C59" w:rsidRDefault="002D1C59">
            <w:pPr>
              <w:spacing w:line="240" w:lineRule="exact"/>
              <w:rPr>
                <w:rFonts w:ascii="宋体" w:eastAsia="宋体" w:hAnsi="宋体" w:cs="宋体"/>
                <w:sz w:val="18"/>
                <w:szCs w:val="18"/>
              </w:rPr>
            </w:pPr>
            <w:r>
              <w:rPr>
                <w:rFonts w:ascii="宋体" w:eastAsia="宋体" w:hAnsi="宋体" w:cs="宋体"/>
                <w:sz w:val="18"/>
                <w:szCs w:val="18"/>
              </w:rPr>
              <w:t>wangxl@cnhuaxicun.com</w:t>
            </w:r>
          </w:p>
        </w:tc>
      </w:tr>
    </w:tbl>
    <w:p w:rsidR="00E12365" w:rsidRDefault="00C52C48">
      <w:pPr>
        <w:pStyle w:val="3"/>
        <w:spacing w:line="280" w:lineRule="exact"/>
        <w:jc w:val="left"/>
        <w:rPr>
          <w:rFonts w:ascii="宋体" w:hAnsi="宋体" w:cs="宋体"/>
          <w:b/>
          <w:bCs/>
        </w:rPr>
      </w:pPr>
      <w:bookmarkStart w:id="4" w:name="_Toc988892"/>
      <w:r>
        <w:rPr>
          <w:rFonts w:ascii="宋体" w:hAnsi="宋体" w:cs="宋体"/>
          <w:b/>
          <w:bCs/>
        </w:rPr>
        <w:t>2、主要会计数据和财务指标</w:t>
      </w:r>
      <w:bookmarkEnd w:id="4"/>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55"/>
        <w:gridCol w:w="1928"/>
        <w:gridCol w:w="1928"/>
        <w:gridCol w:w="1928"/>
      </w:tblGrid>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16.56%</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78.86%</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79,315,393.53</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42,330,666.42</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87.37%</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194.07%</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0.87%</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DC5184">
            <w:pPr>
              <w:spacing w:line="240" w:lineRule="exact"/>
              <w:jc w:val="right"/>
              <w:rPr>
                <w:rFonts w:ascii="宋体" w:eastAsia="宋体" w:hAnsi="宋体" w:cs="宋体"/>
                <w:sz w:val="18"/>
                <w:szCs w:val="18"/>
              </w:rPr>
            </w:pPr>
            <w:r>
              <w:rPr>
                <w:rFonts w:ascii="宋体" w:eastAsia="宋体" w:hAnsi="宋体" w:cs="宋体"/>
                <w:sz w:val="18"/>
                <w:szCs w:val="18"/>
              </w:rPr>
              <w:t>增加了</w:t>
            </w:r>
            <w:r>
              <w:rPr>
                <w:rFonts w:ascii="宋体" w:eastAsia="宋体" w:hAnsi="宋体" w:cs="宋体" w:hint="eastAsia"/>
                <w:sz w:val="18"/>
                <w:szCs w:val="18"/>
              </w:rPr>
              <w:t>0.67个百分点</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6,586,762,890.93</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2.02%</w:t>
            </w:r>
          </w:p>
        </w:tc>
      </w:tr>
      <w:tr w:rsidR="00E12365">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5,174,879,168.00</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1928"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1.16%</w:t>
            </w:r>
          </w:p>
        </w:tc>
      </w:tr>
    </w:tbl>
    <w:p w:rsidR="00E12365" w:rsidRDefault="00C52C48">
      <w:pPr>
        <w:pStyle w:val="3"/>
        <w:spacing w:line="280" w:lineRule="exact"/>
        <w:jc w:val="left"/>
        <w:rPr>
          <w:rFonts w:ascii="宋体" w:hAnsi="宋体" w:cs="宋体"/>
          <w:b/>
          <w:bCs/>
        </w:rPr>
      </w:pPr>
      <w:bookmarkStart w:id="5" w:name="_Toc988893"/>
      <w:r>
        <w:rPr>
          <w:rFonts w:ascii="宋体" w:hAnsi="宋体" w:cs="宋体"/>
          <w:b/>
          <w:bCs/>
        </w:rPr>
        <w:t>3、公司股东数量及持股情况</w:t>
      </w:r>
      <w:bookmarkEnd w:id="5"/>
    </w:p>
    <w:p w:rsidR="00E12365" w:rsidRDefault="00C52C48">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2142"/>
        <w:gridCol w:w="1071"/>
        <w:gridCol w:w="1071"/>
      </w:tblGrid>
      <w:tr w:rsidR="00E12365">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86,092</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2D1C59">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E12365">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21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E12365">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21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E12365"/>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rsidP="003D7356">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元</w:t>
            </w:r>
            <w:proofErr w:type="gramStart"/>
            <w:r>
              <w:rPr>
                <w:rFonts w:ascii="宋体" w:eastAsia="宋体" w:hAnsi="宋体" w:cs="宋体"/>
                <w:sz w:val="18"/>
                <w:szCs w:val="18"/>
              </w:rPr>
              <w:t>元</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境外自然人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7,631,767.00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4,273,001.00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聂鹏举</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proofErr w:type="gramStart"/>
            <w:r>
              <w:rPr>
                <w:rFonts w:ascii="宋体" w:eastAsia="宋体" w:hAnsi="宋体" w:cs="宋体"/>
                <w:sz w:val="18"/>
                <w:szCs w:val="18"/>
              </w:rPr>
              <w:t>陈燕培</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2,902,100.00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陈杏英</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林凯铭</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马广兴</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1,794,000.00</w:t>
            </w:r>
          </w:p>
        </w:tc>
        <w:tc>
          <w:tcPr>
            <w:tcW w:w="2142"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E12365">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6"/>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E12365">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12365" w:rsidRDefault="00C52C48" w:rsidP="002D1C59">
            <w:pPr>
              <w:spacing w:before="40" w:after="40" w:line="240" w:lineRule="exact"/>
              <w:rPr>
                <w:rFonts w:ascii="宋体" w:eastAsia="宋体" w:hAnsi="宋体" w:cs="宋体"/>
                <w:sz w:val="18"/>
                <w:szCs w:val="18"/>
              </w:rPr>
            </w:pPr>
            <w:r>
              <w:rPr>
                <w:rFonts w:ascii="宋体" w:eastAsia="宋体" w:hAnsi="宋体" w:cs="宋体"/>
                <w:sz w:val="18"/>
                <w:szCs w:val="18"/>
              </w:rPr>
              <w:t>参与融资融券业务股东情况说明</w:t>
            </w:r>
          </w:p>
        </w:tc>
        <w:tc>
          <w:tcPr>
            <w:tcW w:w="7497" w:type="dxa"/>
            <w:gridSpan w:val="6"/>
            <w:tcBorders>
              <w:top w:val="single" w:sz="2" w:space="0" w:color="auto"/>
              <w:left w:val="single" w:sz="2" w:space="0" w:color="auto"/>
              <w:bottom w:val="single" w:sz="2" w:space="0" w:color="auto"/>
              <w:right w:val="single" w:sz="2" w:space="0" w:color="auto"/>
            </w:tcBorders>
            <w:vAlign w:val="center"/>
          </w:tcPr>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股东“元元”通过信用交易担保证券账户持有公司股票7,631,767股。</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股东“杨光勇”通过信用交易担保证券账户持有公司股票5,944,511股。</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股东“聂鹏举”通过信用交易担保证券账户持有公司股票2,953,200股。</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股东“陈杏英”通过信用交易担保证券账户持有公司股票2,800,000股。</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股东“林凯铭”通过信用交易担保证券账户持有公司股票2,469,000股。</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股东“马广兴”通过信用交易担保证券账户持有公司股票1,794,000股。</w:t>
            </w:r>
          </w:p>
        </w:tc>
      </w:tr>
    </w:tbl>
    <w:p w:rsidR="00E12365" w:rsidRDefault="00C52C4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pStyle w:val="3"/>
        <w:spacing w:line="280" w:lineRule="exact"/>
        <w:jc w:val="left"/>
        <w:rPr>
          <w:rFonts w:ascii="宋体" w:hAnsi="宋体" w:cs="宋体"/>
          <w:b/>
          <w:bCs/>
        </w:rPr>
      </w:pPr>
      <w:bookmarkStart w:id="6" w:name="_Toc988894"/>
      <w:r>
        <w:rPr>
          <w:rFonts w:ascii="宋体" w:hAnsi="宋体" w:cs="宋体"/>
          <w:b/>
          <w:bCs/>
        </w:rPr>
        <w:t>4、控股股东或实际控制人变更情况</w:t>
      </w:r>
      <w:bookmarkEnd w:id="6"/>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E12365" w:rsidRDefault="00C52C48">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E12365" w:rsidRDefault="00C52C48">
      <w:pPr>
        <w:pStyle w:val="3"/>
        <w:spacing w:line="280" w:lineRule="exact"/>
        <w:jc w:val="left"/>
        <w:rPr>
          <w:rFonts w:ascii="宋体" w:hAnsi="宋体" w:cs="宋体"/>
          <w:b/>
          <w:bCs/>
        </w:rPr>
      </w:pPr>
      <w:bookmarkStart w:id="7" w:name="_Toc988895"/>
      <w:r>
        <w:rPr>
          <w:rFonts w:ascii="宋体" w:hAnsi="宋体" w:cs="宋体"/>
          <w:b/>
          <w:bCs/>
        </w:rPr>
        <w:t>5、公司优先股股东总数及前10名优先股股东持股情况表</w:t>
      </w:r>
      <w:bookmarkEnd w:id="7"/>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spacing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E12365" w:rsidRDefault="00C52C48">
      <w:pPr>
        <w:pStyle w:val="3"/>
        <w:spacing w:line="280" w:lineRule="exact"/>
        <w:jc w:val="left"/>
        <w:rPr>
          <w:rFonts w:ascii="宋体" w:hAnsi="宋体" w:cs="宋体"/>
          <w:b/>
          <w:bCs/>
        </w:rPr>
      </w:pPr>
      <w:bookmarkStart w:id="8" w:name="_Toc988896"/>
      <w:r>
        <w:rPr>
          <w:rFonts w:ascii="宋体" w:hAnsi="宋体" w:cs="宋体"/>
          <w:b/>
          <w:bCs/>
        </w:rPr>
        <w:t>6、在半年度报告批准报出日存续的债券情况</w:t>
      </w:r>
      <w:bookmarkEnd w:id="8"/>
    </w:p>
    <w:p w:rsidR="00E12365" w:rsidRDefault="00C52C4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12365" w:rsidRDefault="00C52C48">
      <w:pPr>
        <w:pStyle w:val="2"/>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t>三、重要事项</w:t>
      </w:r>
      <w:bookmarkEnd w:id="9"/>
    </w:p>
    <w:p w:rsidR="00DC2811" w:rsidRPr="00BF79F8" w:rsidRDefault="00C52C48" w:rsidP="002D1C59">
      <w:pPr>
        <w:pStyle w:val="a3"/>
        <w:adjustRightInd w:val="0"/>
        <w:snapToGrid w:val="0"/>
        <w:spacing w:before="0" w:beforeAutospacing="0" w:after="0" w:afterAutospacing="0" w:line="360" w:lineRule="auto"/>
        <w:divId w:val="214895571"/>
        <w:rPr>
          <w:sz w:val="18"/>
          <w:szCs w:val="18"/>
        </w:rPr>
      </w:pPr>
      <w:r>
        <w:rPr>
          <w:rFonts w:hint="eastAsia"/>
          <w:sz w:val="18"/>
          <w:szCs w:val="18"/>
        </w:rPr>
        <w:t> </w:t>
      </w:r>
      <w:r w:rsidR="002D1C59">
        <w:rPr>
          <w:rFonts w:hint="eastAsia"/>
          <w:sz w:val="18"/>
          <w:szCs w:val="18"/>
        </w:rPr>
        <w:t xml:space="preserve">  </w:t>
      </w:r>
      <w:r>
        <w:rPr>
          <w:rFonts w:hint="eastAsia"/>
          <w:sz w:val="18"/>
          <w:szCs w:val="18"/>
        </w:rPr>
        <w:t>1、拟转让索尔思光电部分股份事项</w:t>
      </w:r>
    </w:p>
    <w:p w:rsidR="00BF79F8" w:rsidRDefault="00BF79F8" w:rsidP="00BF79F8">
      <w:pPr>
        <w:pStyle w:val="a3"/>
        <w:adjustRightInd w:val="0"/>
        <w:snapToGrid w:val="0"/>
        <w:spacing w:before="0" w:beforeAutospacing="0" w:after="0" w:afterAutospacing="0" w:line="360" w:lineRule="auto"/>
        <w:ind w:firstLineChars="200" w:firstLine="360"/>
        <w:jc w:val="both"/>
        <w:divId w:val="214895571"/>
        <w:rPr>
          <w:sz w:val="18"/>
          <w:szCs w:val="18"/>
        </w:rPr>
      </w:pPr>
      <w:r>
        <w:rPr>
          <w:rFonts w:hint="eastAsia"/>
          <w:sz w:val="18"/>
          <w:szCs w:val="18"/>
        </w:rPr>
        <w:t>报告期内，公司第九届董事会第三次会议审议通过了《关于转让参股公司部分股份的议案》，公司控制主体</w:t>
      </w:r>
      <w:r w:rsidRPr="00BF79F8">
        <w:rPr>
          <w:sz w:val="18"/>
          <w:szCs w:val="18"/>
        </w:rPr>
        <w:t>上海启</w:t>
      </w:r>
      <w:proofErr w:type="gramStart"/>
      <w:r w:rsidRPr="00BF79F8">
        <w:rPr>
          <w:sz w:val="18"/>
          <w:szCs w:val="18"/>
        </w:rPr>
        <w:t>澜</w:t>
      </w:r>
      <w:proofErr w:type="gramEnd"/>
      <w:r w:rsidRPr="00BF79F8">
        <w:rPr>
          <w:sz w:val="18"/>
          <w:szCs w:val="18"/>
        </w:rPr>
        <w:t>与北京万通新发展集团股份有限公司（以下简称“万通发展”</w:t>
      </w:r>
      <w:r w:rsidRPr="00BF79F8">
        <w:rPr>
          <w:rFonts w:hint="eastAsia"/>
          <w:sz w:val="18"/>
          <w:szCs w:val="18"/>
        </w:rPr>
        <w:t>）</w:t>
      </w:r>
      <w:r w:rsidRPr="00BF79F8">
        <w:rPr>
          <w:sz w:val="18"/>
          <w:szCs w:val="18"/>
        </w:rPr>
        <w:t>签署</w:t>
      </w:r>
      <w:r w:rsidRPr="00BF79F8">
        <w:rPr>
          <w:rFonts w:hint="eastAsia"/>
          <w:sz w:val="18"/>
          <w:szCs w:val="18"/>
        </w:rPr>
        <w:t>了</w:t>
      </w:r>
      <w:r w:rsidRPr="00BF79F8">
        <w:rPr>
          <w:sz w:val="18"/>
          <w:szCs w:val="18"/>
        </w:rPr>
        <w:t>《关于 Source Photonics Holdings</w:t>
      </w:r>
      <w:r w:rsidRPr="00BF79F8">
        <w:rPr>
          <w:rFonts w:hint="eastAsia"/>
          <w:sz w:val="18"/>
          <w:szCs w:val="18"/>
        </w:rPr>
        <w:t xml:space="preserve"> </w:t>
      </w:r>
      <w:r w:rsidRPr="00BF79F8">
        <w:rPr>
          <w:sz w:val="18"/>
          <w:szCs w:val="18"/>
        </w:rPr>
        <w:t>(Cayman) Limited 之股份转让协议》，</w:t>
      </w:r>
      <w:r>
        <w:rPr>
          <w:rFonts w:hint="eastAsia"/>
          <w:sz w:val="18"/>
          <w:szCs w:val="18"/>
        </w:rPr>
        <w:t>上海启</w:t>
      </w:r>
      <w:proofErr w:type="gramStart"/>
      <w:r>
        <w:rPr>
          <w:rFonts w:hint="eastAsia"/>
          <w:sz w:val="18"/>
          <w:szCs w:val="18"/>
        </w:rPr>
        <w:t>澜</w:t>
      </w:r>
      <w:proofErr w:type="gramEnd"/>
      <w:r>
        <w:rPr>
          <w:rFonts w:hint="eastAsia"/>
          <w:sz w:val="18"/>
          <w:szCs w:val="18"/>
        </w:rPr>
        <w:t>拟将其持有556.03万股索尔思光电股份以及通过Diamond Hill, L.P.持有的2,959.25万股索尔思光电股份转让给万通发展，合计转让3,515.28万股索尔思光电股份，转让总价款为9,202.66万美元。本次转让完成后，上海启</w:t>
      </w:r>
      <w:proofErr w:type="gramStart"/>
      <w:r>
        <w:rPr>
          <w:rFonts w:hint="eastAsia"/>
          <w:sz w:val="18"/>
          <w:szCs w:val="18"/>
        </w:rPr>
        <w:t>澜</w:t>
      </w:r>
      <w:proofErr w:type="gramEnd"/>
      <w:r>
        <w:rPr>
          <w:rFonts w:hint="eastAsia"/>
          <w:sz w:val="18"/>
          <w:szCs w:val="18"/>
        </w:rPr>
        <w:t>通过Diamond Hill, L.P.剩余持有索尔思光电3,034.37万股股份。详见公司于2024年6月24日刊登在《上海证券报》《证券时报》和巨潮资讯网上的《关于转让参股公司部分股份的公告》（公告编号：2024-035）、《第九届董事会第三次会议决议公告》（公告编号：2024-037）。</w:t>
      </w:r>
    </w:p>
    <w:p w:rsidR="00BF79F8" w:rsidRDefault="00BF79F8" w:rsidP="00BF79F8">
      <w:pPr>
        <w:pStyle w:val="a3"/>
        <w:adjustRightInd w:val="0"/>
        <w:snapToGrid w:val="0"/>
        <w:spacing w:before="0" w:beforeAutospacing="0" w:after="0" w:afterAutospacing="0" w:line="360" w:lineRule="auto"/>
        <w:ind w:firstLineChars="200" w:firstLine="360"/>
        <w:divId w:val="214895571"/>
        <w:rPr>
          <w:sz w:val="18"/>
          <w:szCs w:val="18"/>
        </w:rPr>
      </w:pPr>
      <w:r>
        <w:rPr>
          <w:rFonts w:hint="eastAsia"/>
          <w:sz w:val="18"/>
          <w:szCs w:val="18"/>
        </w:rPr>
        <w:t xml:space="preserve"> 截至目前，上述索尔思光电股份转让事项尚在进展过程中。</w:t>
      </w:r>
    </w:p>
    <w:p w:rsidR="00E8369E" w:rsidRPr="00BF79F8" w:rsidRDefault="00E8369E" w:rsidP="002D1C59">
      <w:pPr>
        <w:pStyle w:val="a3"/>
        <w:adjustRightInd w:val="0"/>
        <w:snapToGrid w:val="0"/>
        <w:spacing w:before="0" w:beforeAutospacing="0" w:after="0" w:afterAutospacing="0" w:line="360" w:lineRule="auto"/>
        <w:ind w:firstLineChars="200" w:firstLine="360"/>
        <w:divId w:val="214895571"/>
        <w:rPr>
          <w:sz w:val="18"/>
          <w:szCs w:val="18"/>
        </w:rPr>
      </w:pPr>
    </w:p>
    <w:p w:rsidR="00E8369E" w:rsidRDefault="00E8369E" w:rsidP="002D1C59">
      <w:pPr>
        <w:pStyle w:val="a3"/>
        <w:adjustRightInd w:val="0"/>
        <w:snapToGrid w:val="0"/>
        <w:spacing w:before="0" w:beforeAutospacing="0" w:after="0" w:afterAutospacing="0" w:line="360" w:lineRule="auto"/>
        <w:ind w:firstLineChars="200" w:firstLine="360"/>
        <w:divId w:val="214895571"/>
        <w:rPr>
          <w:sz w:val="18"/>
          <w:szCs w:val="18"/>
        </w:rPr>
      </w:pPr>
    </w:p>
    <w:p w:rsidR="00E8369E" w:rsidRPr="00FA1552" w:rsidRDefault="00E8369E" w:rsidP="00E8369E">
      <w:pPr>
        <w:pStyle w:val="a3"/>
        <w:divId w:val="214895571"/>
        <w:rPr>
          <w:b/>
          <w:sz w:val="21"/>
          <w:szCs w:val="21"/>
        </w:rPr>
      </w:pPr>
      <w:r>
        <w:rPr>
          <w:rFonts w:hint="eastAsia"/>
          <w:sz w:val="18"/>
          <w:szCs w:val="18"/>
        </w:rPr>
        <w:t xml:space="preserve">                                                           </w:t>
      </w:r>
      <w:r w:rsidRPr="00FA1552">
        <w:rPr>
          <w:rFonts w:hint="eastAsia"/>
          <w:sz w:val="21"/>
          <w:szCs w:val="21"/>
        </w:rPr>
        <w:t xml:space="preserve"> </w:t>
      </w:r>
      <w:r w:rsidRPr="00FA1552">
        <w:rPr>
          <w:rFonts w:hint="eastAsia"/>
          <w:b/>
          <w:sz w:val="21"/>
          <w:szCs w:val="21"/>
        </w:rPr>
        <w:t xml:space="preserve">    江苏华西村股份有限公司</w:t>
      </w:r>
      <w:r>
        <w:rPr>
          <w:rFonts w:hint="eastAsia"/>
          <w:b/>
          <w:sz w:val="21"/>
          <w:szCs w:val="21"/>
        </w:rPr>
        <w:t>董事会</w:t>
      </w:r>
    </w:p>
    <w:p w:rsidR="00E8369E" w:rsidRPr="00FA1552" w:rsidRDefault="00E8369E" w:rsidP="00E8369E">
      <w:pPr>
        <w:pStyle w:val="a3"/>
        <w:divId w:val="214895571"/>
        <w:rPr>
          <w:b/>
          <w:sz w:val="21"/>
          <w:szCs w:val="21"/>
        </w:rPr>
      </w:pPr>
      <w:r w:rsidRPr="00FA1552">
        <w:rPr>
          <w:rFonts w:hint="eastAsia"/>
          <w:b/>
          <w:sz w:val="21"/>
          <w:szCs w:val="21"/>
        </w:rPr>
        <w:t xml:space="preserve">                                                        </w:t>
      </w:r>
      <w:r>
        <w:rPr>
          <w:rFonts w:hint="eastAsia"/>
          <w:b/>
          <w:sz w:val="21"/>
          <w:szCs w:val="21"/>
        </w:rPr>
        <w:t xml:space="preserve">     </w:t>
      </w:r>
      <w:r w:rsidRPr="00FA1552">
        <w:rPr>
          <w:rFonts w:hint="eastAsia"/>
          <w:b/>
          <w:sz w:val="21"/>
          <w:szCs w:val="21"/>
        </w:rPr>
        <w:t xml:space="preserve"> 董事长：吴协恩</w:t>
      </w:r>
    </w:p>
    <w:p w:rsidR="00E8369E" w:rsidRPr="00FA1552" w:rsidRDefault="00E8369E" w:rsidP="00E8369E">
      <w:pPr>
        <w:pStyle w:val="a3"/>
        <w:divId w:val="214895571"/>
        <w:rPr>
          <w:b/>
          <w:sz w:val="21"/>
          <w:szCs w:val="21"/>
        </w:rPr>
      </w:pPr>
      <w:r w:rsidRPr="00FA1552">
        <w:rPr>
          <w:rFonts w:hint="eastAsia"/>
          <w:b/>
          <w:sz w:val="21"/>
          <w:szCs w:val="21"/>
        </w:rPr>
        <w:t xml:space="preserve">                                                  </w:t>
      </w:r>
      <w:r>
        <w:rPr>
          <w:rFonts w:hint="eastAsia"/>
          <w:b/>
          <w:sz w:val="21"/>
          <w:szCs w:val="21"/>
        </w:rPr>
        <w:t xml:space="preserve">          </w:t>
      </w:r>
      <w:r w:rsidRPr="00FA1552">
        <w:rPr>
          <w:rFonts w:hint="eastAsia"/>
          <w:b/>
          <w:sz w:val="21"/>
          <w:szCs w:val="21"/>
        </w:rPr>
        <w:t xml:space="preserve">  </w:t>
      </w:r>
      <w:r>
        <w:rPr>
          <w:rFonts w:hint="eastAsia"/>
          <w:b/>
          <w:sz w:val="21"/>
          <w:szCs w:val="21"/>
        </w:rPr>
        <w:t>2024</w:t>
      </w:r>
      <w:r w:rsidRPr="00FA1552">
        <w:rPr>
          <w:b/>
          <w:sz w:val="21"/>
          <w:szCs w:val="21"/>
        </w:rPr>
        <w:t>年</w:t>
      </w:r>
      <w:r>
        <w:rPr>
          <w:rFonts w:hint="eastAsia"/>
          <w:b/>
          <w:sz w:val="21"/>
          <w:szCs w:val="21"/>
        </w:rPr>
        <w:t>8</w:t>
      </w:r>
      <w:r w:rsidRPr="00FA1552">
        <w:rPr>
          <w:b/>
          <w:sz w:val="21"/>
          <w:szCs w:val="21"/>
        </w:rPr>
        <w:t>月</w:t>
      </w:r>
      <w:r>
        <w:rPr>
          <w:rFonts w:hint="eastAsia"/>
          <w:b/>
          <w:sz w:val="21"/>
          <w:szCs w:val="21"/>
        </w:rPr>
        <w:t>29</w:t>
      </w:r>
      <w:r>
        <w:rPr>
          <w:b/>
          <w:sz w:val="21"/>
          <w:szCs w:val="21"/>
        </w:rPr>
        <w:t>日</w:t>
      </w:r>
    </w:p>
    <w:p w:rsidR="00E8369E" w:rsidRPr="002D1C59" w:rsidRDefault="00E8369E" w:rsidP="002D1C59">
      <w:pPr>
        <w:pStyle w:val="a3"/>
        <w:adjustRightInd w:val="0"/>
        <w:snapToGrid w:val="0"/>
        <w:spacing w:before="0" w:beforeAutospacing="0" w:after="0" w:afterAutospacing="0" w:line="360" w:lineRule="auto"/>
        <w:ind w:firstLineChars="200" w:firstLine="360"/>
        <w:divId w:val="214895571"/>
        <w:rPr>
          <w:sz w:val="18"/>
          <w:szCs w:val="18"/>
        </w:rPr>
      </w:pPr>
    </w:p>
    <w:sectPr w:rsidR="00E8369E" w:rsidRPr="002D1C59">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2D" w:rsidRDefault="00D53F2D">
      <w:r>
        <w:separator/>
      </w:r>
    </w:p>
  </w:endnote>
  <w:endnote w:type="continuationSeparator" w:id="0">
    <w:p w:rsidR="00D53F2D" w:rsidRDefault="00D5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65" w:rsidRDefault="00C52C48" w:rsidP="00E8369E">
    <w:pPr>
      <w:pStyle w:val="fotter1"/>
      <w:jc w:val="center"/>
    </w:pPr>
    <w:r>
      <w:fldChar w:fldCharType="begin"/>
    </w:r>
    <w:r>
      <w:instrText>PAGE   \* MERGEFORMAT</w:instrText>
    </w:r>
    <w:r>
      <w:fldChar w:fldCharType="separate"/>
    </w:r>
    <w:r w:rsidR="000505B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2D" w:rsidRDefault="00D53F2D">
      <w:r>
        <w:separator/>
      </w:r>
    </w:p>
  </w:footnote>
  <w:footnote w:type="continuationSeparator" w:id="0">
    <w:p w:rsidR="00D53F2D" w:rsidRDefault="00D5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65" w:rsidRDefault="00C52C48">
    <w:pPr>
      <w:pStyle w:val="Header1"/>
      <w:pBdr>
        <w:bottom w:val="single" w:sz="6" w:space="1" w:color="auto"/>
      </w:pBdr>
    </w:pPr>
    <w:r>
      <w:t>江苏华西村股份有限公司2024年半年度报告摘要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12365"/>
    <w:rsid w:val="000505B4"/>
    <w:rsid w:val="00196335"/>
    <w:rsid w:val="002D1C59"/>
    <w:rsid w:val="00336858"/>
    <w:rsid w:val="003505BD"/>
    <w:rsid w:val="003D7356"/>
    <w:rsid w:val="00595D19"/>
    <w:rsid w:val="005A57E7"/>
    <w:rsid w:val="006B3C2A"/>
    <w:rsid w:val="007F3D68"/>
    <w:rsid w:val="0082540B"/>
    <w:rsid w:val="00BC239B"/>
    <w:rsid w:val="00BF79F8"/>
    <w:rsid w:val="00C52C48"/>
    <w:rsid w:val="00D53F2D"/>
    <w:rsid w:val="00DC2811"/>
    <w:rsid w:val="00DC5184"/>
    <w:rsid w:val="00E12365"/>
    <w:rsid w:val="00E8369E"/>
    <w:rsid w:val="00F0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E836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369E"/>
    <w:rPr>
      <w:sz w:val="18"/>
      <w:szCs w:val="18"/>
    </w:rPr>
  </w:style>
  <w:style w:type="paragraph" w:styleId="a5">
    <w:name w:val="footer"/>
    <w:basedOn w:val="a"/>
    <w:link w:val="Char0"/>
    <w:uiPriority w:val="99"/>
    <w:unhideWhenUsed/>
    <w:rsid w:val="00E8369E"/>
    <w:pPr>
      <w:tabs>
        <w:tab w:val="center" w:pos="4153"/>
        <w:tab w:val="right" w:pos="8306"/>
      </w:tabs>
      <w:snapToGrid w:val="0"/>
    </w:pPr>
    <w:rPr>
      <w:sz w:val="18"/>
      <w:szCs w:val="18"/>
    </w:rPr>
  </w:style>
  <w:style w:type="character" w:customStyle="1" w:styleId="Char0">
    <w:name w:val="页脚 Char"/>
    <w:basedOn w:val="a0"/>
    <w:link w:val="a5"/>
    <w:uiPriority w:val="99"/>
    <w:rsid w:val="00E836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E836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369E"/>
    <w:rPr>
      <w:sz w:val="18"/>
      <w:szCs w:val="18"/>
    </w:rPr>
  </w:style>
  <w:style w:type="paragraph" w:styleId="a5">
    <w:name w:val="footer"/>
    <w:basedOn w:val="a"/>
    <w:link w:val="Char0"/>
    <w:uiPriority w:val="99"/>
    <w:unhideWhenUsed/>
    <w:rsid w:val="00E8369E"/>
    <w:pPr>
      <w:tabs>
        <w:tab w:val="center" w:pos="4153"/>
        <w:tab w:val="right" w:pos="8306"/>
      </w:tabs>
      <w:snapToGrid w:val="0"/>
    </w:pPr>
    <w:rPr>
      <w:sz w:val="18"/>
      <w:szCs w:val="18"/>
    </w:rPr>
  </w:style>
  <w:style w:type="character" w:customStyle="1" w:styleId="Char0">
    <w:name w:val="页脚 Char"/>
    <w:basedOn w:val="a0"/>
    <w:link w:val="a5"/>
    <w:uiPriority w:val="99"/>
    <w:rsid w:val="00E836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5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11</cp:revision>
  <dcterms:created xsi:type="dcterms:W3CDTF">2024-08-19T00:37:00Z</dcterms:created>
  <dcterms:modified xsi:type="dcterms:W3CDTF">2024-08-28T23:59:00Z</dcterms:modified>
</cp:coreProperties>
</file>