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B1" w:rsidRPr="004134A9" w:rsidRDefault="005C72B1" w:rsidP="005C72B1">
      <w:pPr>
        <w:adjustRightInd w:val="0"/>
        <w:snapToGrid w:val="0"/>
        <w:spacing w:line="360" w:lineRule="auto"/>
        <w:jc w:val="center"/>
        <w:rPr>
          <w:rFonts w:asciiTheme="minorEastAsia" w:eastAsiaTheme="minorEastAsia" w:hAnsiTheme="minorEastAsia"/>
          <w:bCs/>
          <w:sz w:val="24"/>
        </w:rPr>
      </w:pPr>
      <w:r w:rsidRPr="004134A9">
        <w:rPr>
          <w:rFonts w:asciiTheme="minorEastAsia" w:eastAsiaTheme="minorEastAsia" w:hAnsiTheme="minorEastAsia"/>
          <w:kern w:val="0"/>
          <w:sz w:val="24"/>
        </w:rPr>
        <w:t>证券</w:t>
      </w:r>
      <w:r w:rsidRPr="004134A9">
        <w:rPr>
          <w:rFonts w:asciiTheme="minorEastAsia" w:eastAsiaTheme="minorEastAsia" w:hAnsiTheme="minorEastAsia"/>
          <w:bCs/>
          <w:sz w:val="24"/>
        </w:rPr>
        <w:t>代码：000936         证券简称：华西股份</w:t>
      </w:r>
      <w:r w:rsidR="003E7C55" w:rsidRPr="004134A9">
        <w:rPr>
          <w:rFonts w:asciiTheme="minorEastAsia" w:eastAsiaTheme="minorEastAsia" w:hAnsiTheme="minorEastAsia" w:hint="eastAsia"/>
          <w:bCs/>
          <w:sz w:val="24"/>
        </w:rPr>
        <w:t xml:space="preserve">      </w:t>
      </w:r>
      <w:r w:rsidRPr="004134A9">
        <w:rPr>
          <w:rFonts w:asciiTheme="minorEastAsia" w:eastAsiaTheme="minorEastAsia" w:hAnsiTheme="minorEastAsia"/>
          <w:bCs/>
          <w:sz w:val="24"/>
        </w:rPr>
        <w:t>公告编号：</w:t>
      </w:r>
      <w:r w:rsidR="004E3E4F" w:rsidRPr="004134A9">
        <w:rPr>
          <w:rFonts w:asciiTheme="minorEastAsia" w:eastAsiaTheme="minorEastAsia" w:hAnsiTheme="minorEastAsia"/>
          <w:bCs/>
          <w:sz w:val="24"/>
        </w:rPr>
        <w:t>20</w:t>
      </w:r>
      <w:r w:rsidR="006D154F" w:rsidRPr="004134A9">
        <w:rPr>
          <w:rFonts w:asciiTheme="minorEastAsia" w:eastAsiaTheme="minorEastAsia" w:hAnsiTheme="minorEastAsia" w:hint="eastAsia"/>
          <w:bCs/>
          <w:sz w:val="24"/>
        </w:rPr>
        <w:t>2</w:t>
      </w:r>
      <w:r w:rsidR="003C01CE" w:rsidRPr="004134A9">
        <w:rPr>
          <w:rFonts w:asciiTheme="minorEastAsia" w:eastAsiaTheme="minorEastAsia" w:hAnsiTheme="minorEastAsia" w:hint="eastAsia"/>
          <w:bCs/>
          <w:sz w:val="24"/>
        </w:rPr>
        <w:t>4</w:t>
      </w:r>
      <w:r w:rsidR="004E3E4F" w:rsidRPr="004134A9">
        <w:rPr>
          <w:rFonts w:asciiTheme="minorEastAsia" w:eastAsiaTheme="minorEastAsia" w:hAnsiTheme="minorEastAsia"/>
          <w:bCs/>
          <w:sz w:val="24"/>
        </w:rPr>
        <w:t>-</w:t>
      </w:r>
      <w:r w:rsidR="00364A27" w:rsidRPr="004134A9">
        <w:rPr>
          <w:rFonts w:asciiTheme="minorEastAsia" w:eastAsiaTheme="minorEastAsia" w:hAnsiTheme="minorEastAsia" w:hint="eastAsia"/>
          <w:bCs/>
          <w:sz w:val="24"/>
        </w:rPr>
        <w:t>020</w:t>
      </w:r>
    </w:p>
    <w:p w:rsidR="005C72B1" w:rsidRDefault="005C72B1" w:rsidP="00E949C7">
      <w:pPr>
        <w:adjustRightInd w:val="0"/>
        <w:snapToGrid w:val="0"/>
        <w:spacing w:line="360" w:lineRule="auto"/>
        <w:jc w:val="center"/>
        <w:rPr>
          <w:rFonts w:asciiTheme="minorHAnsi" w:eastAsiaTheme="minorEastAsia" w:hAnsiTheme="minorHAnsi"/>
          <w:bCs/>
          <w:sz w:val="24"/>
        </w:rPr>
      </w:pP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江苏华西村股份有限公司</w:t>
      </w: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关于</w:t>
      </w:r>
      <w:r w:rsidR="00876414">
        <w:rPr>
          <w:rFonts w:asciiTheme="minorHAnsi" w:eastAsia="黑体" w:hAnsiTheme="minorHAnsi"/>
          <w:b/>
          <w:sz w:val="30"/>
          <w:szCs w:val="30"/>
        </w:rPr>
        <w:t>前期会计差错更正的</w:t>
      </w:r>
      <w:r w:rsidR="00A1212E" w:rsidRPr="00C000A4">
        <w:rPr>
          <w:rFonts w:asciiTheme="minorHAnsi" w:eastAsia="黑体" w:hAnsiTheme="minorHAnsi"/>
          <w:b/>
          <w:sz w:val="30"/>
          <w:szCs w:val="30"/>
        </w:rPr>
        <w:t>公告</w:t>
      </w:r>
    </w:p>
    <w:p w:rsidR="00E949C7" w:rsidRDefault="00E949C7"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r w:rsidRPr="00827F5D">
        <w:rPr>
          <w:rFonts w:asciiTheme="minorHAnsi" w:eastAsiaTheme="minorEastAsia" w:hAnsiTheme="minorHAnsi"/>
          <w:sz w:val="24"/>
        </w:rPr>
        <w:t>本公司及董事会全体成员保证信息披露内容的真实、准确和完整，没有虚假记载、误导性陈述或重大遗漏。</w:t>
      </w:r>
    </w:p>
    <w:p w:rsidR="00A1212E"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7E7417" w:rsidRPr="002804B2" w:rsidRDefault="00876414" w:rsidP="00876414">
      <w:pPr>
        <w:tabs>
          <w:tab w:val="num" w:pos="900"/>
        </w:tabs>
        <w:adjustRightInd w:val="0"/>
        <w:snapToGrid w:val="0"/>
        <w:spacing w:line="360" w:lineRule="auto"/>
        <w:ind w:firstLineChars="200" w:firstLine="480"/>
        <w:rPr>
          <w:rFonts w:asciiTheme="minorEastAsia" w:eastAsiaTheme="minorEastAsia" w:hAnsiTheme="minorEastAsia"/>
          <w:sz w:val="24"/>
        </w:rPr>
      </w:pPr>
      <w:r w:rsidRPr="00876414">
        <w:rPr>
          <w:rFonts w:asciiTheme="minorEastAsia" w:eastAsiaTheme="minorEastAsia" w:hAnsiTheme="minorEastAsia"/>
          <w:sz w:val="24"/>
        </w:rPr>
        <w:t>江苏华西村股份有限公司（以下简称“公司”）第</w:t>
      </w:r>
      <w:r>
        <w:rPr>
          <w:rFonts w:asciiTheme="minorEastAsia" w:eastAsiaTheme="minorEastAsia" w:hAnsiTheme="minorEastAsia"/>
          <w:sz w:val="24"/>
        </w:rPr>
        <w:t>九</w:t>
      </w:r>
      <w:r w:rsidRPr="00876414">
        <w:rPr>
          <w:rFonts w:asciiTheme="minorEastAsia" w:eastAsiaTheme="minorEastAsia" w:hAnsiTheme="minorEastAsia"/>
          <w:sz w:val="24"/>
        </w:rPr>
        <w:t>届董事会第</w:t>
      </w:r>
      <w:r>
        <w:rPr>
          <w:rFonts w:asciiTheme="minorEastAsia" w:eastAsiaTheme="minorEastAsia" w:hAnsiTheme="minorEastAsia"/>
          <w:sz w:val="24"/>
        </w:rPr>
        <w:t>二</w:t>
      </w:r>
      <w:r w:rsidRPr="00876414">
        <w:rPr>
          <w:rFonts w:asciiTheme="minorEastAsia" w:eastAsiaTheme="minorEastAsia" w:hAnsiTheme="minorEastAsia"/>
          <w:sz w:val="24"/>
        </w:rPr>
        <w:t>次会议、</w:t>
      </w:r>
      <w:r w:rsidR="000474BB">
        <w:rPr>
          <w:rFonts w:asciiTheme="minorEastAsia" w:eastAsiaTheme="minorEastAsia" w:hAnsiTheme="minorEastAsia"/>
          <w:sz w:val="24"/>
        </w:rPr>
        <w:t>第</w:t>
      </w:r>
      <w:r>
        <w:rPr>
          <w:rFonts w:asciiTheme="minorEastAsia" w:eastAsiaTheme="minorEastAsia" w:hAnsiTheme="minorEastAsia"/>
          <w:sz w:val="24"/>
        </w:rPr>
        <w:t>九</w:t>
      </w:r>
      <w:r w:rsidRPr="00876414">
        <w:rPr>
          <w:rFonts w:asciiTheme="minorEastAsia" w:eastAsiaTheme="minorEastAsia" w:hAnsiTheme="minorEastAsia"/>
          <w:sz w:val="24"/>
        </w:rPr>
        <w:t>届监事会第</w:t>
      </w:r>
      <w:r>
        <w:rPr>
          <w:rFonts w:asciiTheme="minorEastAsia" w:eastAsiaTheme="minorEastAsia" w:hAnsiTheme="minorEastAsia"/>
          <w:sz w:val="24"/>
        </w:rPr>
        <w:t>二</w:t>
      </w:r>
      <w:r w:rsidRPr="00876414">
        <w:rPr>
          <w:rFonts w:asciiTheme="minorEastAsia" w:eastAsiaTheme="minorEastAsia" w:hAnsiTheme="minorEastAsia"/>
          <w:sz w:val="24"/>
        </w:rPr>
        <w:t>次会议审议通过了《关于前期会计差错更正的议案》。同意按照《企业会计准则第28号-会计政策、会计估计变更和差错更正》、《公开发行证券的公司信息披露编报规则第19号一财务信息的更正及相关披露》的相关规定，</w:t>
      </w:r>
      <w:r w:rsidRPr="002804B2">
        <w:rPr>
          <w:rFonts w:asciiTheme="minorEastAsia" w:eastAsiaTheme="minorEastAsia" w:hAnsiTheme="minorEastAsia"/>
          <w:sz w:val="24"/>
        </w:rPr>
        <w:t>对公司</w:t>
      </w:r>
      <w:r w:rsidR="006328E3" w:rsidRPr="002804B2">
        <w:rPr>
          <w:rFonts w:asciiTheme="minorEastAsia" w:eastAsiaTheme="minorEastAsia" w:hAnsiTheme="minorEastAsia" w:hint="eastAsia"/>
          <w:sz w:val="24"/>
        </w:rPr>
        <w:t>202</w:t>
      </w:r>
      <w:r w:rsidR="00223B4E" w:rsidRPr="002804B2">
        <w:rPr>
          <w:rFonts w:asciiTheme="minorEastAsia" w:eastAsiaTheme="minorEastAsia" w:hAnsiTheme="minorEastAsia" w:hint="eastAsia"/>
          <w:sz w:val="24"/>
        </w:rPr>
        <w:t>2</w:t>
      </w:r>
      <w:r w:rsidRPr="002804B2">
        <w:rPr>
          <w:rFonts w:asciiTheme="minorEastAsia" w:eastAsiaTheme="minorEastAsia" w:hAnsiTheme="minorEastAsia"/>
          <w:sz w:val="24"/>
        </w:rPr>
        <w:t>年度</w:t>
      </w:r>
      <w:r w:rsidR="00223B4E" w:rsidRPr="002804B2">
        <w:rPr>
          <w:rFonts w:asciiTheme="minorEastAsia" w:eastAsiaTheme="minorEastAsia" w:hAnsiTheme="minorEastAsia" w:hint="eastAsia"/>
          <w:sz w:val="24"/>
        </w:rPr>
        <w:t>财务报表</w:t>
      </w:r>
      <w:r w:rsidRPr="002804B2">
        <w:rPr>
          <w:rFonts w:asciiTheme="minorEastAsia" w:eastAsiaTheme="minorEastAsia" w:hAnsiTheme="minorEastAsia"/>
          <w:sz w:val="24"/>
        </w:rPr>
        <w:t>进行会计差错更正。现将具体情况公告如下：</w:t>
      </w:r>
    </w:p>
    <w:p w:rsidR="00EF055F" w:rsidRDefault="00EF055F"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p>
    <w:p w:rsidR="00876414" w:rsidRDefault="004064B3"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w:t>
      </w:r>
      <w:r w:rsidR="00876414" w:rsidRPr="00876414">
        <w:rPr>
          <w:rFonts w:asciiTheme="minorEastAsia" w:eastAsiaTheme="minorEastAsia" w:hAnsiTheme="minorEastAsia" w:hint="eastAsia"/>
          <w:b/>
          <w:sz w:val="24"/>
        </w:rPr>
        <w:t>前期会计差错更正的原因及内容</w:t>
      </w:r>
    </w:p>
    <w:p w:rsidR="00560C51" w:rsidRPr="00560C51" w:rsidRDefault="00D33309" w:rsidP="00CF4960">
      <w:pPr>
        <w:tabs>
          <w:tab w:val="num" w:pos="900"/>
        </w:tabs>
        <w:adjustRightInd w:val="0"/>
        <w:snapToGrid w:val="0"/>
        <w:spacing w:line="360" w:lineRule="auto"/>
        <w:ind w:firstLineChars="200" w:firstLine="480"/>
        <w:rPr>
          <w:rFonts w:asciiTheme="minorEastAsia" w:eastAsiaTheme="minorEastAsia" w:hAnsiTheme="minorEastAsia"/>
          <w:sz w:val="24"/>
        </w:rPr>
      </w:pPr>
      <w:r w:rsidRPr="00D33309">
        <w:rPr>
          <w:rFonts w:asciiTheme="minorEastAsia" w:eastAsiaTheme="minorEastAsia" w:hAnsiTheme="minorEastAsia" w:hint="eastAsia"/>
          <w:sz w:val="24"/>
        </w:rPr>
        <w:t>截至</w:t>
      </w:r>
      <w:r w:rsidRPr="00D33309">
        <w:rPr>
          <w:rFonts w:asciiTheme="minorEastAsia" w:eastAsiaTheme="minorEastAsia" w:hAnsiTheme="minorEastAsia"/>
          <w:sz w:val="24"/>
        </w:rPr>
        <w:t>2023年12月31</w:t>
      </w:r>
      <w:r>
        <w:rPr>
          <w:rFonts w:asciiTheme="minorEastAsia" w:eastAsiaTheme="minorEastAsia" w:hAnsiTheme="minorEastAsia"/>
          <w:sz w:val="24"/>
        </w:rPr>
        <w:t>日，</w:t>
      </w:r>
      <w:r w:rsidRPr="00D33309">
        <w:rPr>
          <w:rFonts w:asciiTheme="minorEastAsia" w:eastAsiaTheme="minorEastAsia" w:hAnsiTheme="minorEastAsia"/>
          <w:sz w:val="24"/>
        </w:rPr>
        <w:t>公司通过</w:t>
      </w:r>
      <w:r>
        <w:rPr>
          <w:rFonts w:asciiTheme="minorEastAsia" w:eastAsiaTheme="minorEastAsia" w:hAnsiTheme="minorEastAsia"/>
          <w:sz w:val="24"/>
        </w:rPr>
        <w:t>控制主体</w:t>
      </w:r>
      <w:r w:rsidR="003F02A8">
        <w:rPr>
          <w:rFonts w:asciiTheme="minorEastAsia" w:eastAsiaTheme="minorEastAsia" w:hAnsiTheme="minorEastAsia"/>
          <w:sz w:val="24"/>
        </w:rPr>
        <w:t>上海启</w:t>
      </w:r>
      <w:proofErr w:type="gramStart"/>
      <w:r w:rsidR="003F02A8">
        <w:rPr>
          <w:rFonts w:asciiTheme="minorEastAsia" w:eastAsiaTheme="minorEastAsia" w:hAnsiTheme="minorEastAsia"/>
          <w:sz w:val="24"/>
        </w:rPr>
        <w:t>澜</w:t>
      </w:r>
      <w:proofErr w:type="gramEnd"/>
      <w:r w:rsidR="003F02A8">
        <w:rPr>
          <w:rFonts w:asciiTheme="minorEastAsia" w:eastAsiaTheme="minorEastAsia" w:hAnsiTheme="minorEastAsia"/>
          <w:sz w:val="24"/>
        </w:rPr>
        <w:t>企业管理咨询合伙企业（有限合伙）间接持有</w:t>
      </w:r>
      <w:r w:rsidRPr="00D33309">
        <w:rPr>
          <w:rFonts w:asciiTheme="minorEastAsia" w:eastAsiaTheme="minorEastAsia" w:hAnsiTheme="minorEastAsia"/>
          <w:sz w:val="24"/>
        </w:rPr>
        <w:t>Source Photonics Holdings (Cayman) Limited（以下简称“索尔思光电”）27.66%的股权。</w:t>
      </w:r>
      <w:bookmarkStart w:id="0" w:name="_Hlk164437318"/>
      <w:proofErr w:type="gramStart"/>
      <w:r w:rsidR="00CF4960" w:rsidRPr="00CF4960">
        <w:rPr>
          <w:rFonts w:asciiTheme="minorEastAsia" w:eastAsiaTheme="minorEastAsia" w:hAnsiTheme="minorEastAsia" w:hint="eastAsia"/>
          <w:sz w:val="24"/>
        </w:rPr>
        <w:t>因能够</w:t>
      </w:r>
      <w:proofErr w:type="gramEnd"/>
      <w:r w:rsidR="00CF4960" w:rsidRPr="00CF4960">
        <w:rPr>
          <w:rFonts w:asciiTheme="minorEastAsia" w:eastAsiaTheme="minorEastAsia" w:hAnsiTheme="minorEastAsia" w:hint="eastAsia"/>
          <w:sz w:val="24"/>
        </w:rPr>
        <w:t>对索尔思光电施加重大影响，</w:t>
      </w:r>
      <w:r w:rsidR="002804B2" w:rsidRPr="002804B2">
        <w:rPr>
          <w:rFonts w:asciiTheme="minorEastAsia" w:eastAsiaTheme="minorEastAsia" w:hAnsiTheme="minorEastAsia" w:hint="eastAsia"/>
          <w:sz w:val="24"/>
        </w:rPr>
        <w:t>根据《企业会计准则》的相关规定，</w:t>
      </w:r>
      <w:bookmarkEnd w:id="0"/>
      <w:r w:rsidR="002804B2" w:rsidRPr="002804B2">
        <w:rPr>
          <w:rFonts w:asciiTheme="minorEastAsia" w:eastAsiaTheme="minorEastAsia" w:hAnsiTheme="minorEastAsia" w:hint="eastAsia"/>
          <w:sz w:val="24"/>
        </w:rPr>
        <w:t>公司按照权益法核算对其持有的长期股权投资。</w:t>
      </w:r>
      <w:bookmarkStart w:id="1" w:name="_Hlk164439502"/>
      <w:r w:rsidR="00560C51" w:rsidRPr="00D33309">
        <w:rPr>
          <w:rFonts w:asciiTheme="minorEastAsia" w:eastAsiaTheme="minorEastAsia" w:hAnsiTheme="minorEastAsia"/>
          <w:sz w:val="24"/>
        </w:rPr>
        <w:t>近期，</w:t>
      </w:r>
      <w:r w:rsidR="00D0270D" w:rsidRPr="00D33309">
        <w:rPr>
          <w:rFonts w:asciiTheme="minorEastAsia" w:eastAsiaTheme="minorEastAsia" w:hAnsiTheme="minorEastAsia"/>
          <w:sz w:val="24"/>
        </w:rPr>
        <w:t>索尔思光电</w:t>
      </w:r>
      <w:r w:rsidR="00D0270D">
        <w:rPr>
          <w:rFonts w:asciiTheme="minorEastAsia" w:eastAsiaTheme="minorEastAsia" w:hAnsiTheme="minorEastAsia"/>
          <w:sz w:val="24"/>
        </w:rPr>
        <w:t>聘请的审计机构在</w:t>
      </w:r>
      <w:r w:rsidR="00560C51" w:rsidRPr="00D33309">
        <w:rPr>
          <w:rFonts w:asciiTheme="minorEastAsia" w:eastAsiaTheme="minorEastAsia" w:hAnsiTheme="minorEastAsia"/>
          <w:sz w:val="24"/>
        </w:rPr>
        <w:t>审计过程中</w:t>
      </w:r>
      <w:r w:rsidR="00D0270D">
        <w:rPr>
          <w:rFonts w:asciiTheme="minorEastAsia" w:eastAsiaTheme="minorEastAsia" w:hAnsiTheme="minorEastAsia"/>
          <w:sz w:val="24"/>
        </w:rPr>
        <w:t>，</w:t>
      </w:r>
      <w:r w:rsidR="00D0270D">
        <w:rPr>
          <w:rFonts w:asciiTheme="minorEastAsia" w:eastAsiaTheme="minorEastAsia" w:hAnsiTheme="minorEastAsia" w:hint="eastAsia"/>
          <w:sz w:val="24"/>
        </w:rPr>
        <w:t>发现了前期会计差错事项，需</w:t>
      </w:r>
      <w:r w:rsidR="00D0270D">
        <w:rPr>
          <w:rFonts w:asciiTheme="minorEastAsia" w:eastAsiaTheme="minorEastAsia" w:hAnsiTheme="minorEastAsia"/>
          <w:sz w:val="24"/>
        </w:rPr>
        <w:t>对相关数据进行</w:t>
      </w:r>
      <w:r w:rsidR="00560C51" w:rsidRPr="00D33309">
        <w:rPr>
          <w:rFonts w:asciiTheme="minorEastAsia" w:eastAsiaTheme="minorEastAsia" w:hAnsiTheme="minorEastAsia"/>
          <w:sz w:val="24"/>
        </w:rPr>
        <w:t>调整。</w:t>
      </w:r>
      <w:r w:rsidR="00CF4960">
        <w:rPr>
          <w:rFonts w:asciiTheme="minorEastAsia" w:eastAsiaTheme="minorEastAsia" w:hAnsiTheme="minorEastAsia"/>
          <w:sz w:val="24"/>
        </w:rPr>
        <w:t>经</w:t>
      </w:r>
      <w:r w:rsidR="00560C51" w:rsidRPr="00D33309">
        <w:rPr>
          <w:rFonts w:asciiTheme="minorEastAsia" w:eastAsiaTheme="minorEastAsia" w:hAnsiTheme="minorEastAsia"/>
          <w:sz w:val="24"/>
        </w:rPr>
        <w:t>公司与索尔思光电管理层沟通，并对索尔思光电会计数据更正原因进行了解及分析复核</w:t>
      </w:r>
      <w:r w:rsidR="00CF4960">
        <w:rPr>
          <w:rFonts w:asciiTheme="minorEastAsia" w:eastAsiaTheme="minorEastAsia" w:hAnsiTheme="minorEastAsia"/>
          <w:sz w:val="24"/>
        </w:rPr>
        <w:t>，</w:t>
      </w:r>
      <w:r w:rsidR="00D0270D">
        <w:rPr>
          <w:rFonts w:asciiTheme="minorEastAsia" w:eastAsiaTheme="minorEastAsia" w:hAnsiTheme="minorEastAsia"/>
          <w:sz w:val="24"/>
        </w:rPr>
        <w:t>确认索尔思光电的财务报表需要更正，该事项影响了公司在相应期间对其长期股权投资及投资收益的核算，</w:t>
      </w:r>
      <w:r w:rsidR="00560C51" w:rsidRPr="00560C51">
        <w:rPr>
          <w:rFonts w:asciiTheme="minorEastAsia" w:eastAsiaTheme="minorEastAsia" w:hAnsiTheme="minorEastAsia" w:hint="eastAsia"/>
          <w:sz w:val="24"/>
        </w:rPr>
        <w:t>公司现根据相关规定对前期会计差错予以更正。</w:t>
      </w:r>
    </w:p>
    <w:bookmarkEnd w:id="1"/>
    <w:p w:rsidR="00653630" w:rsidRPr="00560C51" w:rsidRDefault="00653630" w:rsidP="00560C51">
      <w:pPr>
        <w:spacing w:line="360" w:lineRule="auto"/>
        <w:ind w:firstLine="420"/>
        <w:rPr>
          <w:rFonts w:asciiTheme="minorEastAsia" w:eastAsiaTheme="minorEastAsia" w:hAnsiTheme="minorEastAsia"/>
          <w:sz w:val="24"/>
        </w:rPr>
      </w:pPr>
    </w:p>
    <w:p w:rsidR="00876414" w:rsidRDefault="00876414"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二、前期会计差错更正的影响</w:t>
      </w:r>
    </w:p>
    <w:p w:rsidR="007523A1" w:rsidRDefault="007523A1" w:rsidP="007523A1">
      <w:pPr>
        <w:tabs>
          <w:tab w:val="num" w:pos="900"/>
        </w:tabs>
        <w:adjustRightInd w:val="0"/>
        <w:snapToGrid w:val="0"/>
        <w:spacing w:line="360" w:lineRule="auto"/>
        <w:ind w:firstLineChars="200" w:firstLine="480"/>
        <w:rPr>
          <w:sz w:val="24"/>
        </w:rPr>
      </w:pPr>
      <w:r w:rsidRPr="007523A1">
        <w:rPr>
          <w:sz w:val="24"/>
        </w:rPr>
        <w:t>本公司对前期会计差错影响进行了追溯重述，影响财务报表项目及金额如下：</w:t>
      </w:r>
      <w:r w:rsidR="00A802CA">
        <w:rPr>
          <w:sz w:val="24"/>
        </w:rPr>
        <w:t>（除特别说明外，货币单位为人民币元）</w:t>
      </w:r>
    </w:p>
    <w:p w:rsidR="002804B2" w:rsidRPr="002804B2" w:rsidRDefault="002804B2" w:rsidP="002804B2">
      <w:pPr>
        <w:tabs>
          <w:tab w:val="num" w:pos="900"/>
        </w:tabs>
        <w:adjustRightInd w:val="0"/>
        <w:snapToGrid w:val="0"/>
        <w:spacing w:line="360" w:lineRule="auto"/>
        <w:ind w:firstLineChars="200" w:firstLine="480"/>
        <w:rPr>
          <w:sz w:val="24"/>
        </w:rPr>
      </w:pPr>
      <w:r w:rsidRPr="002804B2">
        <w:rPr>
          <w:rFonts w:hint="eastAsia"/>
          <w:sz w:val="24"/>
        </w:rPr>
        <w:t>1、合并财务报表</w:t>
      </w:r>
    </w:p>
    <w:p w:rsidR="002804B2" w:rsidRPr="002804B2" w:rsidRDefault="002804B2" w:rsidP="002804B2">
      <w:pPr>
        <w:tabs>
          <w:tab w:val="num" w:pos="900"/>
        </w:tabs>
        <w:adjustRightInd w:val="0"/>
        <w:snapToGrid w:val="0"/>
        <w:spacing w:line="360" w:lineRule="auto"/>
        <w:ind w:firstLineChars="200" w:firstLine="480"/>
        <w:rPr>
          <w:sz w:val="24"/>
        </w:rPr>
      </w:pPr>
      <w:r w:rsidRPr="002804B2">
        <w:rPr>
          <w:rFonts w:hint="eastAsia"/>
          <w:sz w:val="24"/>
        </w:rPr>
        <w:lastRenderedPageBreak/>
        <w:t>（1）合并资产负债表项目</w:t>
      </w:r>
    </w:p>
    <w:tbl>
      <w:tblPr>
        <w:tblW w:w="86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8"/>
        <w:gridCol w:w="2093"/>
        <w:gridCol w:w="1910"/>
      </w:tblGrid>
      <w:tr w:rsidR="002804B2" w:rsidRPr="002804B2" w:rsidTr="002804B2">
        <w:trPr>
          <w:trHeight w:val="20"/>
        </w:trPr>
        <w:tc>
          <w:tcPr>
            <w:tcW w:w="2423" w:type="dxa"/>
            <w:vMerge w:val="restart"/>
            <w:shd w:val="clear" w:color="000000" w:fill="FFFFFF"/>
            <w:vAlign w:val="center"/>
            <w:hideMark/>
          </w:tcPr>
          <w:p w:rsidR="002804B2" w:rsidRPr="002804B2" w:rsidRDefault="002804B2" w:rsidP="002804B2">
            <w:pPr>
              <w:widowControl/>
              <w:spacing w:line="400" w:lineRule="exact"/>
              <w:jc w:val="center"/>
              <w:rPr>
                <w:rFonts w:asciiTheme="minorEastAsia" w:eastAsiaTheme="minorEastAsia" w:hAnsiTheme="minorEastAsia" w:cs="Arial"/>
                <w:kern w:val="0"/>
                <w:sz w:val="21"/>
                <w:szCs w:val="21"/>
              </w:rPr>
            </w:pPr>
            <w:r w:rsidRPr="002804B2">
              <w:rPr>
                <w:rFonts w:asciiTheme="minorEastAsia" w:eastAsiaTheme="minorEastAsia" w:hAnsiTheme="minorEastAsia" w:cs="Arial" w:hint="eastAsia"/>
                <w:kern w:val="0"/>
                <w:sz w:val="21"/>
                <w:szCs w:val="21"/>
              </w:rPr>
              <w:t>项</w:t>
            </w:r>
            <w:r w:rsidR="00560C51">
              <w:rPr>
                <w:rFonts w:asciiTheme="minorEastAsia" w:eastAsiaTheme="minorEastAsia" w:hAnsiTheme="minorEastAsia" w:cs="Arial" w:hint="eastAsia"/>
                <w:kern w:val="0"/>
                <w:sz w:val="21"/>
                <w:szCs w:val="21"/>
              </w:rPr>
              <w:t xml:space="preserve"> </w:t>
            </w:r>
            <w:r w:rsidRPr="002804B2">
              <w:rPr>
                <w:rFonts w:asciiTheme="minorEastAsia" w:eastAsiaTheme="minorEastAsia" w:hAnsiTheme="minorEastAsia" w:cs="Arial" w:hint="eastAsia"/>
                <w:kern w:val="0"/>
                <w:sz w:val="21"/>
                <w:szCs w:val="21"/>
              </w:rPr>
              <w:t>目</w:t>
            </w:r>
          </w:p>
        </w:tc>
        <w:tc>
          <w:tcPr>
            <w:tcW w:w="6257" w:type="dxa"/>
            <w:gridSpan w:val="3"/>
            <w:shd w:val="clear" w:color="auto" w:fill="auto"/>
            <w:noWrap/>
            <w:vAlign w:val="center"/>
            <w:hideMark/>
          </w:tcPr>
          <w:p w:rsidR="002804B2" w:rsidRPr="002804B2" w:rsidRDefault="002804B2" w:rsidP="002804B2">
            <w:pPr>
              <w:widowControl/>
              <w:spacing w:line="400" w:lineRule="exact"/>
              <w:jc w:val="center"/>
              <w:rPr>
                <w:rFonts w:asciiTheme="minorEastAsia" w:eastAsiaTheme="minorEastAsia" w:hAnsiTheme="minorEastAsia" w:cs="Arial"/>
                <w:kern w:val="0"/>
                <w:sz w:val="21"/>
                <w:szCs w:val="21"/>
              </w:rPr>
            </w:pPr>
            <w:r w:rsidRPr="002804B2">
              <w:rPr>
                <w:rFonts w:asciiTheme="minorEastAsia" w:eastAsiaTheme="minorEastAsia" w:hAnsiTheme="minorEastAsia" w:cs="Arial" w:hint="eastAsia"/>
                <w:kern w:val="0"/>
                <w:sz w:val="21"/>
                <w:szCs w:val="21"/>
              </w:rPr>
              <w:t>2022年12月31日</w:t>
            </w:r>
          </w:p>
        </w:tc>
      </w:tr>
      <w:tr w:rsidR="002804B2" w:rsidRPr="002804B2" w:rsidTr="002804B2">
        <w:trPr>
          <w:trHeight w:val="20"/>
        </w:trPr>
        <w:tc>
          <w:tcPr>
            <w:tcW w:w="2423" w:type="dxa"/>
            <w:vMerge/>
            <w:vAlign w:val="center"/>
            <w:hideMark/>
          </w:tcPr>
          <w:p w:rsidR="002804B2" w:rsidRPr="002804B2" w:rsidRDefault="002804B2" w:rsidP="002804B2">
            <w:pPr>
              <w:widowControl/>
              <w:spacing w:line="400" w:lineRule="exact"/>
              <w:rPr>
                <w:rFonts w:asciiTheme="minorEastAsia" w:eastAsiaTheme="minorEastAsia" w:hAnsiTheme="minorEastAsia" w:cs="Arial"/>
                <w:kern w:val="0"/>
                <w:sz w:val="21"/>
                <w:szCs w:val="21"/>
              </w:rPr>
            </w:pPr>
          </w:p>
        </w:tc>
        <w:tc>
          <w:tcPr>
            <w:tcW w:w="2268" w:type="dxa"/>
            <w:shd w:val="clear" w:color="auto" w:fill="auto"/>
            <w:noWrap/>
            <w:vAlign w:val="center"/>
            <w:hideMark/>
          </w:tcPr>
          <w:p w:rsidR="002804B2" w:rsidRPr="002804B2" w:rsidRDefault="002804B2" w:rsidP="002804B2">
            <w:pPr>
              <w:widowControl/>
              <w:spacing w:line="400" w:lineRule="exact"/>
              <w:jc w:val="center"/>
              <w:rPr>
                <w:rFonts w:asciiTheme="minorEastAsia" w:eastAsiaTheme="minorEastAsia" w:hAnsiTheme="minorEastAsia" w:cs="Arial"/>
                <w:kern w:val="0"/>
                <w:sz w:val="21"/>
                <w:szCs w:val="21"/>
              </w:rPr>
            </w:pPr>
            <w:r w:rsidRPr="002804B2">
              <w:rPr>
                <w:rFonts w:asciiTheme="minorEastAsia" w:eastAsiaTheme="minorEastAsia" w:hAnsiTheme="minorEastAsia" w:cs="Arial" w:hint="eastAsia"/>
                <w:kern w:val="0"/>
                <w:sz w:val="21"/>
                <w:szCs w:val="21"/>
              </w:rPr>
              <w:t>更正前</w:t>
            </w:r>
          </w:p>
        </w:tc>
        <w:tc>
          <w:tcPr>
            <w:tcW w:w="2093" w:type="dxa"/>
            <w:shd w:val="clear" w:color="auto" w:fill="auto"/>
            <w:noWrap/>
            <w:vAlign w:val="center"/>
            <w:hideMark/>
          </w:tcPr>
          <w:p w:rsidR="002804B2" w:rsidRPr="002804B2" w:rsidRDefault="002804B2" w:rsidP="002804B2">
            <w:pPr>
              <w:widowControl/>
              <w:spacing w:line="400" w:lineRule="exact"/>
              <w:jc w:val="center"/>
              <w:rPr>
                <w:rFonts w:asciiTheme="minorEastAsia" w:eastAsiaTheme="minorEastAsia" w:hAnsiTheme="minorEastAsia" w:cs="Arial"/>
                <w:kern w:val="0"/>
                <w:sz w:val="21"/>
                <w:szCs w:val="21"/>
              </w:rPr>
            </w:pPr>
            <w:r w:rsidRPr="002804B2">
              <w:rPr>
                <w:rFonts w:asciiTheme="minorEastAsia" w:eastAsiaTheme="minorEastAsia" w:hAnsiTheme="minorEastAsia" w:cs="Arial" w:hint="eastAsia"/>
                <w:kern w:val="0"/>
                <w:sz w:val="21"/>
                <w:szCs w:val="21"/>
              </w:rPr>
              <w:t>更正金额</w:t>
            </w:r>
          </w:p>
        </w:tc>
        <w:tc>
          <w:tcPr>
            <w:tcW w:w="1896" w:type="dxa"/>
            <w:shd w:val="clear" w:color="auto" w:fill="auto"/>
            <w:noWrap/>
            <w:vAlign w:val="center"/>
            <w:hideMark/>
          </w:tcPr>
          <w:p w:rsidR="002804B2" w:rsidRPr="002804B2" w:rsidRDefault="002804B2" w:rsidP="002804B2">
            <w:pPr>
              <w:widowControl/>
              <w:spacing w:line="400" w:lineRule="exact"/>
              <w:jc w:val="center"/>
              <w:rPr>
                <w:rFonts w:asciiTheme="minorEastAsia" w:eastAsiaTheme="minorEastAsia" w:hAnsiTheme="minorEastAsia" w:cs="Arial"/>
                <w:kern w:val="0"/>
                <w:sz w:val="21"/>
                <w:szCs w:val="21"/>
              </w:rPr>
            </w:pPr>
            <w:r w:rsidRPr="002804B2">
              <w:rPr>
                <w:rFonts w:asciiTheme="minorEastAsia" w:eastAsiaTheme="minorEastAsia" w:hAnsiTheme="minorEastAsia" w:cs="Arial" w:hint="eastAsia"/>
                <w:kern w:val="0"/>
                <w:sz w:val="21"/>
                <w:szCs w:val="21"/>
              </w:rPr>
              <w:t>更正后</w:t>
            </w:r>
          </w:p>
        </w:tc>
      </w:tr>
      <w:tr w:rsidR="002804B2" w:rsidRPr="00674920"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长期股权投资</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3,604,952,680.26</w:t>
            </w:r>
          </w:p>
        </w:tc>
        <w:tc>
          <w:tcPr>
            <w:tcW w:w="2093" w:type="dxa"/>
            <w:shd w:val="clear" w:color="000000" w:fill="FFFFFF"/>
            <w:vAlign w:val="center"/>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3,611,085,231.87</w:t>
            </w:r>
          </w:p>
        </w:tc>
      </w:tr>
      <w:tr w:rsidR="002804B2" w:rsidRPr="002804B2"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非流动资产合计</w:t>
            </w:r>
          </w:p>
        </w:tc>
        <w:tc>
          <w:tcPr>
            <w:tcW w:w="2268" w:type="dxa"/>
            <w:shd w:val="clear" w:color="000000" w:fill="FFFFFF"/>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4,802,259,124.05</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4,808,391,675.66</w:t>
            </w:r>
          </w:p>
        </w:tc>
      </w:tr>
      <w:tr w:rsidR="002804B2" w:rsidRPr="00A76938"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资产总计</w:t>
            </w:r>
          </w:p>
        </w:tc>
        <w:tc>
          <w:tcPr>
            <w:tcW w:w="2268" w:type="dxa"/>
            <w:shd w:val="clear" w:color="000000" w:fill="FFFFFF"/>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6,387,934,828.61</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6,394,067,380.22</w:t>
            </w:r>
          </w:p>
        </w:tc>
      </w:tr>
      <w:tr w:rsidR="002804B2" w:rsidRPr="00674920"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资本公积</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391,063,918.14</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-7,247,575.08</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383,816,343.06</w:t>
            </w:r>
          </w:p>
        </w:tc>
      </w:tr>
      <w:tr w:rsidR="002804B2" w:rsidRPr="00674920"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其他综合收益</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-20,801,622.91</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34,099,497.84</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13,297,874.93</w:t>
            </w:r>
          </w:p>
        </w:tc>
      </w:tr>
      <w:tr w:rsidR="002804B2" w:rsidRPr="00674920" w:rsidTr="002804B2">
        <w:trPr>
          <w:trHeight w:val="20"/>
        </w:trPr>
        <w:tc>
          <w:tcPr>
            <w:tcW w:w="2423" w:type="dxa"/>
            <w:shd w:val="clear" w:color="000000" w:fill="FFFFFF"/>
            <w:vAlign w:val="center"/>
            <w:hideMark/>
          </w:tcPr>
          <w:p w:rsidR="002804B2" w:rsidRPr="00E82F60" w:rsidRDefault="00384CAD"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未</w:t>
            </w:r>
            <w:r w:rsidR="002804B2" w:rsidRPr="00E82F60">
              <w:rPr>
                <w:rFonts w:asciiTheme="minorEastAsia" w:eastAsiaTheme="minorEastAsia" w:hAnsiTheme="minorEastAsia" w:cs="Arial" w:hint="eastAsia"/>
                <w:kern w:val="0"/>
                <w:sz w:val="21"/>
                <w:szCs w:val="21"/>
              </w:rPr>
              <w:t>分配利润</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3,366,413,504.27</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-20,719,371.15</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3,345,694,133.12</w:t>
            </w:r>
          </w:p>
        </w:tc>
      </w:tr>
      <w:tr w:rsidR="002804B2" w:rsidRPr="00A21C03" w:rsidTr="002804B2">
        <w:trPr>
          <w:trHeight w:val="20"/>
        </w:trPr>
        <w:tc>
          <w:tcPr>
            <w:tcW w:w="2423" w:type="dxa"/>
            <w:shd w:val="clear" w:color="000000" w:fill="FFFFFF"/>
            <w:vAlign w:val="center"/>
            <w:hideMark/>
          </w:tcPr>
          <w:p w:rsidR="002804B2" w:rsidRPr="00E82F60" w:rsidRDefault="002804B2" w:rsidP="00B554AA">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归属于母公司</w:t>
            </w:r>
            <w:r w:rsidR="00B554AA">
              <w:rPr>
                <w:rFonts w:asciiTheme="minorEastAsia" w:eastAsiaTheme="minorEastAsia" w:hAnsiTheme="minorEastAsia" w:cs="Arial" w:hint="eastAsia"/>
                <w:kern w:val="0"/>
                <w:sz w:val="21"/>
                <w:szCs w:val="21"/>
              </w:rPr>
              <w:t>股东</w:t>
            </w:r>
            <w:r w:rsidRPr="00E82F60">
              <w:rPr>
                <w:rFonts w:asciiTheme="minorEastAsia" w:eastAsiaTheme="minorEastAsia" w:hAnsiTheme="minorEastAsia" w:cs="Arial" w:hint="eastAsia"/>
                <w:kern w:val="0"/>
                <w:sz w:val="21"/>
                <w:szCs w:val="21"/>
              </w:rPr>
              <w:t>权益合计</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5,048,026,392.93</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5,054,158,944.54</w:t>
            </w:r>
          </w:p>
        </w:tc>
      </w:tr>
      <w:tr w:rsidR="002804B2" w:rsidRPr="00A76938" w:rsidTr="002804B2">
        <w:trPr>
          <w:trHeight w:val="20"/>
        </w:trPr>
        <w:tc>
          <w:tcPr>
            <w:tcW w:w="2423" w:type="dxa"/>
            <w:shd w:val="clear" w:color="000000" w:fill="FFFFFF"/>
            <w:vAlign w:val="center"/>
            <w:hideMark/>
          </w:tcPr>
          <w:p w:rsidR="002804B2" w:rsidRPr="00E82F60" w:rsidRDefault="00B554AA" w:rsidP="002804B2">
            <w:pPr>
              <w:widowControl/>
              <w:spacing w:line="400" w:lineRule="exact"/>
              <w:rPr>
                <w:rFonts w:asciiTheme="minorEastAsia" w:eastAsiaTheme="minorEastAsia" w:hAnsiTheme="minorEastAsia" w:cs="Arial"/>
                <w:kern w:val="0"/>
                <w:sz w:val="21"/>
                <w:szCs w:val="21"/>
              </w:rPr>
            </w:pPr>
            <w:r>
              <w:rPr>
                <w:rFonts w:asciiTheme="minorEastAsia" w:eastAsiaTheme="minorEastAsia" w:hAnsiTheme="minorEastAsia" w:cs="Arial" w:hint="eastAsia"/>
                <w:kern w:val="0"/>
                <w:sz w:val="21"/>
                <w:szCs w:val="21"/>
              </w:rPr>
              <w:t>股东</w:t>
            </w:r>
            <w:r w:rsidR="002804B2" w:rsidRPr="00E82F60">
              <w:rPr>
                <w:rFonts w:asciiTheme="minorEastAsia" w:eastAsiaTheme="minorEastAsia" w:hAnsiTheme="minorEastAsia" w:cs="Arial" w:hint="eastAsia"/>
                <w:kern w:val="0"/>
                <w:sz w:val="21"/>
                <w:szCs w:val="21"/>
              </w:rPr>
              <w:t>权益合计</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5,048,026,392.93</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5,054,158,944.54</w:t>
            </w:r>
          </w:p>
        </w:tc>
      </w:tr>
      <w:tr w:rsidR="002804B2" w:rsidRPr="00A21C03" w:rsidTr="002804B2">
        <w:trPr>
          <w:trHeight w:val="20"/>
        </w:trPr>
        <w:tc>
          <w:tcPr>
            <w:tcW w:w="2423" w:type="dxa"/>
            <w:shd w:val="clear" w:color="000000" w:fill="FFFFFF"/>
            <w:vAlign w:val="center"/>
            <w:hideMark/>
          </w:tcPr>
          <w:p w:rsidR="002804B2" w:rsidRPr="00E82F60" w:rsidRDefault="002804B2" w:rsidP="002804B2">
            <w:pPr>
              <w:widowControl/>
              <w:spacing w:line="400" w:lineRule="exact"/>
              <w:rPr>
                <w:rFonts w:asciiTheme="minorEastAsia" w:eastAsiaTheme="minorEastAsia" w:hAnsiTheme="minorEastAsia" w:cs="Arial"/>
                <w:kern w:val="0"/>
                <w:sz w:val="21"/>
                <w:szCs w:val="21"/>
              </w:rPr>
            </w:pPr>
            <w:r w:rsidRPr="00E82F60">
              <w:rPr>
                <w:rFonts w:asciiTheme="minorEastAsia" w:eastAsiaTheme="minorEastAsia" w:hAnsiTheme="minorEastAsia" w:cs="Arial" w:hint="eastAsia"/>
                <w:kern w:val="0"/>
                <w:sz w:val="21"/>
                <w:szCs w:val="21"/>
              </w:rPr>
              <w:t>负债和</w:t>
            </w:r>
            <w:r w:rsidR="00B554AA">
              <w:rPr>
                <w:rFonts w:asciiTheme="minorEastAsia" w:eastAsiaTheme="minorEastAsia" w:hAnsiTheme="minorEastAsia" w:cs="Arial" w:hint="eastAsia"/>
                <w:kern w:val="0"/>
                <w:sz w:val="21"/>
                <w:szCs w:val="21"/>
              </w:rPr>
              <w:t>股东</w:t>
            </w:r>
            <w:r w:rsidRPr="00E82F60">
              <w:rPr>
                <w:rFonts w:asciiTheme="minorEastAsia" w:eastAsiaTheme="minorEastAsia" w:hAnsiTheme="minorEastAsia" w:cs="Arial" w:hint="eastAsia"/>
                <w:kern w:val="0"/>
                <w:sz w:val="21"/>
                <w:szCs w:val="21"/>
              </w:rPr>
              <w:t>权益总计</w:t>
            </w:r>
          </w:p>
        </w:tc>
        <w:tc>
          <w:tcPr>
            <w:tcW w:w="2268" w:type="dxa"/>
            <w:shd w:val="clear" w:color="auto" w:fill="auto"/>
            <w:noWrap/>
            <w:vAlign w:val="center"/>
            <w:hideMark/>
          </w:tcPr>
          <w:p w:rsidR="002804B2" w:rsidRPr="009C11F1" w:rsidRDefault="002804B2" w:rsidP="002804B2">
            <w:pPr>
              <w:widowControl/>
              <w:spacing w:line="400" w:lineRule="exact"/>
              <w:jc w:val="right"/>
              <w:rPr>
                <w:rFonts w:asciiTheme="minorEastAsia" w:eastAsiaTheme="minorEastAsia" w:hAnsiTheme="minorEastAsia" w:cs="Arial"/>
                <w:kern w:val="0"/>
                <w:sz w:val="21"/>
                <w:szCs w:val="21"/>
              </w:rPr>
            </w:pPr>
            <w:r w:rsidRPr="009C11F1">
              <w:rPr>
                <w:rFonts w:asciiTheme="minorEastAsia" w:eastAsiaTheme="minorEastAsia" w:hAnsiTheme="minorEastAsia" w:cs="Arial" w:hint="eastAsia"/>
                <w:kern w:val="0"/>
                <w:sz w:val="21"/>
                <w:szCs w:val="21"/>
              </w:rPr>
              <w:t>6,387,934,828.61</w:t>
            </w:r>
          </w:p>
        </w:tc>
        <w:tc>
          <w:tcPr>
            <w:tcW w:w="2093" w:type="dxa"/>
            <w:shd w:val="clear" w:color="000000" w:fill="FFFFFF"/>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6,132,551.61</w:t>
            </w:r>
          </w:p>
        </w:tc>
        <w:tc>
          <w:tcPr>
            <w:tcW w:w="1896" w:type="dxa"/>
            <w:shd w:val="clear" w:color="auto" w:fill="auto"/>
            <w:noWrap/>
            <w:vAlign w:val="center"/>
            <w:hideMark/>
          </w:tcPr>
          <w:p w:rsidR="002804B2" w:rsidRPr="00E82F60" w:rsidRDefault="002804B2" w:rsidP="002804B2">
            <w:pPr>
              <w:widowControl/>
              <w:spacing w:line="400" w:lineRule="exact"/>
              <w:jc w:val="right"/>
              <w:rPr>
                <w:rFonts w:asciiTheme="minorEastAsia" w:eastAsiaTheme="minorEastAsia" w:hAnsiTheme="minorEastAsia" w:cs="Arial"/>
                <w:b/>
                <w:kern w:val="0"/>
                <w:sz w:val="21"/>
                <w:szCs w:val="21"/>
              </w:rPr>
            </w:pPr>
            <w:r w:rsidRPr="00E82F60">
              <w:rPr>
                <w:rFonts w:asciiTheme="minorEastAsia" w:eastAsiaTheme="minorEastAsia" w:hAnsiTheme="minorEastAsia" w:cs="Arial"/>
                <w:b/>
                <w:kern w:val="0"/>
                <w:sz w:val="21"/>
                <w:szCs w:val="21"/>
              </w:rPr>
              <w:t>6,394,067,380.22</w:t>
            </w:r>
          </w:p>
        </w:tc>
      </w:tr>
    </w:tbl>
    <w:p w:rsidR="002804B2" w:rsidRPr="002804B2" w:rsidRDefault="002804B2" w:rsidP="002804B2">
      <w:pPr>
        <w:spacing w:line="440" w:lineRule="exact"/>
        <w:ind w:firstLineChars="200" w:firstLine="480"/>
        <w:rPr>
          <w:rFonts w:ascii="Arial Narrow" w:hAnsi="Arial Narrow" w:cs="Arial"/>
          <w:sz w:val="24"/>
        </w:rPr>
      </w:pPr>
      <w:r w:rsidRPr="002804B2">
        <w:rPr>
          <w:rFonts w:ascii="Arial Narrow" w:hAnsi="Arial Narrow" w:cs="Arial" w:hint="eastAsia"/>
          <w:sz w:val="24"/>
        </w:rPr>
        <w:t>说明：上表中长期股权投资、资本公积、其他综合收益更正金额为对索尔思光电</w:t>
      </w:r>
      <w:r w:rsidRPr="002804B2">
        <w:rPr>
          <w:rFonts w:ascii="Arial Narrow" w:hAnsi="Arial Narrow" w:cs="Arial"/>
          <w:sz w:val="24"/>
        </w:rPr>
        <w:t>长期股权投资权益法核算进行差错更正导致。</w:t>
      </w:r>
    </w:p>
    <w:p w:rsid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（2）合并利润表项目</w:t>
      </w:r>
    </w:p>
    <w:tbl>
      <w:tblPr>
        <w:tblW w:w="91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1843"/>
        <w:gridCol w:w="1698"/>
        <w:gridCol w:w="1698"/>
      </w:tblGrid>
      <w:tr w:rsidR="007E07B3" w:rsidRPr="007E07B3" w:rsidTr="00106C4C">
        <w:trPr>
          <w:trHeight w:val="465"/>
        </w:trPr>
        <w:tc>
          <w:tcPr>
            <w:tcW w:w="3982" w:type="dxa"/>
            <w:vMerge w:val="restart"/>
            <w:shd w:val="clear" w:color="000000" w:fill="FFFFFF"/>
            <w:noWrap/>
            <w:vAlign w:val="center"/>
            <w:hideMark/>
          </w:tcPr>
          <w:p w:rsidR="007E07B3" w:rsidRPr="007E07B3" w:rsidRDefault="007E07B3" w:rsidP="007E07B3">
            <w:pPr>
              <w:spacing w:line="400" w:lineRule="exact"/>
              <w:jc w:val="center"/>
              <w:rPr>
                <w:rFonts w:ascii="Arial" w:hAnsi="Arial" w:cs="Arial"/>
                <w:sz w:val="21"/>
                <w:szCs w:val="21"/>
              </w:rPr>
            </w:pPr>
            <w:r w:rsidRPr="007E07B3">
              <w:rPr>
                <w:rFonts w:ascii="Arial" w:hAnsi="Arial" w:cs="Arial"/>
                <w:sz w:val="21"/>
                <w:szCs w:val="21"/>
              </w:rPr>
              <w:t>项</w:t>
            </w:r>
            <w:r>
              <w:rPr>
                <w:rFonts w:ascii="Arial" w:hAnsi="Arial" w:cs="Arial" w:hint="eastAsia"/>
                <w:sz w:val="21"/>
                <w:szCs w:val="21"/>
              </w:rPr>
              <w:t xml:space="preserve">  </w:t>
            </w:r>
            <w:r w:rsidRPr="007E07B3">
              <w:rPr>
                <w:rFonts w:ascii="Arial" w:hAnsi="Arial" w:cs="Arial"/>
                <w:sz w:val="21"/>
                <w:szCs w:val="21"/>
              </w:rPr>
              <w:t>目</w:t>
            </w:r>
          </w:p>
        </w:tc>
        <w:tc>
          <w:tcPr>
            <w:tcW w:w="5148" w:type="dxa"/>
            <w:gridSpan w:val="3"/>
            <w:shd w:val="clear" w:color="000000" w:fill="FFFFFF"/>
            <w:noWrap/>
            <w:vAlign w:val="center"/>
            <w:hideMark/>
          </w:tcPr>
          <w:p w:rsidR="007E07B3" w:rsidRPr="007E07B3" w:rsidRDefault="007E07B3" w:rsidP="007E07B3">
            <w:pPr>
              <w:spacing w:line="400" w:lineRule="exact"/>
              <w:jc w:val="center"/>
              <w:rPr>
                <w:rFonts w:asciiTheme="minorEastAsia" w:eastAsiaTheme="minorEastAsia" w:hAnsiTheme="minorEastAsia" w:cs="Arial"/>
                <w:sz w:val="21"/>
                <w:szCs w:val="21"/>
              </w:rPr>
            </w:pPr>
            <w:r w:rsidRPr="007E07B3">
              <w:rPr>
                <w:rFonts w:asciiTheme="minorEastAsia" w:eastAsiaTheme="minorEastAsia" w:hAnsiTheme="minorEastAsia" w:cs="Arial"/>
                <w:sz w:val="21"/>
                <w:szCs w:val="21"/>
              </w:rPr>
              <w:t>2022年度</w:t>
            </w:r>
          </w:p>
        </w:tc>
      </w:tr>
      <w:tr w:rsidR="007E07B3" w:rsidRPr="007E07B3" w:rsidTr="00106C4C">
        <w:trPr>
          <w:trHeight w:val="465"/>
        </w:trPr>
        <w:tc>
          <w:tcPr>
            <w:tcW w:w="3982" w:type="dxa"/>
            <w:vMerge/>
            <w:vAlign w:val="center"/>
            <w:hideMark/>
          </w:tcPr>
          <w:p w:rsidR="007E07B3" w:rsidRPr="007E07B3" w:rsidRDefault="007E07B3" w:rsidP="007E07B3">
            <w:pPr>
              <w:spacing w:line="400" w:lineRule="exact"/>
              <w:rPr>
                <w:rFonts w:ascii="Arial" w:hAnsi="Arial" w:cs="Arial"/>
                <w:sz w:val="21"/>
                <w:szCs w:val="21"/>
              </w:rPr>
            </w:pPr>
          </w:p>
        </w:tc>
        <w:tc>
          <w:tcPr>
            <w:tcW w:w="1843" w:type="dxa"/>
            <w:shd w:val="clear" w:color="auto" w:fill="auto"/>
            <w:noWrap/>
            <w:vAlign w:val="center"/>
            <w:hideMark/>
          </w:tcPr>
          <w:p w:rsidR="007E07B3" w:rsidRPr="007E07B3" w:rsidRDefault="007E07B3" w:rsidP="007E07B3">
            <w:pPr>
              <w:spacing w:line="400" w:lineRule="exact"/>
              <w:jc w:val="center"/>
              <w:rPr>
                <w:rFonts w:ascii="Arial" w:hAnsi="Arial" w:cs="Arial"/>
                <w:sz w:val="21"/>
                <w:szCs w:val="21"/>
              </w:rPr>
            </w:pPr>
            <w:r w:rsidRPr="007E07B3">
              <w:rPr>
                <w:rFonts w:ascii="Arial" w:hAnsi="Arial" w:cs="Arial"/>
                <w:sz w:val="21"/>
                <w:szCs w:val="21"/>
              </w:rPr>
              <w:t>更正前</w:t>
            </w:r>
          </w:p>
        </w:tc>
        <w:tc>
          <w:tcPr>
            <w:tcW w:w="1629" w:type="dxa"/>
            <w:shd w:val="clear" w:color="auto" w:fill="auto"/>
            <w:noWrap/>
            <w:vAlign w:val="center"/>
            <w:hideMark/>
          </w:tcPr>
          <w:p w:rsidR="007E07B3" w:rsidRPr="007E07B3" w:rsidRDefault="007E07B3" w:rsidP="007E07B3">
            <w:pPr>
              <w:spacing w:line="400" w:lineRule="exact"/>
              <w:jc w:val="center"/>
              <w:rPr>
                <w:rFonts w:ascii="Arial" w:hAnsi="Arial" w:cs="Arial"/>
                <w:sz w:val="21"/>
                <w:szCs w:val="21"/>
              </w:rPr>
            </w:pPr>
            <w:r w:rsidRPr="007E07B3">
              <w:rPr>
                <w:rFonts w:ascii="Arial" w:hAnsi="Arial" w:cs="Arial"/>
                <w:sz w:val="21"/>
                <w:szCs w:val="21"/>
              </w:rPr>
              <w:t>更正金额</w:t>
            </w:r>
          </w:p>
        </w:tc>
        <w:tc>
          <w:tcPr>
            <w:tcW w:w="1676" w:type="dxa"/>
            <w:shd w:val="clear" w:color="auto" w:fill="auto"/>
            <w:noWrap/>
            <w:vAlign w:val="center"/>
            <w:hideMark/>
          </w:tcPr>
          <w:p w:rsidR="007E07B3" w:rsidRPr="007E07B3" w:rsidRDefault="007E07B3" w:rsidP="007E07B3">
            <w:pPr>
              <w:spacing w:line="400" w:lineRule="exact"/>
              <w:jc w:val="center"/>
              <w:rPr>
                <w:rFonts w:ascii="Arial" w:hAnsi="Arial" w:cs="Arial"/>
                <w:sz w:val="21"/>
                <w:szCs w:val="21"/>
              </w:rPr>
            </w:pPr>
            <w:r w:rsidRPr="007E07B3">
              <w:rPr>
                <w:rFonts w:ascii="Arial" w:hAnsi="Arial" w:cs="Arial"/>
                <w:sz w:val="21"/>
                <w:szCs w:val="21"/>
              </w:rPr>
              <w:t>更正后</w:t>
            </w:r>
          </w:p>
        </w:tc>
      </w:tr>
      <w:tr w:rsidR="007E07B3" w:rsidRPr="007E07B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投资收益（损失以“－”号填列）</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176,161,622.07</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-12,182,838.70</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163,978,783.37</w:t>
            </w:r>
          </w:p>
        </w:tc>
      </w:tr>
      <w:tr w:rsidR="007E07B3" w:rsidRPr="007E07B3" w:rsidTr="00106C4C">
        <w:trPr>
          <w:trHeight w:val="465"/>
        </w:trPr>
        <w:tc>
          <w:tcPr>
            <w:tcW w:w="3982" w:type="dxa"/>
            <w:shd w:val="clear" w:color="000000" w:fill="FFFFFF"/>
            <w:vAlign w:val="center"/>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其中：对联营企业和合营企业的投资收益</w:t>
            </w:r>
          </w:p>
        </w:tc>
        <w:tc>
          <w:tcPr>
            <w:tcW w:w="1843" w:type="dxa"/>
            <w:shd w:val="clear" w:color="auto" w:fill="auto"/>
            <w:noWrap/>
            <w:vAlign w:val="center"/>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117,323,111.51</w:t>
            </w:r>
          </w:p>
        </w:tc>
        <w:tc>
          <w:tcPr>
            <w:tcW w:w="1629"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-12,182,838.70</w:t>
            </w:r>
          </w:p>
        </w:tc>
        <w:tc>
          <w:tcPr>
            <w:tcW w:w="1676"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105,140,272.81</w:t>
            </w:r>
          </w:p>
        </w:tc>
      </w:tr>
      <w:tr w:rsidR="007E07B3" w:rsidRPr="007E07B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营业利润（亏损以“－”号填列）</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249,250,199.85</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-12,182,838.70</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237,067,361.15</w:t>
            </w:r>
          </w:p>
        </w:tc>
      </w:tr>
      <w:tr w:rsidR="007E07B3" w:rsidRPr="007E07B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利润总额（亏损总额以“－”号填列）</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251,266,548.27</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-12,182,838.70</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239,083,709.57</w:t>
            </w:r>
          </w:p>
        </w:tc>
      </w:tr>
      <w:tr w:rsidR="007E07B3" w:rsidRPr="00A21C0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净利润（净亏损以“－”号填列）</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224,088,540.39</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-12,182,838.70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211,905,701.69</w:t>
            </w:r>
          </w:p>
        </w:tc>
      </w:tr>
      <w:tr w:rsidR="007E07B3" w:rsidRPr="00A21C0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归属于母公司</w:t>
            </w:r>
            <w:r w:rsidR="00B554AA">
              <w:rPr>
                <w:rFonts w:asciiTheme="minorEastAsia" w:eastAsiaTheme="minorEastAsia" w:hAnsiTheme="minorEastAsia" w:cs="Arial"/>
                <w:sz w:val="21"/>
                <w:szCs w:val="21"/>
              </w:rPr>
              <w:t>股东</w:t>
            </w:r>
            <w:r w:rsidRPr="00E82F60">
              <w:rPr>
                <w:rFonts w:asciiTheme="minorEastAsia" w:eastAsiaTheme="minorEastAsia" w:hAnsiTheme="minorEastAsia" w:cs="Arial"/>
                <w:sz w:val="21"/>
                <w:szCs w:val="21"/>
              </w:rPr>
              <w:t>的净利润</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208,991,042.77</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-12,182,838.70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196,808,204.07</w:t>
            </w:r>
          </w:p>
        </w:tc>
      </w:tr>
      <w:tr w:rsidR="007E07B3" w:rsidRPr="007E07B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其他综合收益的税后净额</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-20,572,244.32</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29,973,417.26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　9,401,172.94</w:t>
            </w:r>
          </w:p>
        </w:tc>
      </w:tr>
      <w:tr w:rsidR="007E07B3" w:rsidRPr="007E07B3" w:rsidTr="00106C4C">
        <w:trPr>
          <w:trHeight w:val="465"/>
        </w:trPr>
        <w:tc>
          <w:tcPr>
            <w:tcW w:w="3982" w:type="dxa"/>
            <w:shd w:val="clear" w:color="000000" w:fill="FFFFFF"/>
            <w:vAlign w:val="center"/>
            <w:hideMark/>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归属母公司所有者的其他综合收益的税后净额</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-20,572,244.32</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29,973,417.26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　9,401,172.94</w:t>
            </w:r>
          </w:p>
        </w:tc>
      </w:tr>
      <w:tr w:rsidR="007E07B3" w:rsidRPr="007E07B3" w:rsidTr="00106C4C">
        <w:trPr>
          <w:trHeight w:val="465"/>
        </w:trPr>
        <w:tc>
          <w:tcPr>
            <w:tcW w:w="3982" w:type="dxa"/>
            <w:shd w:val="clear" w:color="000000" w:fill="FFFFFF"/>
            <w:vAlign w:val="center"/>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将重分类进损益的其他综合收益</w:t>
            </w:r>
            <w:bookmarkStart w:id="2" w:name="_GoBack"/>
            <w:bookmarkEnd w:id="2"/>
          </w:p>
        </w:tc>
        <w:tc>
          <w:tcPr>
            <w:tcW w:w="1843" w:type="dxa"/>
            <w:shd w:val="clear" w:color="auto" w:fill="auto"/>
            <w:noWrap/>
            <w:vAlign w:val="center"/>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-20,572,244.32</w:t>
            </w:r>
          </w:p>
        </w:tc>
        <w:tc>
          <w:tcPr>
            <w:tcW w:w="1629"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29,973,417.26　</w:t>
            </w:r>
          </w:p>
        </w:tc>
        <w:tc>
          <w:tcPr>
            <w:tcW w:w="1676"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　9,401,172.94</w:t>
            </w:r>
          </w:p>
        </w:tc>
      </w:tr>
      <w:tr w:rsidR="007E07B3" w:rsidRPr="007E07B3" w:rsidTr="00106C4C">
        <w:trPr>
          <w:trHeight w:val="465"/>
        </w:trPr>
        <w:tc>
          <w:tcPr>
            <w:tcW w:w="3982" w:type="dxa"/>
            <w:shd w:val="clear" w:color="000000" w:fill="FFFFFF"/>
            <w:vAlign w:val="center"/>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sz w:val="21"/>
                <w:szCs w:val="21"/>
              </w:rPr>
              <w:t>权益法下可转损益的其他综合收益</w:t>
            </w:r>
          </w:p>
        </w:tc>
        <w:tc>
          <w:tcPr>
            <w:tcW w:w="1843" w:type="dxa"/>
            <w:shd w:val="clear" w:color="auto" w:fill="auto"/>
            <w:noWrap/>
            <w:vAlign w:val="center"/>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-20,572,244.32</w:t>
            </w:r>
          </w:p>
        </w:tc>
        <w:tc>
          <w:tcPr>
            <w:tcW w:w="1629"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29,973,417.26　</w:t>
            </w:r>
          </w:p>
        </w:tc>
        <w:tc>
          <w:tcPr>
            <w:tcW w:w="1676" w:type="dxa"/>
            <w:shd w:val="clear" w:color="auto" w:fill="auto"/>
            <w:noWrap/>
            <w:vAlign w:val="center"/>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　9,401,172.94</w:t>
            </w:r>
          </w:p>
        </w:tc>
      </w:tr>
      <w:tr w:rsidR="007E07B3" w:rsidRPr="007E07B3" w:rsidTr="00106C4C">
        <w:trPr>
          <w:trHeight w:val="465"/>
        </w:trPr>
        <w:tc>
          <w:tcPr>
            <w:tcW w:w="3982" w:type="dxa"/>
            <w:shd w:val="clear" w:color="000000" w:fill="FFFFFF"/>
            <w:vAlign w:val="center"/>
            <w:hideMark/>
          </w:tcPr>
          <w:p w:rsidR="007E07B3" w:rsidRPr="007E07B3" w:rsidRDefault="007E07B3" w:rsidP="007E07B3">
            <w:pPr>
              <w:spacing w:line="400" w:lineRule="exact"/>
              <w:rPr>
                <w:rFonts w:asciiTheme="minorEastAsia" w:eastAsiaTheme="minorEastAsia" w:hAnsiTheme="minorEastAsia" w:cs="Arial"/>
                <w:sz w:val="21"/>
                <w:szCs w:val="21"/>
              </w:rPr>
            </w:pPr>
            <w:r w:rsidRPr="007E07B3">
              <w:rPr>
                <w:rFonts w:asciiTheme="minorEastAsia" w:eastAsiaTheme="minorEastAsia" w:hAnsiTheme="minorEastAsia" w:cs="Arial"/>
                <w:sz w:val="21"/>
                <w:szCs w:val="21"/>
              </w:rPr>
              <w:t>综合收益总额</w:t>
            </w:r>
          </w:p>
        </w:tc>
        <w:tc>
          <w:tcPr>
            <w:tcW w:w="1843" w:type="dxa"/>
            <w:shd w:val="clear" w:color="auto" w:fill="auto"/>
            <w:noWrap/>
            <w:vAlign w:val="center"/>
            <w:hideMark/>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sz w:val="21"/>
                <w:szCs w:val="21"/>
              </w:rPr>
              <w:t>203,516,296.07</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17,790,578.56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221,306,874.63</w:t>
            </w:r>
          </w:p>
        </w:tc>
      </w:tr>
      <w:tr w:rsidR="007E07B3" w:rsidRPr="007E07B3" w:rsidTr="00106C4C">
        <w:trPr>
          <w:trHeight w:val="465"/>
        </w:trPr>
        <w:tc>
          <w:tcPr>
            <w:tcW w:w="3982" w:type="dxa"/>
            <w:shd w:val="clear" w:color="000000" w:fill="FFFFFF"/>
            <w:vAlign w:val="center"/>
            <w:hideMark/>
          </w:tcPr>
          <w:p w:rsidR="007E07B3" w:rsidRPr="007E07B3" w:rsidRDefault="007E07B3" w:rsidP="00B554AA">
            <w:pPr>
              <w:spacing w:line="400" w:lineRule="exact"/>
              <w:rPr>
                <w:rFonts w:asciiTheme="minorEastAsia" w:eastAsiaTheme="minorEastAsia" w:hAnsiTheme="minorEastAsia" w:cs="Arial"/>
                <w:sz w:val="21"/>
                <w:szCs w:val="21"/>
              </w:rPr>
            </w:pPr>
            <w:r w:rsidRPr="007E07B3">
              <w:rPr>
                <w:rFonts w:asciiTheme="minorEastAsia" w:eastAsiaTheme="minorEastAsia" w:hAnsiTheme="minorEastAsia" w:cs="Arial"/>
                <w:sz w:val="21"/>
                <w:szCs w:val="21"/>
              </w:rPr>
              <w:t>归属于母公司</w:t>
            </w:r>
            <w:r w:rsidR="00B554AA">
              <w:rPr>
                <w:rFonts w:asciiTheme="minorEastAsia" w:eastAsiaTheme="minorEastAsia" w:hAnsiTheme="minorEastAsia" w:cs="Arial"/>
                <w:sz w:val="21"/>
                <w:szCs w:val="21"/>
              </w:rPr>
              <w:t>股东</w:t>
            </w:r>
            <w:r w:rsidRPr="007E07B3">
              <w:rPr>
                <w:rFonts w:asciiTheme="minorEastAsia" w:eastAsiaTheme="minorEastAsia" w:hAnsiTheme="minorEastAsia" w:cs="Arial"/>
                <w:sz w:val="21"/>
                <w:szCs w:val="21"/>
              </w:rPr>
              <w:t>的综合收益总额</w:t>
            </w:r>
          </w:p>
        </w:tc>
        <w:tc>
          <w:tcPr>
            <w:tcW w:w="1843" w:type="dxa"/>
            <w:shd w:val="clear" w:color="auto" w:fill="auto"/>
            <w:noWrap/>
            <w:vAlign w:val="center"/>
            <w:hideMark/>
          </w:tcPr>
          <w:p w:rsidR="007E07B3" w:rsidRPr="007E07B3" w:rsidRDefault="007E07B3" w:rsidP="007E07B3">
            <w:pPr>
              <w:spacing w:line="400" w:lineRule="exact"/>
              <w:jc w:val="right"/>
              <w:rPr>
                <w:rFonts w:asciiTheme="minorEastAsia" w:eastAsiaTheme="minorEastAsia" w:hAnsiTheme="minorEastAsia" w:cs="Arial"/>
                <w:sz w:val="21"/>
                <w:szCs w:val="21"/>
              </w:rPr>
            </w:pPr>
            <w:r w:rsidRPr="007E07B3">
              <w:rPr>
                <w:rFonts w:asciiTheme="minorEastAsia" w:eastAsiaTheme="minorEastAsia" w:hAnsiTheme="minorEastAsia" w:cs="Arial"/>
                <w:sz w:val="21"/>
                <w:szCs w:val="21"/>
              </w:rPr>
              <w:t>188,418,798.45</w:t>
            </w:r>
          </w:p>
        </w:tc>
        <w:tc>
          <w:tcPr>
            <w:tcW w:w="1629"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 xml:space="preserve">17,790,578.56　</w:t>
            </w:r>
          </w:p>
        </w:tc>
        <w:tc>
          <w:tcPr>
            <w:tcW w:w="1676" w:type="dxa"/>
            <w:shd w:val="clear" w:color="auto" w:fill="auto"/>
            <w:noWrap/>
            <w:vAlign w:val="center"/>
            <w:hideMark/>
          </w:tcPr>
          <w:p w:rsidR="007E07B3" w:rsidRPr="00E82F60" w:rsidRDefault="007E07B3" w:rsidP="007E07B3">
            <w:pPr>
              <w:spacing w:line="400" w:lineRule="exact"/>
              <w:jc w:val="right"/>
              <w:rPr>
                <w:rFonts w:asciiTheme="minorEastAsia" w:eastAsiaTheme="minorEastAsia" w:hAnsiTheme="minorEastAsia" w:cs="Arial"/>
                <w:b/>
                <w:sz w:val="21"/>
                <w:szCs w:val="21"/>
              </w:rPr>
            </w:pPr>
            <w:r w:rsidRPr="00E82F60">
              <w:rPr>
                <w:rFonts w:asciiTheme="minorEastAsia" w:eastAsiaTheme="minorEastAsia" w:hAnsiTheme="minorEastAsia" w:cs="Arial"/>
                <w:b/>
                <w:sz w:val="21"/>
                <w:szCs w:val="21"/>
              </w:rPr>
              <w:t>206,209,377.01</w:t>
            </w:r>
          </w:p>
        </w:tc>
      </w:tr>
      <w:tr w:rsidR="007E07B3" w:rsidRPr="007E07B3" w:rsidTr="00106C4C">
        <w:trPr>
          <w:trHeight w:val="465"/>
        </w:trPr>
        <w:tc>
          <w:tcPr>
            <w:tcW w:w="3982" w:type="dxa"/>
            <w:shd w:val="clear" w:color="000000" w:fill="FFFFFF"/>
            <w:vAlign w:val="center"/>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hint="eastAsia"/>
                <w:sz w:val="21"/>
                <w:szCs w:val="21"/>
              </w:rPr>
              <w:lastRenderedPageBreak/>
              <w:t>基本每股收益</w:t>
            </w:r>
          </w:p>
        </w:tc>
        <w:tc>
          <w:tcPr>
            <w:tcW w:w="1843" w:type="dxa"/>
            <w:shd w:val="clear" w:color="auto" w:fill="auto"/>
            <w:noWrap/>
            <w:vAlign w:val="center"/>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hint="eastAsia"/>
                <w:sz w:val="21"/>
                <w:szCs w:val="21"/>
              </w:rPr>
              <w:t>0</w:t>
            </w:r>
            <w:r w:rsidRPr="009C11F1">
              <w:rPr>
                <w:rFonts w:asciiTheme="minorEastAsia" w:eastAsiaTheme="minorEastAsia" w:hAnsiTheme="minorEastAsia" w:cs="Arial"/>
                <w:sz w:val="21"/>
                <w:szCs w:val="21"/>
              </w:rPr>
              <w:t>.24</w:t>
            </w:r>
          </w:p>
        </w:tc>
        <w:tc>
          <w:tcPr>
            <w:tcW w:w="1629" w:type="dxa"/>
            <w:shd w:val="clear" w:color="auto" w:fill="auto"/>
            <w:noWrap/>
            <w:vAlign w:val="center"/>
          </w:tcPr>
          <w:p w:rsidR="007E07B3" w:rsidRPr="007E07B3" w:rsidRDefault="007E07B3" w:rsidP="007E07B3">
            <w:pPr>
              <w:spacing w:line="400" w:lineRule="exact"/>
              <w:jc w:val="right"/>
              <w:rPr>
                <w:rFonts w:asciiTheme="minorEastAsia" w:eastAsiaTheme="minorEastAsia" w:hAnsiTheme="minorEastAsia" w:cs="Arial"/>
                <w:b/>
                <w:sz w:val="21"/>
                <w:szCs w:val="21"/>
              </w:rPr>
            </w:pPr>
            <w:r w:rsidRPr="007E07B3">
              <w:rPr>
                <w:rFonts w:asciiTheme="minorEastAsia" w:eastAsiaTheme="minorEastAsia" w:hAnsiTheme="minorEastAsia" w:cs="Arial"/>
                <w:b/>
                <w:sz w:val="21"/>
                <w:szCs w:val="21"/>
              </w:rPr>
              <w:t>-0.02</w:t>
            </w:r>
          </w:p>
        </w:tc>
        <w:tc>
          <w:tcPr>
            <w:tcW w:w="1676" w:type="dxa"/>
            <w:shd w:val="clear" w:color="auto" w:fill="auto"/>
            <w:noWrap/>
            <w:vAlign w:val="center"/>
          </w:tcPr>
          <w:p w:rsidR="007E07B3" w:rsidRPr="007E07B3" w:rsidRDefault="007E07B3" w:rsidP="007E07B3">
            <w:pPr>
              <w:spacing w:line="400" w:lineRule="exact"/>
              <w:jc w:val="right"/>
              <w:rPr>
                <w:rFonts w:asciiTheme="minorEastAsia" w:eastAsiaTheme="minorEastAsia" w:hAnsiTheme="minorEastAsia" w:cs="Arial"/>
                <w:b/>
                <w:sz w:val="21"/>
                <w:szCs w:val="21"/>
              </w:rPr>
            </w:pPr>
            <w:r w:rsidRPr="007E07B3">
              <w:rPr>
                <w:rFonts w:asciiTheme="minorEastAsia" w:eastAsiaTheme="minorEastAsia" w:hAnsiTheme="minorEastAsia" w:cs="Arial" w:hint="eastAsia"/>
                <w:b/>
                <w:sz w:val="21"/>
                <w:szCs w:val="21"/>
              </w:rPr>
              <w:t>0</w:t>
            </w:r>
            <w:r w:rsidRPr="007E07B3">
              <w:rPr>
                <w:rFonts w:asciiTheme="minorEastAsia" w:eastAsiaTheme="minorEastAsia" w:hAnsiTheme="minorEastAsia" w:cs="Arial"/>
                <w:b/>
                <w:sz w:val="21"/>
                <w:szCs w:val="21"/>
              </w:rPr>
              <w:t>.22</w:t>
            </w:r>
          </w:p>
        </w:tc>
      </w:tr>
      <w:tr w:rsidR="007E07B3" w:rsidRPr="007E07B3" w:rsidTr="00106C4C">
        <w:trPr>
          <w:trHeight w:val="465"/>
        </w:trPr>
        <w:tc>
          <w:tcPr>
            <w:tcW w:w="3982" w:type="dxa"/>
            <w:shd w:val="clear" w:color="000000" w:fill="FFFFFF"/>
            <w:vAlign w:val="center"/>
          </w:tcPr>
          <w:p w:rsidR="007E07B3" w:rsidRPr="00E82F60" w:rsidRDefault="007E07B3" w:rsidP="007E07B3">
            <w:pPr>
              <w:spacing w:line="400" w:lineRule="exact"/>
              <w:rPr>
                <w:rFonts w:asciiTheme="minorEastAsia" w:eastAsiaTheme="minorEastAsia" w:hAnsiTheme="minorEastAsia" w:cs="Arial"/>
                <w:sz w:val="21"/>
                <w:szCs w:val="21"/>
              </w:rPr>
            </w:pPr>
            <w:r w:rsidRPr="00E82F60">
              <w:rPr>
                <w:rFonts w:asciiTheme="minorEastAsia" w:eastAsiaTheme="minorEastAsia" w:hAnsiTheme="minorEastAsia" w:cs="Arial" w:hint="eastAsia"/>
                <w:sz w:val="21"/>
                <w:szCs w:val="21"/>
              </w:rPr>
              <w:t>稀释每股收益</w:t>
            </w:r>
          </w:p>
        </w:tc>
        <w:tc>
          <w:tcPr>
            <w:tcW w:w="1843" w:type="dxa"/>
            <w:shd w:val="clear" w:color="auto" w:fill="auto"/>
            <w:noWrap/>
            <w:vAlign w:val="center"/>
          </w:tcPr>
          <w:p w:rsidR="007E07B3" w:rsidRPr="009C11F1" w:rsidRDefault="007E07B3" w:rsidP="007E07B3">
            <w:pPr>
              <w:spacing w:line="400" w:lineRule="exact"/>
              <w:jc w:val="right"/>
              <w:rPr>
                <w:rFonts w:asciiTheme="minorEastAsia" w:eastAsiaTheme="minorEastAsia" w:hAnsiTheme="minorEastAsia" w:cs="Arial"/>
                <w:sz w:val="21"/>
                <w:szCs w:val="21"/>
              </w:rPr>
            </w:pPr>
            <w:r w:rsidRPr="009C11F1">
              <w:rPr>
                <w:rFonts w:asciiTheme="minorEastAsia" w:eastAsiaTheme="minorEastAsia" w:hAnsiTheme="minorEastAsia" w:cs="Arial" w:hint="eastAsia"/>
                <w:sz w:val="21"/>
                <w:szCs w:val="21"/>
              </w:rPr>
              <w:t>0</w:t>
            </w:r>
            <w:r w:rsidRPr="009C11F1">
              <w:rPr>
                <w:rFonts w:asciiTheme="minorEastAsia" w:eastAsiaTheme="minorEastAsia" w:hAnsiTheme="minorEastAsia" w:cs="Arial"/>
                <w:sz w:val="21"/>
                <w:szCs w:val="21"/>
              </w:rPr>
              <w:t>.24</w:t>
            </w:r>
          </w:p>
        </w:tc>
        <w:tc>
          <w:tcPr>
            <w:tcW w:w="1629" w:type="dxa"/>
            <w:shd w:val="clear" w:color="auto" w:fill="auto"/>
            <w:noWrap/>
            <w:vAlign w:val="center"/>
          </w:tcPr>
          <w:p w:rsidR="007E07B3" w:rsidRPr="007E07B3" w:rsidRDefault="007E07B3" w:rsidP="007E07B3">
            <w:pPr>
              <w:spacing w:line="400" w:lineRule="exact"/>
              <w:jc w:val="right"/>
              <w:rPr>
                <w:rFonts w:asciiTheme="minorEastAsia" w:eastAsiaTheme="minorEastAsia" w:hAnsiTheme="minorEastAsia" w:cs="Arial"/>
                <w:b/>
                <w:sz w:val="21"/>
                <w:szCs w:val="21"/>
              </w:rPr>
            </w:pPr>
            <w:r w:rsidRPr="007E07B3">
              <w:rPr>
                <w:rFonts w:asciiTheme="minorEastAsia" w:eastAsiaTheme="minorEastAsia" w:hAnsiTheme="minorEastAsia" w:cs="Arial"/>
                <w:b/>
                <w:sz w:val="21"/>
                <w:szCs w:val="21"/>
              </w:rPr>
              <w:t>-0.03</w:t>
            </w:r>
          </w:p>
        </w:tc>
        <w:tc>
          <w:tcPr>
            <w:tcW w:w="1676" w:type="dxa"/>
            <w:shd w:val="clear" w:color="auto" w:fill="auto"/>
            <w:noWrap/>
            <w:vAlign w:val="center"/>
          </w:tcPr>
          <w:p w:rsidR="007E07B3" w:rsidRPr="007E07B3" w:rsidRDefault="007E07B3" w:rsidP="007E07B3">
            <w:pPr>
              <w:spacing w:line="400" w:lineRule="exact"/>
              <w:jc w:val="right"/>
              <w:rPr>
                <w:rFonts w:asciiTheme="minorEastAsia" w:eastAsiaTheme="minorEastAsia" w:hAnsiTheme="minorEastAsia" w:cs="Arial"/>
                <w:b/>
                <w:sz w:val="21"/>
                <w:szCs w:val="21"/>
              </w:rPr>
            </w:pPr>
            <w:r w:rsidRPr="007E07B3">
              <w:rPr>
                <w:rFonts w:asciiTheme="minorEastAsia" w:eastAsiaTheme="minorEastAsia" w:hAnsiTheme="minorEastAsia" w:cs="Arial" w:hint="eastAsia"/>
                <w:b/>
                <w:sz w:val="21"/>
                <w:szCs w:val="21"/>
              </w:rPr>
              <w:t>0</w:t>
            </w:r>
            <w:r w:rsidRPr="007E07B3">
              <w:rPr>
                <w:rFonts w:asciiTheme="minorEastAsia" w:eastAsiaTheme="minorEastAsia" w:hAnsiTheme="minorEastAsia" w:cs="Arial"/>
                <w:b/>
                <w:sz w:val="21"/>
                <w:szCs w:val="21"/>
              </w:rPr>
              <w:t>.21</w:t>
            </w:r>
          </w:p>
        </w:tc>
      </w:tr>
    </w:tbl>
    <w:p w:rsidR="007E07B3" w:rsidRDefault="007E07B3" w:rsidP="002804B2">
      <w:pPr>
        <w:spacing w:line="440" w:lineRule="exact"/>
        <w:ind w:firstLineChars="200" w:firstLine="480"/>
        <w:rPr>
          <w:rFonts w:asciiTheme="minorEastAsia" w:eastAsiaTheme="minorEastAsia" w:hAnsiTheme="minorEastAsia" w:cs="Arial"/>
          <w:sz w:val="24"/>
        </w:rPr>
      </w:pPr>
    </w:p>
    <w:p w:rsidR="002804B2" w:rsidRP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说明：上表中投资收益、其他综合收益更正金额为对索尔思光电长期股权投资权益法核算进行差错更正导致。</w:t>
      </w:r>
    </w:p>
    <w:p w:rsidR="002804B2" w:rsidRP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（3）合并现金流量表项目</w:t>
      </w:r>
    </w:p>
    <w:p w:rsidR="002804B2" w:rsidRP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本次差错更正对现金流量表没有影响。</w:t>
      </w:r>
    </w:p>
    <w:p w:rsidR="002804B2" w:rsidRP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2、母公司财务报表</w:t>
      </w:r>
    </w:p>
    <w:p w:rsidR="002804B2" w:rsidRPr="002804B2" w:rsidRDefault="002804B2" w:rsidP="002804B2">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本次差错更正对母公司资产负债表、母公司利润表、母公司现金流量表没有影响。</w:t>
      </w:r>
    </w:p>
    <w:p w:rsidR="00A30267" w:rsidRPr="00560C51" w:rsidRDefault="00A30267" w:rsidP="007523A1">
      <w:pPr>
        <w:tabs>
          <w:tab w:val="num" w:pos="900"/>
        </w:tabs>
        <w:adjustRightInd w:val="0"/>
        <w:snapToGrid w:val="0"/>
        <w:spacing w:line="360" w:lineRule="auto"/>
        <w:ind w:firstLineChars="200" w:firstLine="480"/>
        <w:rPr>
          <w:rFonts w:asciiTheme="minorEastAsia" w:eastAsiaTheme="minorEastAsia" w:hAnsiTheme="minorEastAsia"/>
          <w:sz w:val="24"/>
        </w:rPr>
      </w:pPr>
    </w:p>
    <w:p w:rsidR="00876414" w:rsidRDefault="00606537"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w:t>
      </w:r>
      <w:r w:rsidR="00876414">
        <w:rPr>
          <w:rFonts w:asciiTheme="minorEastAsia" w:eastAsiaTheme="minorEastAsia" w:hAnsiTheme="minorEastAsia" w:hint="eastAsia"/>
          <w:b/>
          <w:sz w:val="24"/>
        </w:rPr>
        <w:t>、</w:t>
      </w:r>
      <w:r w:rsidR="00EE4C37">
        <w:rPr>
          <w:rFonts w:asciiTheme="minorEastAsia" w:eastAsiaTheme="minorEastAsia" w:hAnsiTheme="minorEastAsia" w:hint="eastAsia"/>
          <w:b/>
          <w:sz w:val="24"/>
        </w:rPr>
        <w:t>审议程序</w:t>
      </w:r>
    </w:p>
    <w:p w:rsidR="00876414" w:rsidRPr="00876414" w:rsidRDefault="009739BB" w:rsidP="00876414">
      <w:pPr>
        <w:tabs>
          <w:tab w:val="num" w:pos="900"/>
        </w:tabs>
        <w:adjustRightInd w:val="0"/>
        <w:snapToGrid w:val="0"/>
        <w:spacing w:line="360" w:lineRule="auto"/>
        <w:ind w:firstLineChars="200" w:firstLine="480"/>
        <w:rPr>
          <w:sz w:val="24"/>
        </w:rPr>
      </w:pPr>
      <w:r>
        <w:rPr>
          <w:rFonts w:hint="eastAsia"/>
          <w:sz w:val="24"/>
        </w:rPr>
        <w:t>1</w:t>
      </w:r>
      <w:r w:rsidR="00876414" w:rsidRPr="00876414">
        <w:rPr>
          <w:rFonts w:hint="eastAsia"/>
          <w:sz w:val="24"/>
        </w:rPr>
        <w:t>、</w:t>
      </w:r>
      <w:r w:rsidR="00EE4C37">
        <w:rPr>
          <w:rFonts w:hint="eastAsia"/>
          <w:sz w:val="24"/>
        </w:rPr>
        <w:t>董事会</w:t>
      </w:r>
      <w:r w:rsidR="00876414" w:rsidRPr="00876414">
        <w:rPr>
          <w:sz w:val="24"/>
        </w:rPr>
        <w:t>审计委员会</w:t>
      </w:r>
      <w:r>
        <w:rPr>
          <w:sz w:val="24"/>
        </w:rPr>
        <w:t>审议情况</w:t>
      </w:r>
    </w:p>
    <w:p w:rsidR="00EE4C37" w:rsidRDefault="00876414" w:rsidP="00876414">
      <w:pPr>
        <w:tabs>
          <w:tab w:val="num" w:pos="900"/>
        </w:tabs>
        <w:adjustRightInd w:val="0"/>
        <w:snapToGrid w:val="0"/>
        <w:spacing w:line="360" w:lineRule="auto"/>
        <w:ind w:firstLineChars="200" w:firstLine="480"/>
        <w:rPr>
          <w:sz w:val="24"/>
        </w:rPr>
      </w:pPr>
      <w:r w:rsidRPr="00876414">
        <w:rPr>
          <w:sz w:val="24"/>
        </w:rPr>
        <w:t>董事会审计委员会认为：公司本次对前期会计差错进行更正符合</w:t>
      </w:r>
      <w:r w:rsidR="009739BB" w:rsidRPr="00EE4C37">
        <w:rPr>
          <w:sz w:val="24"/>
        </w:rPr>
        <w:t>《企业会计准则第28号—会计政策、会计估计变更和差错更正》《公开发行证券的公司信息披露编报规则第19号—财务信息的更正及相关披露》</w:t>
      </w:r>
      <w:r w:rsidR="00EE4C37">
        <w:rPr>
          <w:sz w:val="24"/>
        </w:rPr>
        <w:t>相关文件的规定，</w:t>
      </w:r>
      <w:r w:rsidR="00EE4C37" w:rsidRPr="00EE4C37">
        <w:rPr>
          <w:sz w:val="24"/>
        </w:rPr>
        <w:t xml:space="preserve">是对公司实际经营状况的客观反映，更正后的财务数据及财务报表能够更加客观、准确地反映公司财务状况，一致同意公司本次前期会计差错更正事项，并同意将该议案提交公司董事会审议。 </w:t>
      </w:r>
    </w:p>
    <w:p w:rsidR="007B54ED" w:rsidRPr="00EE4C37" w:rsidRDefault="007B54ED" w:rsidP="00876414">
      <w:pPr>
        <w:tabs>
          <w:tab w:val="num" w:pos="900"/>
        </w:tabs>
        <w:adjustRightInd w:val="0"/>
        <w:snapToGrid w:val="0"/>
        <w:spacing w:line="360" w:lineRule="auto"/>
        <w:ind w:firstLineChars="200" w:firstLine="480"/>
        <w:rPr>
          <w:sz w:val="24"/>
        </w:rPr>
      </w:pPr>
    </w:p>
    <w:p w:rsidR="00876414" w:rsidRPr="00EE4C37" w:rsidRDefault="009739BB" w:rsidP="00EE4C37">
      <w:pPr>
        <w:tabs>
          <w:tab w:val="num" w:pos="900"/>
        </w:tabs>
        <w:adjustRightInd w:val="0"/>
        <w:snapToGrid w:val="0"/>
        <w:spacing w:line="360" w:lineRule="auto"/>
        <w:ind w:firstLineChars="200" w:firstLine="480"/>
        <w:rPr>
          <w:sz w:val="24"/>
        </w:rPr>
      </w:pPr>
      <w:r>
        <w:rPr>
          <w:rFonts w:hint="eastAsia"/>
          <w:sz w:val="24"/>
        </w:rPr>
        <w:t>2</w:t>
      </w:r>
      <w:r w:rsidR="00876414" w:rsidRPr="00EE4C37">
        <w:rPr>
          <w:rFonts w:hint="eastAsia"/>
          <w:sz w:val="24"/>
        </w:rPr>
        <w:t>、</w:t>
      </w:r>
      <w:r w:rsidR="00876414" w:rsidRPr="00EE4C37">
        <w:rPr>
          <w:sz w:val="24"/>
        </w:rPr>
        <w:t>董事会</w:t>
      </w:r>
      <w:r w:rsidR="00EE4C37" w:rsidRPr="00EE4C37">
        <w:rPr>
          <w:sz w:val="24"/>
        </w:rPr>
        <w:t>审议情况</w:t>
      </w:r>
    </w:p>
    <w:p w:rsidR="00534BE3" w:rsidRDefault="00EE4C37" w:rsidP="00EE4C37">
      <w:pPr>
        <w:tabs>
          <w:tab w:val="num" w:pos="900"/>
        </w:tabs>
        <w:adjustRightInd w:val="0"/>
        <w:snapToGrid w:val="0"/>
        <w:spacing w:line="360" w:lineRule="auto"/>
        <w:ind w:firstLineChars="200" w:firstLine="480"/>
        <w:rPr>
          <w:color w:val="FF0000"/>
          <w:sz w:val="24"/>
        </w:rPr>
      </w:pPr>
      <w:r w:rsidRPr="00EE4C37">
        <w:rPr>
          <w:sz w:val="24"/>
        </w:rPr>
        <w:t>公司第九届董事会第</w:t>
      </w:r>
      <w:r>
        <w:rPr>
          <w:sz w:val="24"/>
        </w:rPr>
        <w:t>二</w:t>
      </w:r>
      <w:r w:rsidRPr="00EE4C37">
        <w:rPr>
          <w:sz w:val="24"/>
        </w:rPr>
        <w:t>次会议审议</w:t>
      </w:r>
      <w:r>
        <w:rPr>
          <w:sz w:val="24"/>
        </w:rPr>
        <w:t>通过</w:t>
      </w:r>
      <w:r w:rsidRPr="00EE4C37">
        <w:rPr>
          <w:sz w:val="24"/>
        </w:rPr>
        <w:t>了《关于前期会计差错更正的议案》，</w:t>
      </w:r>
      <w:r>
        <w:rPr>
          <w:sz w:val="24"/>
        </w:rPr>
        <w:t>董事会认为：</w:t>
      </w:r>
      <w:r w:rsidRPr="00EE4C37">
        <w:rPr>
          <w:sz w:val="24"/>
        </w:rPr>
        <w:t>本次会计差错更正事项符合《企业会计准则第28号—会计政策、会计估计变更及差错更正》和《公开发行证券的公司信息披露编报规则第19号—财务信息的更正及相关披露》等相关规定，更正后的财务数据及财务报表能够更加客观、准确地反映公司的财务状况和经营成果，董事会同意本次前期会计差错更正事项。</w:t>
      </w:r>
      <w:r w:rsidR="00876414" w:rsidRPr="00E8470E">
        <w:rPr>
          <w:color w:val="FF0000"/>
          <w:sz w:val="24"/>
        </w:rPr>
        <w:t xml:space="preserve"> </w:t>
      </w:r>
    </w:p>
    <w:p w:rsidR="007B54ED" w:rsidRPr="00E8470E" w:rsidRDefault="007B54ED" w:rsidP="00EE4C37">
      <w:pPr>
        <w:tabs>
          <w:tab w:val="num" w:pos="900"/>
        </w:tabs>
        <w:adjustRightInd w:val="0"/>
        <w:snapToGrid w:val="0"/>
        <w:spacing w:line="360" w:lineRule="auto"/>
        <w:ind w:firstLineChars="200" w:firstLine="480"/>
        <w:rPr>
          <w:color w:val="FF0000"/>
          <w:sz w:val="24"/>
        </w:rPr>
      </w:pPr>
    </w:p>
    <w:p w:rsidR="00534BE3" w:rsidRDefault="009739BB" w:rsidP="00876414">
      <w:pPr>
        <w:tabs>
          <w:tab w:val="num" w:pos="900"/>
        </w:tabs>
        <w:adjustRightInd w:val="0"/>
        <w:snapToGrid w:val="0"/>
        <w:spacing w:line="360" w:lineRule="auto"/>
        <w:ind w:firstLineChars="200" w:firstLine="480"/>
        <w:rPr>
          <w:sz w:val="24"/>
        </w:rPr>
      </w:pPr>
      <w:r>
        <w:rPr>
          <w:rFonts w:hint="eastAsia"/>
          <w:sz w:val="24"/>
        </w:rPr>
        <w:t>3</w:t>
      </w:r>
      <w:r w:rsidR="00534BE3">
        <w:rPr>
          <w:rFonts w:hint="eastAsia"/>
          <w:sz w:val="24"/>
        </w:rPr>
        <w:t>、</w:t>
      </w:r>
      <w:r w:rsidR="00876414" w:rsidRPr="00876414">
        <w:rPr>
          <w:sz w:val="24"/>
        </w:rPr>
        <w:t>监事会</w:t>
      </w:r>
      <w:r w:rsidR="00EE4C37">
        <w:rPr>
          <w:sz w:val="24"/>
        </w:rPr>
        <w:t>审议情况</w:t>
      </w:r>
    </w:p>
    <w:p w:rsidR="00534BE3" w:rsidRDefault="00EE4C37" w:rsidP="00876414">
      <w:pPr>
        <w:tabs>
          <w:tab w:val="num" w:pos="900"/>
        </w:tabs>
        <w:adjustRightInd w:val="0"/>
        <w:snapToGrid w:val="0"/>
        <w:spacing w:line="360" w:lineRule="auto"/>
        <w:ind w:firstLineChars="200" w:firstLine="480"/>
        <w:rPr>
          <w:sz w:val="24"/>
        </w:rPr>
      </w:pPr>
      <w:r>
        <w:rPr>
          <w:sz w:val="24"/>
        </w:rPr>
        <w:t>公司第九届监事会第二次会议审议通过了</w:t>
      </w:r>
      <w:r w:rsidRPr="00EE4C37">
        <w:rPr>
          <w:sz w:val="24"/>
        </w:rPr>
        <w:t>《关于前期会计差错更正的议案》，</w:t>
      </w:r>
      <w:r w:rsidR="00876414" w:rsidRPr="00876414">
        <w:rPr>
          <w:sz w:val="24"/>
        </w:rPr>
        <w:lastRenderedPageBreak/>
        <w:t>监事会认为：公司</w:t>
      </w:r>
      <w:r w:rsidRPr="00EE4C37">
        <w:rPr>
          <w:sz w:val="24"/>
        </w:rPr>
        <w:t>本次前期会计差错更正事项符合相关文件的规定，审议及表决符合相关法律法规的要求，不存在损害公司及全体股东利益的情形，监事会同意本次前期会计差错更正事项。</w:t>
      </w:r>
    </w:p>
    <w:p w:rsidR="00876414" w:rsidRDefault="00876414"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p>
    <w:p w:rsidR="00534BE3" w:rsidRDefault="004064B3" w:rsidP="00876414">
      <w:pPr>
        <w:tabs>
          <w:tab w:val="num" w:pos="900"/>
        </w:tabs>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00534BE3">
        <w:rPr>
          <w:rFonts w:asciiTheme="minorEastAsia" w:eastAsiaTheme="minorEastAsia" w:hAnsiTheme="minorEastAsia" w:hint="eastAsia"/>
          <w:b/>
          <w:sz w:val="24"/>
        </w:rPr>
        <w:t>、备查文件</w:t>
      </w:r>
    </w:p>
    <w:p w:rsidR="00534BE3" w:rsidRDefault="00534BE3" w:rsidP="00534BE3">
      <w:pPr>
        <w:tabs>
          <w:tab w:val="num" w:pos="900"/>
        </w:tabs>
        <w:adjustRightInd w:val="0"/>
        <w:snapToGrid w:val="0"/>
        <w:spacing w:line="360" w:lineRule="auto"/>
        <w:ind w:firstLineChars="200" w:firstLine="480"/>
        <w:rPr>
          <w:sz w:val="24"/>
        </w:rPr>
      </w:pPr>
      <w:r w:rsidRPr="00534BE3">
        <w:rPr>
          <w:sz w:val="24"/>
        </w:rPr>
        <w:t>1</w:t>
      </w:r>
      <w:r>
        <w:rPr>
          <w:sz w:val="24"/>
        </w:rPr>
        <w:t>、公司第九</w:t>
      </w:r>
      <w:r w:rsidRPr="00534BE3">
        <w:rPr>
          <w:sz w:val="24"/>
        </w:rPr>
        <w:t>届董事会第</w:t>
      </w:r>
      <w:r>
        <w:rPr>
          <w:sz w:val="24"/>
        </w:rPr>
        <w:t>二</w:t>
      </w:r>
      <w:r w:rsidRPr="00534BE3">
        <w:rPr>
          <w:sz w:val="24"/>
        </w:rPr>
        <w:t xml:space="preserve">次会议决议； </w:t>
      </w:r>
    </w:p>
    <w:p w:rsidR="00534BE3" w:rsidRDefault="00534BE3" w:rsidP="00534BE3">
      <w:pPr>
        <w:tabs>
          <w:tab w:val="num" w:pos="900"/>
        </w:tabs>
        <w:adjustRightInd w:val="0"/>
        <w:snapToGrid w:val="0"/>
        <w:spacing w:line="360" w:lineRule="auto"/>
        <w:ind w:firstLineChars="200" w:firstLine="480"/>
        <w:rPr>
          <w:sz w:val="24"/>
        </w:rPr>
      </w:pPr>
      <w:r w:rsidRPr="00534BE3">
        <w:rPr>
          <w:sz w:val="24"/>
        </w:rPr>
        <w:t>2</w:t>
      </w:r>
      <w:r>
        <w:rPr>
          <w:sz w:val="24"/>
        </w:rPr>
        <w:t>、公司第九</w:t>
      </w:r>
      <w:r w:rsidRPr="00534BE3">
        <w:rPr>
          <w:sz w:val="24"/>
        </w:rPr>
        <w:t xml:space="preserve">届监事会第二次会议决议； </w:t>
      </w:r>
    </w:p>
    <w:p w:rsidR="00D750AD" w:rsidRPr="00CF4960" w:rsidRDefault="009739BB" w:rsidP="00534BE3">
      <w:pPr>
        <w:tabs>
          <w:tab w:val="num" w:pos="900"/>
        </w:tabs>
        <w:adjustRightInd w:val="0"/>
        <w:snapToGrid w:val="0"/>
        <w:spacing w:line="360" w:lineRule="auto"/>
        <w:ind w:firstLineChars="200" w:firstLine="480"/>
        <w:rPr>
          <w:sz w:val="24"/>
        </w:rPr>
      </w:pPr>
      <w:r w:rsidRPr="00CF4960">
        <w:rPr>
          <w:rFonts w:hint="eastAsia"/>
          <w:sz w:val="24"/>
        </w:rPr>
        <w:t>3</w:t>
      </w:r>
      <w:r w:rsidR="00534BE3" w:rsidRPr="00CF4960">
        <w:rPr>
          <w:sz w:val="24"/>
        </w:rPr>
        <w:t>、董事会审计委员会关于</w:t>
      </w:r>
      <w:r w:rsidR="00D750AD" w:rsidRPr="00CF4960">
        <w:rPr>
          <w:sz w:val="24"/>
        </w:rPr>
        <w:t>相关事项的审核意见；</w:t>
      </w:r>
    </w:p>
    <w:p w:rsidR="00534BE3" w:rsidRPr="00CF4960" w:rsidRDefault="009739BB" w:rsidP="00534BE3">
      <w:pPr>
        <w:tabs>
          <w:tab w:val="num" w:pos="900"/>
        </w:tabs>
        <w:adjustRightInd w:val="0"/>
        <w:snapToGrid w:val="0"/>
        <w:spacing w:line="360" w:lineRule="auto"/>
        <w:ind w:firstLineChars="200" w:firstLine="480"/>
        <w:rPr>
          <w:sz w:val="24"/>
        </w:rPr>
      </w:pPr>
      <w:r w:rsidRPr="00CF4960">
        <w:rPr>
          <w:rFonts w:hint="eastAsia"/>
          <w:sz w:val="24"/>
        </w:rPr>
        <w:t>4</w:t>
      </w:r>
      <w:r w:rsidR="00D750AD" w:rsidRPr="00CF4960">
        <w:rPr>
          <w:rFonts w:hint="eastAsia"/>
          <w:sz w:val="24"/>
        </w:rPr>
        <w:t>、中兴华会</w:t>
      </w:r>
      <w:r w:rsidR="00534BE3" w:rsidRPr="00CF4960">
        <w:rPr>
          <w:sz w:val="24"/>
        </w:rPr>
        <w:t>计师事务所（特殊普通合伙）出具的《</w:t>
      </w:r>
      <w:r w:rsidR="00CF4960" w:rsidRPr="00CF4960">
        <w:rPr>
          <w:rFonts w:hint="eastAsia"/>
          <w:sz w:val="24"/>
        </w:rPr>
        <w:t>关于江苏华西村股份有限公司</w:t>
      </w:r>
      <w:r w:rsidR="00CF4960" w:rsidRPr="00CF4960">
        <w:rPr>
          <w:sz w:val="24"/>
        </w:rPr>
        <w:t>前期会计差错更正专项说明审核报告</w:t>
      </w:r>
      <w:r w:rsidR="00534BE3" w:rsidRPr="00CF4960">
        <w:rPr>
          <w:sz w:val="24"/>
        </w:rPr>
        <w:t>》。</w:t>
      </w:r>
    </w:p>
    <w:p w:rsidR="00D750AD" w:rsidRDefault="00D750AD" w:rsidP="007B54ED">
      <w:pPr>
        <w:tabs>
          <w:tab w:val="num" w:pos="900"/>
        </w:tabs>
        <w:adjustRightInd w:val="0"/>
        <w:snapToGrid w:val="0"/>
        <w:spacing w:line="360" w:lineRule="auto"/>
        <w:ind w:firstLineChars="200" w:firstLine="480"/>
        <w:rPr>
          <w:sz w:val="24"/>
        </w:rPr>
      </w:pPr>
    </w:p>
    <w:p w:rsidR="00CF4960" w:rsidRPr="00CF4960" w:rsidRDefault="00CF4960" w:rsidP="007B54ED">
      <w:pPr>
        <w:tabs>
          <w:tab w:val="num" w:pos="900"/>
        </w:tabs>
        <w:adjustRightInd w:val="0"/>
        <w:snapToGrid w:val="0"/>
        <w:spacing w:line="360" w:lineRule="auto"/>
        <w:ind w:firstLineChars="200" w:firstLine="480"/>
        <w:rPr>
          <w:sz w:val="24"/>
        </w:rPr>
      </w:pPr>
    </w:p>
    <w:p w:rsidR="007E7417" w:rsidRPr="00876414" w:rsidRDefault="007E7417" w:rsidP="00EA4A0A">
      <w:pPr>
        <w:topLinePunct/>
        <w:snapToGrid w:val="0"/>
        <w:spacing w:line="360" w:lineRule="auto"/>
        <w:ind w:firstLineChars="200" w:firstLine="480"/>
        <w:rPr>
          <w:rFonts w:asciiTheme="minorEastAsia" w:eastAsiaTheme="minorEastAsia" w:hAnsiTheme="minorEastAsia" w:cs="Calibri"/>
          <w:kern w:val="24"/>
          <w:sz w:val="24"/>
        </w:rPr>
      </w:pPr>
      <w:r w:rsidRPr="00876414">
        <w:rPr>
          <w:rFonts w:asciiTheme="minorEastAsia" w:eastAsiaTheme="minorEastAsia" w:hAnsiTheme="minorEastAsia" w:cs="Calibri"/>
          <w:kern w:val="24"/>
          <w:sz w:val="24"/>
        </w:rPr>
        <w:t>特此公告</w:t>
      </w:r>
      <w:r w:rsidR="00865166" w:rsidRPr="00876414">
        <w:rPr>
          <w:rFonts w:asciiTheme="minorEastAsia" w:eastAsiaTheme="minorEastAsia" w:hAnsiTheme="minorEastAsia" w:cs="Calibri"/>
          <w:kern w:val="24"/>
          <w:sz w:val="24"/>
        </w:rPr>
        <w:t>。</w:t>
      </w:r>
    </w:p>
    <w:p w:rsidR="00E01B38" w:rsidRDefault="00E01B38" w:rsidP="00EA4A0A">
      <w:pPr>
        <w:topLinePunct/>
        <w:snapToGrid w:val="0"/>
        <w:spacing w:line="360" w:lineRule="auto"/>
        <w:ind w:firstLineChars="200" w:firstLine="480"/>
        <w:rPr>
          <w:rFonts w:asciiTheme="minorEastAsia" w:eastAsiaTheme="minorEastAsia" w:hAnsiTheme="minorEastAsia" w:cs="Calibri"/>
          <w:kern w:val="24"/>
          <w:sz w:val="24"/>
        </w:rPr>
      </w:pPr>
    </w:p>
    <w:p w:rsidR="00534BE3" w:rsidRDefault="00534BE3" w:rsidP="00EA4A0A">
      <w:pPr>
        <w:topLinePunct/>
        <w:snapToGrid w:val="0"/>
        <w:spacing w:line="360" w:lineRule="auto"/>
        <w:ind w:firstLineChars="200" w:firstLine="480"/>
        <w:rPr>
          <w:rFonts w:asciiTheme="minorEastAsia" w:eastAsiaTheme="minorEastAsia" w:hAnsiTheme="minorEastAsia" w:cs="Calibri"/>
          <w:kern w:val="24"/>
          <w:sz w:val="24"/>
        </w:rPr>
      </w:pPr>
    </w:p>
    <w:p w:rsidR="007E07B3" w:rsidRPr="009D2EF7" w:rsidRDefault="007E07B3" w:rsidP="00EA4A0A">
      <w:pPr>
        <w:topLinePunct/>
        <w:snapToGrid w:val="0"/>
        <w:spacing w:line="360" w:lineRule="auto"/>
        <w:ind w:firstLineChars="200" w:firstLine="480"/>
        <w:rPr>
          <w:rFonts w:asciiTheme="minorEastAsia" w:eastAsiaTheme="minorEastAsia" w:hAnsiTheme="minorEastAsia" w:cs="Calibri"/>
          <w:kern w:val="24"/>
          <w:sz w:val="24"/>
        </w:rPr>
      </w:pPr>
    </w:p>
    <w:p w:rsidR="007E7417" w:rsidRPr="003E7C55" w:rsidRDefault="003E7C55" w:rsidP="0031096C">
      <w:pPr>
        <w:tabs>
          <w:tab w:val="num" w:pos="900"/>
        </w:tabs>
        <w:spacing w:line="440" w:lineRule="exact"/>
        <w:ind w:firstLineChars="200" w:firstLine="480"/>
        <w:rPr>
          <w:rFonts w:asciiTheme="minorEastAsia" w:eastAsiaTheme="minorEastAsia" w:hAnsiTheme="minorEastAsia"/>
          <w:sz w:val="24"/>
        </w:rPr>
      </w:pPr>
      <w:r>
        <w:rPr>
          <w:rFonts w:asciiTheme="minorHAnsi" w:eastAsiaTheme="minorEastAsia" w:hAnsiTheme="minorHAnsi" w:hint="eastAsia"/>
          <w:sz w:val="24"/>
        </w:rPr>
        <w:t xml:space="preserve">                             </w:t>
      </w:r>
      <w:r w:rsidRPr="003E7C55">
        <w:rPr>
          <w:rFonts w:asciiTheme="minorEastAsia" w:eastAsiaTheme="minorEastAsia" w:hAnsiTheme="minorEastAsia" w:hint="eastAsia"/>
          <w:sz w:val="24"/>
        </w:rPr>
        <w:t xml:space="preserve"> </w:t>
      </w:r>
      <w:r w:rsidR="007E7417" w:rsidRPr="003E7C55">
        <w:rPr>
          <w:rFonts w:asciiTheme="minorEastAsia" w:eastAsiaTheme="minorEastAsia" w:hAnsiTheme="minorEastAsia"/>
          <w:sz w:val="24"/>
        </w:rPr>
        <w:t>江苏华西村股份有限公司董事会</w:t>
      </w:r>
    </w:p>
    <w:p w:rsidR="007E7417" w:rsidRPr="00C16C5F" w:rsidRDefault="007E7417" w:rsidP="005709B1">
      <w:pPr>
        <w:tabs>
          <w:tab w:val="num" w:pos="900"/>
        </w:tabs>
        <w:spacing w:line="440" w:lineRule="exact"/>
        <w:ind w:firstLineChars="200" w:firstLine="480"/>
        <w:rPr>
          <w:rFonts w:asciiTheme="minorEastAsia" w:eastAsiaTheme="minorEastAsia" w:hAnsiTheme="minorEastAsia"/>
          <w:sz w:val="24"/>
        </w:rPr>
      </w:pPr>
      <w:r w:rsidRPr="003E7C55">
        <w:rPr>
          <w:rFonts w:asciiTheme="minorEastAsia" w:eastAsiaTheme="minorEastAsia" w:hAnsiTheme="minorEastAsia"/>
          <w:sz w:val="24"/>
        </w:rPr>
        <w:t xml:space="preserve">                               </w:t>
      </w:r>
      <w:r w:rsidR="00865166">
        <w:rPr>
          <w:rFonts w:asciiTheme="minorEastAsia" w:eastAsiaTheme="minorEastAsia" w:hAnsiTheme="minorEastAsia" w:hint="eastAsia"/>
          <w:sz w:val="24"/>
        </w:rPr>
        <w:t xml:space="preserve"> </w:t>
      </w:r>
      <w:r w:rsidR="00865166" w:rsidRPr="00C16C5F">
        <w:rPr>
          <w:rFonts w:asciiTheme="minorEastAsia" w:eastAsiaTheme="minorEastAsia" w:hAnsiTheme="minorEastAsia" w:hint="eastAsia"/>
          <w:sz w:val="24"/>
        </w:rPr>
        <w:t xml:space="preserve"> </w:t>
      </w:r>
      <w:r w:rsidR="00423661">
        <w:rPr>
          <w:rFonts w:asciiTheme="minorEastAsia" w:eastAsiaTheme="minorEastAsia" w:hAnsiTheme="minorEastAsia" w:hint="eastAsia"/>
          <w:sz w:val="24"/>
        </w:rPr>
        <w:t xml:space="preserve"> </w:t>
      </w:r>
      <w:r w:rsidRPr="00C16C5F">
        <w:rPr>
          <w:rFonts w:asciiTheme="minorEastAsia" w:eastAsiaTheme="minorEastAsia" w:hAnsiTheme="minorEastAsia"/>
          <w:sz w:val="24"/>
        </w:rPr>
        <w:t xml:space="preserve"> </w:t>
      </w:r>
      <w:r w:rsidR="000115A4" w:rsidRPr="00C16C5F">
        <w:rPr>
          <w:rFonts w:asciiTheme="minorEastAsia" w:eastAsiaTheme="minorEastAsia" w:hAnsiTheme="minorEastAsia" w:hint="eastAsia"/>
          <w:sz w:val="24"/>
        </w:rPr>
        <w:t xml:space="preserve"> </w:t>
      </w:r>
      <w:r w:rsidRPr="00C16C5F">
        <w:rPr>
          <w:rFonts w:asciiTheme="minorEastAsia" w:eastAsiaTheme="minorEastAsia" w:hAnsiTheme="minorEastAsia"/>
          <w:sz w:val="24"/>
        </w:rPr>
        <w:t xml:space="preserve"> </w:t>
      </w:r>
      <w:r w:rsidR="00865166" w:rsidRPr="00C16C5F">
        <w:rPr>
          <w:rFonts w:asciiTheme="minorEastAsia" w:eastAsiaTheme="minorEastAsia" w:hAnsiTheme="minorEastAsia" w:hint="eastAsia"/>
          <w:sz w:val="24"/>
        </w:rPr>
        <w:t>202</w:t>
      </w:r>
      <w:r w:rsidR="003C01CE">
        <w:rPr>
          <w:rFonts w:asciiTheme="minorEastAsia" w:eastAsiaTheme="minorEastAsia" w:hAnsiTheme="minorEastAsia" w:hint="eastAsia"/>
          <w:sz w:val="24"/>
        </w:rPr>
        <w:t>4</w:t>
      </w:r>
      <w:r w:rsidRPr="00C16C5F">
        <w:rPr>
          <w:rFonts w:asciiTheme="minorEastAsia" w:eastAsiaTheme="minorEastAsia" w:hAnsiTheme="minorEastAsia"/>
          <w:sz w:val="24"/>
        </w:rPr>
        <w:t>年</w:t>
      </w:r>
      <w:r w:rsidR="00B30494">
        <w:rPr>
          <w:rFonts w:asciiTheme="minorEastAsia" w:eastAsiaTheme="minorEastAsia" w:hAnsiTheme="minorEastAsia" w:hint="eastAsia"/>
          <w:sz w:val="24"/>
        </w:rPr>
        <w:t>4</w:t>
      </w:r>
      <w:r w:rsidRPr="00C16C5F">
        <w:rPr>
          <w:rFonts w:asciiTheme="minorEastAsia" w:eastAsiaTheme="minorEastAsia" w:hAnsiTheme="minorEastAsia"/>
          <w:sz w:val="24"/>
        </w:rPr>
        <w:t>月</w:t>
      </w:r>
      <w:r w:rsidR="00FA6DF1">
        <w:rPr>
          <w:rFonts w:asciiTheme="minorEastAsia" w:eastAsiaTheme="minorEastAsia" w:hAnsiTheme="minorEastAsia" w:hint="eastAsia"/>
          <w:sz w:val="24"/>
        </w:rPr>
        <w:t>30</w:t>
      </w:r>
      <w:r w:rsidRPr="00C16C5F">
        <w:rPr>
          <w:rFonts w:asciiTheme="minorEastAsia" w:eastAsiaTheme="minorEastAsia" w:hAnsiTheme="minorEastAsia"/>
          <w:sz w:val="24"/>
        </w:rPr>
        <w:t>日</w:t>
      </w:r>
    </w:p>
    <w:sectPr w:rsidR="007E7417" w:rsidRPr="00C16C5F" w:rsidSect="00BF4E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AA" w:rsidRDefault="001461AA" w:rsidP="005C72B1">
      <w:r>
        <w:separator/>
      </w:r>
    </w:p>
  </w:endnote>
  <w:endnote w:type="continuationSeparator" w:id="0">
    <w:p w:rsidR="001461AA" w:rsidRDefault="001461AA" w:rsidP="005C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63"/>
      <w:docPartObj>
        <w:docPartGallery w:val="Page Numbers (Bottom of Page)"/>
        <w:docPartUnique/>
      </w:docPartObj>
    </w:sdtPr>
    <w:sdtEndPr/>
    <w:sdtContent>
      <w:p w:rsidR="003E7C55" w:rsidRDefault="009D7974">
        <w:pPr>
          <w:pStyle w:val="a4"/>
          <w:jc w:val="center"/>
        </w:pPr>
        <w:r>
          <w:fldChar w:fldCharType="begin"/>
        </w:r>
        <w:r>
          <w:instrText xml:space="preserve"> PAGE   \* MERGEFORMAT </w:instrText>
        </w:r>
        <w:r>
          <w:fldChar w:fldCharType="separate"/>
        </w:r>
        <w:r w:rsidR="00B554AA" w:rsidRPr="00B554AA">
          <w:rPr>
            <w:noProof/>
            <w:lang w:val="zh-CN"/>
          </w:rPr>
          <w:t>2</w:t>
        </w:r>
        <w:r>
          <w:rPr>
            <w:noProof/>
            <w:lang w:val="zh-CN"/>
          </w:rPr>
          <w:fldChar w:fldCharType="end"/>
        </w:r>
      </w:p>
    </w:sdtContent>
  </w:sdt>
  <w:p w:rsidR="003E7C55" w:rsidRDefault="003E7C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AA" w:rsidRDefault="001461AA" w:rsidP="005C72B1">
      <w:r>
        <w:separator/>
      </w:r>
    </w:p>
  </w:footnote>
  <w:footnote w:type="continuationSeparator" w:id="0">
    <w:p w:rsidR="001461AA" w:rsidRDefault="001461AA" w:rsidP="005C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2A2"/>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
    <w:nsid w:val="0773777B"/>
    <w:multiLevelType w:val="multilevel"/>
    <w:tmpl w:val="0773777B"/>
    <w:lvl w:ilvl="0">
      <w:start w:val="1"/>
      <w:numFmt w:val="japaneseCounting"/>
      <w:lvlText w:val="第%1条"/>
      <w:lvlJc w:val="left"/>
      <w:pPr>
        <w:tabs>
          <w:tab w:val="num" w:pos="840"/>
        </w:tabs>
        <w:ind w:left="840" w:hanging="840"/>
      </w:pPr>
      <w:rPr>
        <w:rFonts w:hint="default"/>
      </w:rPr>
    </w:lvl>
    <w:lvl w:ilvl="1">
      <w:start w:val="1"/>
      <w:numFmt w:val="lowerRoman"/>
      <w:lvlText w:val="（%2）"/>
      <w:lvlJc w:val="left"/>
      <w:pPr>
        <w:tabs>
          <w:tab w:val="num" w:pos="1500"/>
        </w:tabs>
        <w:ind w:left="1500" w:hanging="108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97452C4"/>
    <w:multiLevelType w:val="hybridMultilevel"/>
    <w:tmpl w:val="BC0C9908"/>
    <w:lvl w:ilvl="0" w:tplc="93883F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9AB1A8C"/>
    <w:multiLevelType w:val="multilevel"/>
    <w:tmpl w:val="09AB1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55A5D08"/>
    <w:multiLevelType w:val="hybridMultilevel"/>
    <w:tmpl w:val="F880D72A"/>
    <w:lvl w:ilvl="0" w:tplc="4D4E36FE">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156C1741"/>
    <w:multiLevelType w:val="multilevel"/>
    <w:tmpl w:val="156C174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7E252B"/>
    <w:multiLevelType w:val="hybridMultilevel"/>
    <w:tmpl w:val="563CA24A"/>
    <w:lvl w:ilvl="0" w:tplc="497A48BA">
      <w:start w:val="1"/>
      <w:numFmt w:val="decimal"/>
      <w:lvlText w:val="%1、"/>
      <w:lvlJc w:val="left"/>
      <w:pPr>
        <w:ind w:left="960" w:hanging="360"/>
      </w:pPr>
      <w:rPr>
        <w:rFonts w:ascii="宋体" w:hAnsi="宋体" w:cs="Times New Roman" w:hint="default"/>
        <w:color w:val="auto"/>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1D130D55"/>
    <w:multiLevelType w:val="hybridMultilevel"/>
    <w:tmpl w:val="DEA058A6"/>
    <w:lvl w:ilvl="0" w:tplc="2410C6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6332E26"/>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F952971"/>
    <w:multiLevelType w:val="hybridMultilevel"/>
    <w:tmpl w:val="577EED04"/>
    <w:lvl w:ilvl="0" w:tplc="E362CA0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31012739"/>
    <w:multiLevelType w:val="multilevel"/>
    <w:tmpl w:val="3101273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1">
    <w:nsid w:val="310C4A40"/>
    <w:multiLevelType w:val="multilevel"/>
    <w:tmpl w:val="310C4A40"/>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125105B"/>
    <w:multiLevelType w:val="hybridMultilevel"/>
    <w:tmpl w:val="49A6FACE"/>
    <w:lvl w:ilvl="0" w:tplc="DAFC8A84">
      <w:start w:val="1"/>
      <w:numFmt w:val="japaneseCounting"/>
      <w:lvlText w:val="%1、"/>
      <w:lvlJc w:val="left"/>
      <w:pPr>
        <w:ind w:left="982" w:hanging="510"/>
      </w:pPr>
      <w:rPr>
        <w:rFonts w:hint="default"/>
      </w:rPr>
    </w:lvl>
    <w:lvl w:ilvl="1" w:tplc="5ACE0A42">
      <w:start w:val="1"/>
      <w:numFmt w:val="decimal"/>
      <w:lvlText w:val="%2、"/>
      <w:lvlJc w:val="left"/>
      <w:pPr>
        <w:ind w:left="1252" w:hanging="360"/>
      </w:pPr>
      <w:rPr>
        <w:rFonts w:hint="default"/>
      </w:r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3">
    <w:nsid w:val="31DF075A"/>
    <w:multiLevelType w:val="hybridMultilevel"/>
    <w:tmpl w:val="F8765BBA"/>
    <w:lvl w:ilvl="0" w:tplc="964A23E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6C63AC"/>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5">
    <w:nsid w:val="3A1E4C5B"/>
    <w:multiLevelType w:val="multilevel"/>
    <w:tmpl w:val="3A1E4C5B"/>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6">
    <w:nsid w:val="3C287A02"/>
    <w:multiLevelType w:val="hybridMultilevel"/>
    <w:tmpl w:val="563CA24A"/>
    <w:lvl w:ilvl="0" w:tplc="497A48BA">
      <w:start w:val="1"/>
      <w:numFmt w:val="decimal"/>
      <w:lvlText w:val="%1、"/>
      <w:lvlJc w:val="left"/>
      <w:pPr>
        <w:ind w:left="960" w:hanging="360"/>
      </w:pPr>
      <w:rPr>
        <w:rFonts w:ascii="宋体" w:hAnsi="宋体" w:cs="Times New Roman" w:hint="default"/>
        <w:color w:val="auto"/>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426A1644"/>
    <w:multiLevelType w:val="hybridMultilevel"/>
    <w:tmpl w:val="C0F4DE02"/>
    <w:lvl w:ilvl="0" w:tplc="F2F40358">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8">
    <w:nsid w:val="43EC6672"/>
    <w:multiLevelType w:val="multilevel"/>
    <w:tmpl w:val="43EC66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59E03CA"/>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83B3D77"/>
    <w:multiLevelType w:val="multilevel"/>
    <w:tmpl w:val="483B3D77"/>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93122FB"/>
    <w:multiLevelType w:val="multilevel"/>
    <w:tmpl w:val="493122FB"/>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B4C6453"/>
    <w:multiLevelType w:val="hybridMultilevel"/>
    <w:tmpl w:val="563CA24A"/>
    <w:lvl w:ilvl="0" w:tplc="497A48BA">
      <w:start w:val="1"/>
      <w:numFmt w:val="decimal"/>
      <w:lvlText w:val="%1、"/>
      <w:lvlJc w:val="left"/>
      <w:pPr>
        <w:ind w:left="960" w:hanging="360"/>
      </w:pPr>
      <w:rPr>
        <w:rFonts w:ascii="宋体" w:hAnsi="宋体" w:cs="Times New Roman" w:hint="default"/>
        <w:color w:val="auto"/>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4BC931D6"/>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4">
    <w:nsid w:val="4E820BBB"/>
    <w:multiLevelType w:val="multilevel"/>
    <w:tmpl w:val="4E820BBB"/>
    <w:lvl w:ilvl="0">
      <w:start w:val="1"/>
      <w:numFmt w:val="decimal"/>
      <w:lvlText w:val="(%1)"/>
      <w:lvlJc w:val="left"/>
      <w:pPr>
        <w:tabs>
          <w:tab w:val="num" w:pos="720"/>
        </w:tabs>
        <w:ind w:left="720" w:hanging="720"/>
      </w:pPr>
      <w:rPr>
        <w:rFonts w:ascii="Times New Roman" w:hAnsi="Times New Roman"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578FAEE"/>
    <w:multiLevelType w:val="singleLevel"/>
    <w:tmpl w:val="5578FAEE"/>
    <w:lvl w:ilvl="0">
      <w:start w:val="1"/>
      <w:numFmt w:val="chineseCounting"/>
      <w:suff w:val="nothing"/>
      <w:lvlText w:val="（%1）"/>
      <w:lvlJc w:val="left"/>
    </w:lvl>
  </w:abstractNum>
  <w:abstractNum w:abstractNumId="26">
    <w:nsid w:val="5796590F"/>
    <w:multiLevelType w:val="hybridMultilevel"/>
    <w:tmpl w:val="2C8ECF5C"/>
    <w:lvl w:ilvl="0" w:tplc="35B279A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2245718"/>
    <w:multiLevelType w:val="multilevel"/>
    <w:tmpl w:val="622457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3CF45E5"/>
    <w:multiLevelType w:val="hybridMultilevel"/>
    <w:tmpl w:val="FC3C311A"/>
    <w:lvl w:ilvl="0" w:tplc="E1FE846A">
      <w:start w:val="2"/>
      <w:numFmt w:val="japaneseCounting"/>
      <w:lvlText w:val="%1、"/>
      <w:lvlJc w:val="left"/>
      <w:pPr>
        <w:ind w:left="652" w:hanging="510"/>
      </w:pPr>
      <w:rPr>
        <w:rFonts w:hint="default"/>
      </w:rPr>
    </w:lvl>
    <w:lvl w:ilvl="1" w:tplc="4222A2A4">
      <w:start w:val="1"/>
      <w:numFmt w:val="decimal"/>
      <w:lvlText w:val="%2、"/>
      <w:lvlJc w:val="left"/>
      <w:pPr>
        <w:ind w:left="922" w:hanging="36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9">
    <w:nsid w:val="6DE72A23"/>
    <w:multiLevelType w:val="multilevel"/>
    <w:tmpl w:val="6DE72A23"/>
    <w:lvl w:ilvl="0">
      <w:start w:val="1"/>
      <w:numFmt w:val="chineseCounting"/>
      <w:suff w:val="space"/>
      <w:lvlText w:val="第%1条"/>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pPr>
        <w:ind w:left="420"/>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30">
    <w:nsid w:val="6F8463C9"/>
    <w:multiLevelType w:val="multilevel"/>
    <w:tmpl w:val="6F8463C9"/>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6FB12C57"/>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nsid w:val="70553806"/>
    <w:multiLevelType w:val="hybridMultilevel"/>
    <w:tmpl w:val="94D41310"/>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46C2629"/>
    <w:multiLevelType w:val="hybridMultilevel"/>
    <w:tmpl w:val="A920A794"/>
    <w:lvl w:ilvl="0" w:tplc="49F807E2">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F56B0A"/>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5">
    <w:nsid w:val="7AC3625A"/>
    <w:multiLevelType w:val="hybridMultilevel"/>
    <w:tmpl w:val="0B865A4A"/>
    <w:lvl w:ilvl="0" w:tplc="0409000F">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7F5C32F2"/>
    <w:multiLevelType w:val="hybridMultilevel"/>
    <w:tmpl w:val="D1AA16AE"/>
    <w:lvl w:ilvl="0" w:tplc="CB5E7E8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9"/>
  </w:num>
  <w:num w:numId="2">
    <w:abstractNumId w:val="36"/>
  </w:num>
  <w:num w:numId="3">
    <w:abstractNumId w:val="7"/>
  </w:num>
  <w:num w:numId="4">
    <w:abstractNumId w:val="2"/>
  </w:num>
  <w:num w:numId="5">
    <w:abstractNumId w:val="35"/>
  </w:num>
  <w:num w:numId="6">
    <w:abstractNumId w:val="19"/>
  </w:num>
  <w:num w:numId="7">
    <w:abstractNumId w:val="31"/>
  </w:num>
  <w:num w:numId="8">
    <w:abstractNumId w:val="8"/>
  </w:num>
  <w:num w:numId="9">
    <w:abstractNumId w:val="32"/>
  </w:num>
  <w:num w:numId="10">
    <w:abstractNumId w:val="33"/>
  </w:num>
  <w:num w:numId="11">
    <w:abstractNumId w:val="23"/>
  </w:num>
  <w:num w:numId="12">
    <w:abstractNumId w:val="14"/>
  </w:num>
  <w:num w:numId="13">
    <w:abstractNumId w:val="0"/>
  </w:num>
  <w:num w:numId="14">
    <w:abstractNumId w:val="34"/>
  </w:num>
  <w:num w:numId="15">
    <w:abstractNumId w:val="12"/>
  </w:num>
  <w:num w:numId="16">
    <w:abstractNumId w:val="4"/>
  </w:num>
  <w:num w:numId="17">
    <w:abstractNumId w:val="28"/>
  </w:num>
  <w:num w:numId="18">
    <w:abstractNumId w:val="1"/>
  </w:num>
  <w:num w:numId="19">
    <w:abstractNumId w:val="18"/>
  </w:num>
  <w:num w:numId="20">
    <w:abstractNumId w:val="20"/>
  </w:num>
  <w:num w:numId="21">
    <w:abstractNumId w:val="11"/>
  </w:num>
  <w:num w:numId="22">
    <w:abstractNumId w:val="30"/>
  </w:num>
  <w:num w:numId="23">
    <w:abstractNumId w:val="27"/>
  </w:num>
  <w:num w:numId="24">
    <w:abstractNumId w:val="21"/>
  </w:num>
  <w:num w:numId="25">
    <w:abstractNumId w:val="3"/>
  </w:num>
  <w:num w:numId="26">
    <w:abstractNumId w:val="5"/>
  </w:num>
  <w:num w:numId="27">
    <w:abstractNumId w:val="24"/>
  </w:num>
  <w:num w:numId="28">
    <w:abstractNumId w:val="15"/>
  </w:num>
  <w:num w:numId="29">
    <w:abstractNumId w:val="10"/>
  </w:num>
  <w:num w:numId="30">
    <w:abstractNumId w:val="26"/>
  </w:num>
  <w:num w:numId="31">
    <w:abstractNumId w:val="17"/>
  </w:num>
  <w:num w:numId="32">
    <w:abstractNumId w:val="29"/>
  </w:num>
  <w:num w:numId="33">
    <w:abstractNumId w:val="25"/>
  </w:num>
  <w:num w:numId="34">
    <w:abstractNumId w:val="22"/>
  </w:num>
  <w:num w:numId="35">
    <w:abstractNumId w:val="6"/>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3367"/>
    <w:rsid w:val="000115A4"/>
    <w:rsid w:val="000126EE"/>
    <w:rsid w:val="00012E43"/>
    <w:rsid w:val="00013ECB"/>
    <w:rsid w:val="00035C9D"/>
    <w:rsid w:val="0004245E"/>
    <w:rsid w:val="00046610"/>
    <w:rsid w:val="000474BB"/>
    <w:rsid w:val="000474D5"/>
    <w:rsid w:val="00053404"/>
    <w:rsid w:val="00062533"/>
    <w:rsid w:val="00065000"/>
    <w:rsid w:val="00080E52"/>
    <w:rsid w:val="00082619"/>
    <w:rsid w:val="0008640A"/>
    <w:rsid w:val="000B2354"/>
    <w:rsid w:val="000C1193"/>
    <w:rsid w:val="000C4240"/>
    <w:rsid w:val="000D2337"/>
    <w:rsid w:val="000E0277"/>
    <w:rsid w:val="000E779C"/>
    <w:rsid w:val="00104E55"/>
    <w:rsid w:val="001061D8"/>
    <w:rsid w:val="00113975"/>
    <w:rsid w:val="00140ECC"/>
    <w:rsid w:val="001461AA"/>
    <w:rsid w:val="00156A9A"/>
    <w:rsid w:val="0016528C"/>
    <w:rsid w:val="00171DB8"/>
    <w:rsid w:val="0017287A"/>
    <w:rsid w:val="00173CFF"/>
    <w:rsid w:val="00176979"/>
    <w:rsid w:val="001856AA"/>
    <w:rsid w:val="00185D93"/>
    <w:rsid w:val="00194C9C"/>
    <w:rsid w:val="001A45B3"/>
    <w:rsid w:val="001A7B4E"/>
    <w:rsid w:val="001B016C"/>
    <w:rsid w:val="001B3CF7"/>
    <w:rsid w:val="001C1EF7"/>
    <w:rsid w:val="001C4DA6"/>
    <w:rsid w:val="001D390C"/>
    <w:rsid w:val="001D44CD"/>
    <w:rsid w:val="001D6062"/>
    <w:rsid w:val="001D7597"/>
    <w:rsid w:val="001E02E3"/>
    <w:rsid w:val="001E2773"/>
    <w:rsid w:val="001F280E"/>
    <w:rsid w:val="001F51FB"/>
    <w:rsid w:val="00212819"/>
    <w:rsid w:val="0021326C"/>
    <w:rsid w:val="00220677"/>
    <w:rsid w:val="00223B4E"/>
    <w:rsid w:val="00223D34"/>
    <w:rsid w:val="002246EE"/>
    <w:rsid w:val="00232212"/>
    <w:rsid w:val="00235035"/>
    <w:rsid w:val="002403AF"/>
    <w:rsid w:val="00245F4A"/>
    <w:rsid w:val="002500CA"/>
    <w:rsid w:val="00251637"/>
    <w:rsid w:val="00256FD8"/>
    <w:rsid w:val="0026553A"/>
    <w:rsid w:val="0026595A"/>
    <w:rsid w:val="00267F19"/>
    <w:rsid w:val="002804B2"/>
    <w:rsid w:val="00282CA4"/>
    <w:rsid w:val="00291E79"/>
    <w:rsid w:val="002968C5"/>
    <w:rsid w:val="002A0585"/>
    <w:rsid w:val="002A2D80"/>
    <w:rsid w:val="002B1568"/>
    <w:rsid w:val="002B1979"/>
    <w:rsid w:val="002B285F"/>
    <w:rsid w:val="002B3D1B"/>
    <w:rsid w:val="002B74CF"/>
    <w:rsid w:val="002C3994"/>
    <w:rsid w:val="002D648C"/>
    <w:rsid w:val="002E0E3C"/>
    <w:rsid w:val="002E1377"/>
    <w:rsid w:val="002E2701"/>
    <w:rsid w:val="002F177E"/>
    <w:rsid w:val="002F452B"/>
    <w:rsid w:val="003031B9"/>
    <w:rsid w:val="00303ACA"/>
    <w:rsid w:val="00310780"/>
    <w:rsid w:val="0031096C"/>
    <w:rsid w:val="00311CF9"/>
    <w:rsid w:val="0031495C"/>
    <w:rsid w:val="0032287C"/>
    <w:rsid w:val="003228F0"/>
    <w:rsid w:val="0032325D"/>
    <w:rsid w:val="00331F7A"/>
    <w:rsid w:val="00350402"/>
    <w:rsid w:val="0035193A"/>
    <w:rsid w:val="0036056B"/>
    <w:rsid w:val="00363042"/>
    <w:rsid w:val="00364217"/>
    <w:rsid w:val="00364A27"/>
    <w:rsid w:val="00365258"/>
    <w:rsid w:val="00384CAD"/>
    <w:rsid w:val="00387CD9"/>
    <w:rsid w:val="003947CA"/>
    <w:rsid w:val="00395C29"/>
    <w:rsid w:val="003A0D35"/>
    <w:rsid w:val="003A3DDD"/>
    <w:rsid w:val="003A4E99"/>
    <w:rsid w:val="003A5F03"/>
    <w:rsid w:val="003C01CE"/>
    <w:rsid w:val="003D622F"/>
    <w:rsid w:val="003E6448"/>
    <w:rsid w:val="003E71F1"/>
    <w:rsid w:val="003E7C55"/>
    <w:rsid w:val="003F02A8"/>
    <w:rsid w:val="003F799C"/>
    <w:rsid w:val="004013F9"/>
    <w:rsid w:val="004064B3"/>
    <w:rsid w:val="00412CD6"/>
    <w:rsid w:val="004134A9"/>
    <w:rsid w:val="0041775F"/>
    <w:rsid w:val="00422F3A"/>
    <w:rsid w:val="00423661"/>
    <w:rsid w:val="004242D7"/>
    <w:rsid w:val="00424B62"/>
    <w:rsid w:val="0042547B"/>
    <w:rsid w:val="00431222"/>
    <w:rsid w:val="00432428"/>
    <w:rsid w:val="00432BDD"/>
    <w:rsid w:val="00437278"/>
    <w:rsid w:val="004513A9"/>
    <w:rsid w:val="00452A23"/>
    <w:rsid w:val="00457386"/>
    <w:rsid w:val="0046349C"/>
    <w:rsid w:val="004660A1"/>
    <w:rsid w:val="004700ED"/>
    <w:rsid w:val="00472760"/>
    <w:rsid w:val="004812FB"/>
    <w:rsid w:val="00481E41"/>
    <w:rsid w:val="004913CC"/>
    <w:rsid w:val="0049796E"/>
    <w:rsid w:val="004A1870"/>
    <w:rsid w:val="004A4A2A"/>
    <w:rsid w:val="004A58E9"/>
    <w:rsid w:val="004A6895"/>
    <w:rsid w:val="004A68C6"/>
    <w:rsid w:val="004B152C"/>
    <w:rsid w:val="004B1BA8"/>
    <w:rsid w:val="004B5FD2"/>
    <w:rsid w:val="004B7125"/>
    <w:rsid w:val="004B7628"/>
    <w:rsid w:val="004C229E"/>
    <w:rsid w:val="004D103B"/>
    <w:rsid w:val="004D515A"/>
    <w:rsid w:val="004E3E4F"/>
    <w:rsid w:val="004E57FB"/>
    <w:rsid w:val="004E7644"/>
    <w:rsid w:val="004F46C0"/>
    <w:rsid w:val="00502FB3"/>
    <w:rsid w:val="0050603C"/>
    <w:rsid w:val="00507FB7"/>
    <w:rsid w:val="0051510D"/>
    <w:rsid w:val="00522E2D"/>
    <w:rsid w:val="00522EFB"/>
    <w:rsid w:val="00527239"/>
    <w:rsid w:val="00532435"/>
    <w:rsid w:val="00534BE3"/>
    <w:rsid w:val="00541449"/>
    <w:rsid w:val="0054260F"/>
    <w:rsid w:val="00550F58"/>
    <w:rsid w:val="00554B41"/>
    <w:rsid w:val="00560C51"/>
    <w:rsid w:val="0056233E"/>
    <w:rsid w:val="005628D0"/>
    <w:rsid w:val="005709B1"/>
    <w:rsid w:val="00583512"/>
    <w:rsid w:val="00584A8A"/>
    <w:rsid w:val="00587EFF"/>
    <w:rsid w:val="005B0180"/>
    <w:rsid w:val="005B3AE5"/>
    <w:rsid w:val="005B5465"/>
    <w:rsid w:val="005C2785"/>
    <w:rsid w:val="005C72B1"/>
    <w:rsid w:val="005D06B7"/>
    <w:rsid w:val="005D4C36"/>
    <w:rsid w:val="005E354B"/>
    <w:rsid w:val="005E3B2A"/>
    <w:rsid w:val="005E3E85"/>
    <w:rsid w:val="005E4C1B"/>
    <w:rsid w:val="005E7F25"/>
    <w:rsid w:val="00606537"/>
    <w:rsid w:val="00620C93"/>
    <w:rsid w:val="0062460F"/>
    <w:rsid w:val="006254C1"/>
    <w:rsid w:val="006328E3"/>
    <w:rsid w:val="00633271"/>
    <w:rsid w:val="00643FB3"/>
    <w:rsid w:val="0065340C"/>
    <w:rsid w:val="00653630"/>
    <w:rsid w:val="00653882"/>
    <w:rsid w:val="00656CD2"/>
    <w:rsid w:val="00674920"/>
    <w:rsid w:val="00675E56"/>
    <w:rsid w:val="006772AA"/>
    <w:rsid w:val="006774D8"/>
    <w:rsid w:val="006860CB"/>
    <w:rsid w:val="00686364"/>
    <w:rsid w:val="00697F26"/>
    <w:rsid w:val="006A6C07"/>
    <w:rsid w:val="006B3DBC"/>
    <w:rsid w:val="006B686D"/>
    <w:rsid w:val="006C7547"/>
    <w:rsid w:val="006D154F"/>
    <w:rsid w:val="006D1DF3"/>
    <w:rsid w:val="006D3F4E"/>
    <w:rsid w:val="006D60BA"/>
    <w:rsid w:val="006E376C"/>
    <w:rsid w:val="006E57AA"/>
    <w:rsid w:val="006E6650"/>
    <w:rsid w:val="006F3503"/>
    <w:rsid w:val="0070300E"/>
    <w:rsid w:val="00707A7F"/>
    <w:rsid w:val="00707A98"/>
    <w:rsid w:val="00711DD1"/>
    <w:rsid w:val="00713D79"/>
    <w:rsid w:val="007144DE"/>
    <w:rsid w:val="0072689F"/>
    <w:rsid w:val="007318A5"/>
    <w:rsid w:val="00734E7F"/>
    <w:rsid w:val="00736BD1"/>
    <w:rsid w:val="007372D9"/>
    <w:rsid w:val="007404F8"/>
    <w:rsid w:val="00740DE2"/>
    <w:rsid w:val="007523A1"/>
    <w:rsid w:val="007548F0"/>
    <w:rsid w:val="007636F3"/>
    <w:rsid w:val="00782E7A"/>
    <w:rsid w:val="00786786"/>
    <w:rsid w:val="007A39FD"/>
    <w:rsid w:val="007B54ED"/>
    <w:rsid w:val="007B6F49"/>
    <w:rsid w:val="007C2DFD"/>
    <w:rsid w:val="007C2F0A"/>
    <w:rsid w:val="007C6856"/>
    <w:rsid w:val="007D253C"/>
    <w:rsid w:val="007D7CF3"/>
    <w:rsid w:val="007E07B3"/>
    <w:rsid w:val="007E1CDC"/>
    <w:rsid w:val="007E3154"/>
    <w:rsid w:val="007E4C84"/>
    <w:rsid w:val="007E54F1"/>
    <w:rsid w:val="007E7417"/>
    <w:rsid w:val="007F1FC5"/>
    <w:rsid w:val="007F628C"/>
    <w:rsid w:val="007F77E2"/>
    <w:rsid w:val="007F7927"/>
    <w:rsid w:val="00816FC4"/>
    <w:rsid w:val="008209B5"/>
    <w:rsid w:val="00827108"/>
    <w:rsid w:val="00827F5D"/>
    <w:rsid w:val="00833D40"/>
    <w:rsid w:val="00841DFF"/>
    <w:rsid w:val="00843648"/>
    <w:rsid w:val="00855A17"/>
    <w:rsid w:val="008606E3"/>
    <w:rsid w:val="00862041"/>
    <w:rsid w:val="00863AB6"/>
    <w:rsid w:val="00865166"/>
    <w:rsid w:val="00874C22"/>
    <w:rsid w:val="00876414"/>
    <w:rsid w:val="00880328"/>
    <w:rsid w:val="008818F1"/>
    <w:rsid w:val="00883EEB"/>
    <w:rsid w:val="008915A0"/>
    <w:rsid w:val="00897842"/>
    <w:rsid w:val="008B26C0"/>
    <w:rsid w:val="008C663C"/>
    <w:rsid w:val="008D5FEA"/>
    <w:rsid w:val="008D6590"/>
    <w:rsid w:val="008E5F71"/>
    <w:rsid w:val="008F3CEA"/>
    <w:rsid w:val="008F4371"/>
    <w:rsid w:val="008F563E"/>
    <w:rsid w:val="008F7600"/>
    <w:rsid w:val="009109A3"/>
    <w:rsid w:val="00911D89"/>
    <w:rsid w:val="00933965"/>
    <w:rsid w:val="009371E5"/>
    <w:rsid w:val="0096137D"/>
    <w:rsid w:val="00964E14"/>
    <w:rsid w:val="00966A8F"/>
    <w:rsid w:val="00971DE0"/>
    <w:rsid w:val="009739BB"/>
    <w:rsid w:val="009770D4"/>
    <w:rsid w:val="00981A96"/>
    <w:rsid w:val="00982F0F"/>
    <w:rsid w:val="00987947"/>
    <w:rsid w:val="00993577"/>
    <w:rsid w:val="00993C18"/>
    <w:rsid w:val="009A545C"/>
    <w:rsid w:val="009A7107"/>
    <w:rsid w:val="009B2857"/>
    <w:rsid w:val="009C11F1"/>
    <w:rsid w:val="009C480C"/>
    <w:rsid w:val="009D0C97"/>
    <w:rsid w:val="009D2EF7"/>
    <w:rsid w:val="009D7974"/>
    <w:rsid w:val="009E0D17"/>
    <w:rsid w:val="009E47E4"/>
    <w:rsid w:val="009E7B1B"/>
    <w:rsid w:val="009F348A"/>
    <w:rsid w:val="009F4E8A"/>
    <w:rsid w:val="009F5B90"/>
    <w:rsid w:val="00A01B6B"/>
    <w:rsid w:val="00A01D05"/>
    <w:rsid w:val="00A1212E"/>
    <w:rsid w:val="00A21C03"/>
    <w:rsid w:val="00A30267"/>
    <w:rsid w:val="00A30727"/>
    <w:rsid w:val="00A369F0"/>
    <w:rsid w:val="00A536F1"/>
    <w:rsid w:val="00A553B3"/>
    <w:rsid w:val="00A63974"/>
    <w:rsid w:val="00A63B0A"/>
    <w:rsid w:val="00A675EC"/>
    <w:rsid w:val="00A71A2A"/>
    <w:rsid w:val="00A72A26"/>
    <w:rsid w:val="00A74593"/>
    <w:rsid w:val="00A74DF3"/>
    <w:rsid w:val="00A76938"/>
    <w:rsid w:val="00A76DC3"/>
    <w:rsid w:val="00A802CA"/>
    <w:rsid w:val="00A817AD"/>
    <w:rsid w:val="00A86528"/>
    <w:rsid w:val="00A96C3B"/>
    <w:rsid w:val="00AA3070"/>
    <w:rsid w:val="00AA3457"/>
    <w:rsid w:val="00AB3097"/>
    <w:rsid w:val="00AB55FF"/>
    <w:rsid w:val="00AC2E92"/>
    <w:rsid w:val="00AC4B35"/>
    <w:rsid w:val="00AC5C20"/>
    <w:rsid w:val="00AC6ABC"/>
    <w:rsid w:val="00AD138E"/>
    <w:rsid w:val="00AD3A09"/>
    <w:rsid w:val="00AD56B7"/>
    <w:rsid w:val="00AE010B"/>
    <w:rsid w:val="00AE2331"/>
    <w:rsid w:val="00AE5ECC"/>
    <w:rsid w:val="00AE7E99"/>
    <w:rsid w:val="00AF3298"/>
    <w:rsid w:val="00B00AE6"/>
    <w:rsid w:val="00B12C14"/>
    <w:rsid w:val="00B14598"/>
    <w:rsid w:val="00B24E09"/>
    <w:rsid w:val="00B26970"/>
    <w:rsid w:val="00B27841"/>
    <w:rsid w:val="00B30494"/>
    <w:rsid w:val="00B313D2"/>
    <w:rsid w:val="00B36A20"/>
    <w:rsid w:val="00B36E4F"/>
    <w:rsid w:val="00B37919"/>
    <w:rsid w:val="00B554AA"/>
    <w:rsid w:val="00B55645"/>
    <w:rsid w:val="00B93F55"/>
    <w:rsid w:val="00B97DA7"/>
    <w:rsid w:val="00BA233C"/>
    <w:rsid w:val="00BA5172"/>
    <w:rsid w:val="00BA6309"/>
    <w:rsid w:val="00BA7A52"/>
    <w:rsid w:val="00BC0E1D"/>
    <w:rsid w:val="00BC3D06"/>
    <w:rsid w:val="00BD5068"/>
    <w:rsid w:val="00BD55F9"/>
    <w:rsid w:val="00BE0434"/>
    <w:rsid w:val="00BE2001"/>
    <w:rsid w:val="00BF4E89"/>
    <w:rsid w:val="00BF6A16"/>
    <w:rsid w:val="00C000A4"/>
    <w:rsid w:val="00C00175"/>
    <w:rsid w:val="00C02945"/>
    <w:rsid w:val="00C16C5F"/>
    <w:rsid w:val="00C20A68"/>
    <w:rsid w:val="00C33367"/>
    <w:rsid w:val="00C35243"/>
    <w:rsid w:val="00C51422"/>
    <w:rsid w:val="00C52B72"/>
    <w:rsid w:val="00C52B78"/>
    <w:rsid w:val="00C554BE"/>
    <w:rsid w:val="00C5677F"/>
    <w:rsid w:val="00C605CB"/>
    <w:rsid w:val="00C63723"/>
    <w:rsid w:val="00C703FE"/>
    <w:rsid w:val="00C76073"/>
    <w:rsid w:val="00C7730D"/>
    <w:rsid w:val="00C91171"/>
    <w:rsid w:val="00CA3980"/>
    <w:rsid w:val="00CB1B8D"/>
    <w:rsid w:val="00CC0CED"/>
    <w:rsid w:val="00CC288A"/>
    <w:rsid w:val="00CD33C4"/>
    <w:rsid w:val="00CE24FE"/>
    <w:rsid w:val="00CE34AD"/>
    <w:rsid w:val="00CF4960"/>
    <w:rsid w:val="00CF7F85"/>
    <w:rsid w:val="00D0270D"/>
    <w:rsid w:val="00D03D55"/>
    <w:rsid w:val="00D054E5"/>
    <w:rsid w:val="00D109C5"/>
    <w:rsid w:val="00D200C7"/>
    <w:rsid w:val="00D33309"/>
    <w:rsid w:val="00D44A2C"/>
    <w:rsid w:val="00D65685"/>
    <w:rsid w:val="00D67EA9"/>
    <w:rsid w:val="00D67F11"/>
    <w:rsid w:val="00D709A6"/>
    <w:rsid w:val="00D70C2C"/>
    <w:rsid w:val="00D74F33"/>
    <w:rsid w:val="00D750AD"/>
    <w:rsid w:val="00D90E22"/>
    <w:rsid w:val="00DA5AC7"/>
    <w:rsid w:val="00DB28AD"/>
    <w:rsid w:val="00DB6F9B"/>
    <w:rsid w:val="00DC075C"/>
    <w:rsid w:val="00DC59D5"/>
    <w:rsid w:val="00DE6FC3"/>
    <w:rsid w:val="00E01B38"/>
    <w:rsid w:val="00E05537"/>
    <w:rsid w:val="00E057CB"/>
    <w:rsid w:val="00E11E68"/>
    <w:rsid w:val="00E20E5A"/>
    <w:rsid w:val="00E21E9E"/>
    <w:rsid w:val="00E22722"/>
    <w:rsid w:val="00E2282E"/>
    <w:rsid w:val="00E45A00"/>
    <w:rsid w:val="00E46E80"/>
    <w:rsid w:val="00E46FD5"/>
    <w:rsid w:val="00E53096"/>
    <w:rsid w:val="00E55F71"/>
    <w:rsid w:val="00E57A1A"/>
    <w:rsid w:val="00E82F60"/>
    <w:rsid w:val="00E8309B"/>
    <w:rsid w:val="00E8470E"/>
    <w:rsid w:val="00E85A3B"/>
    <w:rsid w:val="00E9172C"/>
    <w:rsid w:val="00E949C7"/>
    <w:rsid w:val="00E9509D"/>
    <w:rsid w:val="00E97152"/>
    <w:rsid w:val="00EA4A0A"/>
    <w:rsid w:val="00EC1292"/>
    <w:rsid w:val="00EC19F4"/>
    <w:rsid w:val="00EC4392"/>
    <w:rsid w:val="00ED3594"/>
    <w:rsid w:val="00ED7BEC"/>
    <w:rsid w:val="00EE0463"/>
    <w:rsid w:val="00EE2E5D"/>
    <w:rsid w:val="00EE4C37"/>
    <w:rsid w:val="00EF055F"/>
    <w:rsid w:val="00EF6ACB"/>
    <w:rsid w:val="00F010E0"/>
    <w:rsid w:val="00F04CAD"/>
    <w:rsid w:val="00F24457"/>
    <w:rsid w:val="00F2745D"/>
    <w:rsid w:val="00F3165D"/>
    <w:rsid w:val="00F31D02"/>
    <w:rsid w:val="00F33A9A"/>
    <w:rsid w:val="00F45272"/>
    <w:rsid w:val="00F459C7"/>
    <w:rsid w:val="00F50C4B"/>
    <w:rsid w:val="00F52CF0"/>
    <w:rsid w:val="00F60E0D"/>
    <w:rsid w:val="00F61E2F"/>
    <w:rsid w:val="00F63E47"/>
    <w:rsid w:val="00F64D1D"/>
    <w:rsid w:val="00F66578"/>
    <w:rsid w:val="00F77BEC"/>
    <w:rsid w:val="00F849DE"/>
    <w:rsid w:val="00F9156E"/>
    <w:rsid w:val="00FA42FD"/>
    <w:rsid w:val="00FA6DF1"/>
    <w:rsid w:val="00FB213D"/>
    <w:rsid w:val="00FB5F43"/>
    <w:rsid w:val="00FD1294"/>
    <w:rsid w:val="00FD2B63"/>
    <w:rsid w:val="00FE765E"/>
    <w:rsid w:val="00FF0064"/>
    <w:rsid w:val="00FF6295"/>
    <w:rsid w:val="00FF6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Char2"/>
    <w:qFormat/>
    <w:rsid w:val="0065340C"/>
    <w:pPr>
      <w:spacing w:before="240" w:after="60"/>
      <w:jc w:val="center"/>
      <w:outlineLvl w:val="0"/>
    </w:pPr>
    <w:rPr>
      <w:rFonts w:ascii="Arial" w:hAnsi="Arial" w:cs="Arial"/>
      <w:b/>
      <w:bCs/>
      <w:sz w:val="32"/>
      <w:szCs w:val="32"/>
    </w:rPr>
  </w:style>
  <w:style w:type="character" w:customStyle="1" w:styleId="Char2">
    <w:name w:val="标题 Char"/>
    <w:basedOn w:val="a0"/>
    <w:link w:val="a8"/>
    <w:rsid w:val="0065340C"/>
    <w:rPr>
      <w:rFonts w:ascii="Arial" w:eastAsia="宋体" w:hAnsi="Arial" w:cs="Arial"/>
      <w:b/>
      <w:bCs/>
      <w:sz w:val="32"/>
      <w:szCs w:val="32"/>
    </w:rPr>
  </w:style>
  <w:style w:type="character" w:customStyle="1" w:styleId="fontstyle01">
    <w:name w:val="fontstyle01"/>
    <w:rsid w:val="00E9172C"/>
    <w:rPr>
      <w:rFonts w:ascii="宋体" w:eastAsia="宋体" w:hAnsi="宋体" w:hint="eastAsia"/>
      <w:b w:val="0"/>
      <w:bCs w:val="0"/>
      <w:i w:val="0"/>
      <w:iCs w:val="0"/>
      <w:color w:val="000000"/>
      <w:sz w:val="24"/>
      <w:szCs w:val="24"/>
    </w:rPr>
  </w:style>
  <w:style w:type="paragraph" w:styleId="a9">
    <w:name w:val="Normal (Web)"/>
    <w:basedOn w:val="a"/>
    <w:uiPriority w:val="99"/>
    <w:unhideWhenUsed/>
    <w:rsid w:val="004B5FD2"/>
    <w:pPr>
      <w:widowControl/>
      <w:spacing w:before="100" w:beforeAutospacing="1" w:after="100" w:afterAutospacing="1"/>
      <w:jc w:val="left"/>
    </w:pPr>
    <w:rPr>
      <w:rFonts w:cs="宋体"/>
      <w:kern w:val="0"/>
      <w:sz w:val="24"/>
    </w:rPr>
  </w:style>
  <w:style w:type="paragraph" w:customStyle="1" w:styleId="align-center">
    <w:name w:val="align-center"/>
    <w:basedOn w:val="a"/>
    <w:rsid w:val="005B5465"/>
    <w:pPr>
      <w:widowControl/>
      <w:spacing w:before="100" w:beforeAutospacing="1" w:after="100" w:afterAutospacing="1"/>
      <w:jc w:val="left"/>
    </w:pPr>
    <w:rPr>
      <w:rFonts w:cs="宋体"/>
      <w:kern w:val="0"/>
      <w:sz w:val="24"/>
    </w:rPr>
  </w:style>
  <w:style w:type="paragraph" w:customStyle="1" w:styleId="align-left">
    <w:name w:val="align-left"/>
    <w:basedOn w:val="a"/>
    <w:rsid w:val="005B5465"/>
    <w:pPr>
      <w:widowControl/>
      <w:spacing w:before="100" w:beforeAutospacing="1" w:after="100" w:afterAutospacing="1"/>
      <w:jc w:val="left"/>
    </w:pPr>
    <w:rPr>
      <w:rFonts w:cs="宋体"/>
      <w:kern w:val="0"/>
      <w:sz w:val="24"/>
    </w:rPr>
  </w:style>
  <w:style w:type="paragraph" w:customStyle="1" w:styleId="align-right">
    <w:name w:val="align-right"/>
    <w:basedOn w:val="a"/>
    <w:rsid w:val="005B5465"/>
    <w:pPr>
      <w:widowControl/>
      <w:spacing w:before="100" w:beforeAutospacing="1" w:after="100" w:afterAutospacing="1"/>
      <w:jc w:val="left"/>
    </w:pPr>
    <w:rPr>
      <w:rFonts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446">
      <w:bodyDiv w:val="1"/>
      <w:marLeft w:val="0"/>
      <w:marRight w:val="0"/>
      <w:marTop w:val="0"/>
      <w:marBottom w:val="0"/>
      <w:divBdr>
        <w:top w:val="none" w:sz="0" w:space="0" w:color="auto"/>
        <w:left w:val="none" w:sz="0" w:space="0" w:color="auto"/>
        <w:bottom w:val="none" w:sz="0" w:space="0" w:color="auto"/>
        <w:right w:val="none" w:sz="0" w:space="0" w:color="auto"/>
      </w:divBdr>
    </w:div>
    <w:div w:id="165095823">
      <w:bodyDiv w:val="1"/>
      <w:marLeft w:val="0"/>
      <w:marRight w:val="0"/>
      <w:marTop w:val="0"/>
      <w:marBottom w:val="0"/>
      <w:divBdr>
        <w:top w:val="none" w:sz="0" w:space="0" w:color="auto"/>
        <w:left w:val="none" w:sz="0" w:space="0" w:color="auto"/>
        <w:bottom w:val="none" w:sz="0" w:space="0" w:color="auto"/>
        <w:right w:val="none" w:sz="0" w:space="0" w:color="auto"/>
      </w:divBdr>
    </w:div>
    <w:div w:id="309290552">
      <w:bodyDiv w:val="1"/>
      <w:marLeft w:val="0"/>
      <w:marRight w:val="0"/>
      <w:marTop w:val="0"/>
      <w:marBottom w:val="0"/>
      <w:divBdr>
        <w:top w:val="none" w:sz="0" w:space="0" w:color="auto"/>
        <w:left w:val="none" w:sz="0" w:space="0" w:color="auto"/>
        <w:bottom w:val="none" w:sz="0" w:space="0" w:color="auto"/>
        <w:right w:val="none" w:sz="0" w:space="0" w:color="auto"/>
      </w:divBdr>
    </w:div>
    <w:div w:id="362050891">
      <w:bodyDiv w:val="1"/>
      <w:marLeft w:val="0"/>
      <w:marRight w:val="0"/>
      <w:marTop w:val="0"/>
      <w:marBottom w:val="0"/>
      <w:divBdr>
        <w:top w:val="none" w:sz="0" w:space="0" w:color="auto"/>
        <w:left w:val="none" w:sz="0" w:space="0" w:color="auto"/>
        <w:bottom w:val="none" w:sz="0" w:space="0" w:color="auto"/>
        <w:right w:val="none" w:sz="0" w:space="0" w:color="auto"/>
      </w:divBdr>
    </w:div>
    <w:div w:id="363750864">
      <w:bodyDiv w:val="1"/>
      <w:marLeft w:val="0"/>
      <w:marRight w:val="0"/>
      <w:marTop w:val="0"/>
      <w:marBottom w:val="0"/>
      <w:divBdr>
        <w:top w:val="none" w:sz="0" w:space="0" w:color="auto"/>
        <w:left w:val="none" w:sz="0" w:space="0" w:color="auto"/>
        <w:bottom w:val="none" w:sz="0" w:space="0" w:color="auto"/>
        <w:right w:val="none" w:sz="0" w:space="0" w:color="auto"/>
      </w:divBdr>
    </w:div>
    <w:div w:id="487984835">
      <w:bodyDiv w:val="1"/>
      <w:marLeft w:val="0"/>
      <w:marRight w:val="0"/>
      <w:marTop w:val="0"/>
      <w:marBottom w:val="0"/>
      <w:divBdr>
        <w:top w:val="none" w:sz="0" w:space="0" w:color="auto"/>
        <w:left w:val="none" w:sz="0" w:space="0" w:color="auto"/>
        <w:bottom w:val="none" w:sz="0" w:space="0" w:color="auto"/>
        <w:right w:val="none" w:sz="0" w:space="0" w:color="auto"/>
      </w:divBdr>
    </w:div>
    <w:div w:id="634258094">
      <w:bodyDiv w:val="1"/>
      <w:marLeft w:val="0"/>
      <w:marRight w:val="0"/>
      <w:marTop w:val="0"/>
      <w:marBottom w:val="0"/>
      <w:divBdr>
        <w:top w:val="none" w:sz="0" w:space="0" w:color="auto"/>
        <w:left w:val="none" w:sz="0" w:space="0" w:color="auto"/>
        <w:bottom w:val="none" w:sz="0" w:space="0" w:color="auto"/>
        <w:right w:val="none" w:sz="0" w:space="0" w:color="auto"/>
      </w:divBdr>
    </w:div>
    <w:div w:id="897672699">
      <w:bodyDiv w:val="1"/>
      <w:marLeft w:val="0"/>
      <w:marRight w:val="0"/>
      <w:marTop w:val="0"/>
      <w:marBottom w:val="0"/>
      <w:divBdr>
        <w:top w:val="none" w:sz="0" w:space="0" w:color="auto"/>
        <w:left w:val="none" w:sz="0" w:space="0" w:color="auto"/>
        <w:bottom w:val="none" w:sz="0" w:space="0" w:color="auto"/>
        <w:right w:val="none" w:sz="0" w:space="0" w:color="auto"/>
      </w:divBdr>
    </w:div>
    <w:div w:id="1007171383">
      <w:bodyDiv w:val="1"/>
      <w:marLeft w:val="0"/>
      <w:marRight w:val="0"/>
      <w:marTop w:val="0"/>
      <w:marBottom w:val="0"/>
      <w:divBdr>
        <w:top w:val="none" w:sz="0" w:space="0" w:color="auto"/>
        <w:left w:val="none" w:sz="0" w:space="0" w:color="auto"/>
        <w:bottom w:val="none" w:sz="0" w:space="0" w:color="auto"/>
        <w:right w:val="none" w:sz="0" w:space="0" w:color="auto"/>
      </w:divBdr>
    </w:div>
    <w:div w:id="1223759643">
      <w:bodyDiv w:val="1"/>
      <w:marLeft w:val="0"/>
      <w:marRight w:val="0"/>
      <w:marTop w:val="0"/>
      <w:marBottom w:val="0"/>
      <w:divBdr>
        <w:top w:val="none" w:sz="0" w:space="0" w:color="auto"/>
        <w:left w:val="none" w:sz="0" w:space="0" w:color="auto"/>
        <w:bottom w:val="none" w:sz="0" w:space="0" w:color="auto"/>
        <w:right w:val="none" w:sz="0" w:space="0" w:color="auto"/>
      </w:divBdr>
      <w:divsChild>
        <w:div w:id="871502248">
          <w:marLeft w:val="0"/>
          <w:marRight w:val="0"/>
          <w:marTop w:val="0"/>
          <w:marBottom w:val="0"/>
          <w:divBdr>
            <w:top w:val="none" w:sz="0" w:space="0" w:color="auto"/>
            <w:left w:val="none" w:sz="0" w:space="0" w:color="auto"/>
            <w:bottom w:val="none" w:sz="0" w:space="0" w:color="auto"/>
            <w:right w:val="none" w:sz="0" w:space="0" w:color="auto"/>
          </w:divBdr>
        </w:div>
        <w:div w:id="1966813389">
          <w:marLeft w:val="0"/>
          <w:marRight w:val="225"/>
          <w:marTop w:val="0"/>
          <w:marBottom w:val="0"/>
          <w:divBdr>
            <w:top w:val="none" w:sz="0" w:space="0" w:color="auto"/>
            <w:left w:val="none" w:sz="0" w:space="0" w:color="auto"/>
            <w:bottom w:val="none" w:sz="0" w:space="0" w:color="auto"/>
            <w:right w:val="none" w:sz="0" w:space="0" w:color="auto"/>
          </w:divBdr>
        </w:div>
      </w:divsChild>
    </w:div>
    <w:div w:id="1401051852">
      <w:bodyDiv w:val="1"/>
      <w:marLeft w:val="0"/>
      <w:marRight w:val="0"/>
      <w:marTop w:val="0"/>
      <w:marBottom w:val="0"/>
      <w:divBdr>
        <w:top w:val="none" w:sz="0" w:space="0" w:color="auto"/>
        <w:left w:val="none" w:sz="0" w:space="0" w:color="auto"/>
        <w:bottom w:val="none" w:sz="0" w:space="0" w:color="auto"/>
        <w:right w:val="none" w:sz="0" w:space="0" w:color="auto"/>
      </w:divBdr>
      <w:divsChild>
        <w:div w:id="1968509722">
          <w:marLeft w:val="0"/>
          <w:marRight w:val="0"/>
          <w:marTop w:val="360"/>
          <w:marBottom w:val="0"/>
          <w:divBdr>
            <w:top w:val="none" w:sz="0" w:space="0" w:color="auto"/>
            <w:left w:val="none" w:sz="0" w:space="0" w:color="auto"/>
            <w:bottom w:val="none" w:sz="0" w:space="0" w:color="auto"/>
            <w:right w:val="none" w:sz="0" w:space="0" w:color="auto"/>
          </w:divBdr>
        </w:div>
        <w:div w:id="1239438554">
          <w:marLeft w:val="0"/>
          <w:marRight w:val="0"/>
          <w:marTop w:val="360"/>
          <w:marBottom w:val="0"/>
          <w:divBdr>
            <w:top w:val="none" w:sz="0" w:space="0" w:color="auto"/>
            <w:left w:val="none" w:sz="0" w:space="0" w:color="auto"/>
            <w:bottom w:val="none" w:sz="0" w:space="0" w:color="auto"/>
            <w:right w:val="none" w:sz="0" w:space="0" w:color="auto"/>
          </w:divBdr>
        </w:div>
      </w:divsChild>
    </w:div>
    <w:div w:id="1454403899">
      <w:bodyDiv w:val="1"/>
      <w:marLeft w:val="0"/>
      <w:marRight w:val="0"/>
      <w:marTop w:val="0"/>
      <w:marBottom w:val="0"/>
      <w:divBdr>
        <w:top w:val="none" w:sz="0" w:space="0" w:color="auto"/>
        <w:left w:val="none" w:sz="0" w:space="0" w:color="auto"/>
        <w:bottom w:val="none" w:sz="0" w:space="0" w:color="auto"/>
        <w:right w:val="none" w:sz="0" w:space="0" w:color="auto"/>
      </w:divBdr>
    </w:div>
    <w:div w:id="1478259393">
      <w:bodyDiv w:val="1"/>
      <w:marLeft w:val="0"/>
      <w:marRight w:val="0"/>
      <w:marTop w:val="0"/>
      <w:marBottom w:val="0"/>
      <w:divBdr>
        <w:top w:val="none" w:sz="0" w:space="0" w:color="auto"/>
        <w:left w:val="none" w:sz="0" w:space="0" w:color="auto"/>
        <w:bottom w:val="none" w:sz="0" w:space="0" w:color="auto"/>
        <w:right w:val="none" w:sz="0" w:space="0" w:color="auto"/>
      </w:divBdr>
      <w:divsChild>
        <w:div w:id="485054072">
          <w:marLeft w:val="0"/>
          <w:marRight w:val="0"/>
          <w:marTop w:val="0"/>
          <w:marBottom w:val="0"/>
          <w:divBdr>
            <w:top w:val="none" w:sz="0" w:space="0" w:color="auto"/>
            <w:left w:val="none" w:sz="0" w:space="0" w:color="auto"/>
            <w:bottom w:val="none" w:sz="0" w:space="0" w:color="auto"/>
            <w:right w:val="none" w:sz="0" w:space="0" w:color="auto"/>
          </w:divBdr>
        </w:div>
      </w:divsChild>
    </w:div>
    <w:div w:id="1622227983">
      <w:bodyDiv w:val="1"/>
      <w:marLeft w:val="0"/>
      <w:marRight w:val="0"/>
      <w:marTop w:val="0"/>
      <w:marBottom w:val="0"/>
      <w:divBdr>
        <w:top w:val="none" w:sz="0" w:space="0" w:color="auto"/>
        <w:left w:val="none" w:sz="0" w:space="0" w:color="auto"/>
        <w:bottom w:val="none" w:sz="0" w:space="0" w:color="auto"/>
        <w:right w:val="none" w:sz="0" w:space="0" w:color="auto"/>
      </w:divBdr>
      <w:divsChild>
        <w:div w:id="1347176742">
          <w:marLeft w:val="0"/>
          <w:marRight w:val="0"/>
          <w:marTop w:val="360"/>
          <w:marBottom w:val="0"/>
          <w:divBdr>
            <w:top w:val="none" w:sz="0" w:space="0" w:color="auto"/>
            <w:left w:val="none" w:sz="0" w:space="0" w:color="auto"/>
            <w:bottom w:val="none" w:sz="0" w:space="0" w:color="auto"/>
            <w:right w:val="none" w:sz="0" w:space="0" w:color="auto"/>
          </w:divBdr>
        </w:div>
        <w:div w:id="1485051314">
          <w:marLeft w:val="0"/>
          <w:marRight w:val="0"/>
          <w:marTop w:val="360"/>
          <w:marBottom w:val="0"/>
          <w:divBdr>
            <w:top w:val="none" w:sz="0" w:space="0" w:color="auto"/>
            <w:left w:val="none" w:sz="0" w:space="0" w:color="auto"/>
            <w:bottom w:val="none" w:sz="0" w:space="0" w:color="auto"/>
            <w:right w:val="none" w:sz="0" w:space="0" w:color="auto"/>
          </w:divBdr>
        </w:div>
        <w:div w:id="1853520859">
          <w:marLeft w:val="0"/>
          <w:marRight w:val="0"/>
          <w:marTop w:val="360"/>
          <w:marBottom w:val="0"/>
          <w:divBdr>
            <w:top w:val="none" w:sz="0" w:space="0" w:color="auto"/>
            <w:left w:val="none" w:sz="0" w:space="0" w:color="auto"/>
            <w:bottom w:val="none" w:sz="0" w:space="0" w:color="auto"/>
            <w:right w:val="none" w:sz="0" w:space="0" w:color="auto"/>
          </w:divBdr>
        </w:div>
        <w:div w:id="442773005">
          <w:marLeft w:val="0"/>
          <w:marRight w:val="0"/>
          <w:marTop w:val="360"/>
          <w:marBottom w:val="0"/>
          <w:divBdr>
            <w:top w:val="none" w:sz="0" w:space="0" w:color="auto"/>
            <w:left w:val="none" w:sz="0" w:space="0" w:color="auto"/>
            <w:bottom w:val="none" w:sz="0" w:space="0" w:color="auto"/>
            <w:right w:val="none" w:sz="0" w:space="0" w:color="auto"/>
          </w:divBdr>
        </w:div>
        <w:div w:id="1120148264">
          <w:marLeft w:val="0"/>
          <w:marRight w:val="0"/>
          <w:marTop w:val="360"/>
          <w:marBottom w:val="0"/>
          <w:divBdr>
            <w:top w:val="none" w:sz="0" w:space="0" w:color="auto"/>
            <w:left w:val="none" w:sz="0" w:space="0" w:color="auto"/>
            <w:bottom w:val="none" w:sz="0" w:space="0" w:color="auto"/>
            <w:right w:val="none" w:sz="0" w:space="0" w:color="auto"/>
          </w:divBdr>
        </w:div>
      </w:divsChild>
    </w:div>
    <w:div w:id="1922062052">
      <w:bodyDiv w:val="1"/>
      <w:marLeft w:val="0"/>
      <w:marRight w:val="0"/>
      <w:marTop w:val="0"/>
      <w:marBottom w:val="0"/>
      <w:divBdr>
        <w:top w:val="none" w:sz="0" w:space="0" w:color="auto"/>
        <w:left w:val="none" w:sz="0" w:space="0" w:color="auto"/>
        <w:bottom w:val="none" w:sz="0" w:space="0" w:color="auto"/>
        <w:right w:val="none" w:sz="0" w:space="0" w:color="auto"/>
      </w:divBdr>
    </w:div>
    <w:div w:id="1958098925">
      <w:bodyDiv w:val="1"/>
      <w:marLeft w:val="0"/>
      <w:marRight w:val="0"/>
      <w:marTop w:val="0"/>
      <w:marBottom w:val="0"/>
      <w:divBdr>
        <w:top w:val="none" w:sz="0" w:space="0" w:color="auto"/>
        <w:left w:val="none" w:sz="0" w:space="0" w:color="auto"/>
        <w:bottom w:val="none" w:sz="0" w:space="0" w:color="auto"/>
        <w:right w:val="none" w:sz="0" w:space="0" w:color="auto"/>
      </w:divBdr>
      <w:divsChild>
        <w:div w:id="1202593227">
          <w:marLeft w:val="0"/>
          <w:marRight w:val="0"/>
          <w:marTop w:val="0"/>
          <w:marBottom w:val="0"/>
          <w:divBdr>
            <w:top w:val="none" w:sz="0" w:space="0" w:color="auto"/>
            <w:left w:val="none" w:sz="0" w:space="0" w:color="auto"/>
            <w:bottom w:val="none" w:sz="0" w:space="0" w:color="auto"/>
            <w:right w:val="none" w:sz="0" w:space="0" w:color="auto"/>
          </w:divBdr>
        </w:div>
      </w:divsChild>
    </w:div>
    <w:div w:id="2092578845">
      <w:bodyDiv w:val="1"/>
      <w:marLeft w:val="0"/>
      <w:marRight w:val="0"/>
      <w:marTop w:val="0"/>
      <w:marBottom w:val="0"/>
      <w:divBdr>
        <w:top w:val="none" w:sz="0" w:space="0" w:color="auto"/>
        <w:left w:val="none" w:sz="0" w:space="0" w:color="auto"/>
        <w:bottom w:val="none" w:sz="0" w:space="0" w:color="auto"/>
        <w:right w:val="none" w:sz="0" w:space="0" w:color="auto"/>
      </w:divBdr>
      <w:divsChild>
        <w:div w:id="165751326">
          <w:marLeft w:val="0"/>
          <w:marRight w:val="0"/>
          <w:marTop w:val="360"/>
          <w:marBottom w:val="0"/>
          <w:divBdr>
            <w:top w:val="none" w:sz="0" w:space="0" w:color="auto"/>
            <w:left w:val="none" w:sz="0" w:space="0" w:color="auto"/>
            <w:bottom w:val="none" w:sz="0" w:space="0" w:color="auto"/>
            <w:right w:val="none" w:sz="0" w:space="0" w:color="auto"/>
          </w:divBdr>
        </w:div>
        <w:div w:id="1713067981">
          <w:marLeft w:val="0"/>
          <w:marRight w:val="0"/>
          <w:marTop w:val="360"/>
          <w:marBottom w:val="0"/>
          <w:divBdr>
            <w:top w:val="none" w:sz="0" w:space="0" w:color="auto"/>
            <w:left w:val="none" w:sz="0" w:space="0" w:color="auto"/>
            <w:bottom w:val="none" w:sz="0" w:space="0" w:color="auto"/>
            <w:right w:val="none" w:sz="0" w:space="0" w:color="auto"/>
          </w:divBdr>
        </w:div>
        <w:div w:id="166311765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1631</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Lenovo</cp:lastModifiedBy>
  <cp:revision>399</cp:revision>
  <dcterms:created xsi:type="dcterms:W3CDTF">2017-04-28T02:34:00Z</dcterms:created>
  <dcterms:modified xsi:type="dcterms:W3CDTF">2024-04-28T02:16:00Z</dcterms:modified>
</cp:coreProperties>
</file>