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5F" w:rsidRPr="00A87760" w:rsidRDefault="00DB0D5F" w:rsidP="00DB0D5F">
      <w:pPr>
        <w:spacing w:line="360" w:lineRule="auto"/>
        <w:jc w:val="center"/>
        <w:rPr>
          <w:rFonts w:ascii="宋体" w:hAnsi="宋体"/>
          <w:sz w:val="24"/>
        </w:rPr>
      </w:pPr>
      <w:r w:rsidRPr="00E46005">
        <w:rPr>
          <w:rFonts w:ascii="宋体" w:hAnsi="宋体" w:hint="eastAsia"/>
          <w:sz w:val="24"/>
        </w:rPr>
        <w:t xml:space="preserve">证券代码：000936          证券简称：华西股份    </w:t>
      </w:r>
      <w:r w:rsidRPr="00E46005">
        <w:rPr>
          <w:rFonts w:ascii="宋体" w:hAnsi="宋体" w:hint="eastAsia"/>
          <w:color w:val="FF0000"/>
          <w:sz w:val="24"/>
        </w:rPr>
        <w:t xml:space="preserve"> </w:t>
      </w:r>
      <w:r w:rsidRPr="00A87760">
        <w:rPr>
          <w:rFonts w:ascii="宋体" w:hAnsi="宋体" w:hint="eastAsia"/>
          <w:sz w:val="24"/>
        </w:rPr>
        <w:t xml:space="preserve">   公告编号：20</w:t>
      </w:r>
      <w:r w:rsidR="001B68D8" w:rsidRPr="00A87760">
        <w:rPr>
          <w:rFonts w:ascii="宋体" w:hAnsi="宋体" w:hint="eastAsia"/>
          <w:sz w:val="24"/>
        </w:rPr>
        <w:t>2</w:t>
      </w:r>
      <w:r w:rsidR="003B2BC7" w:rsidRPr="00A87760">
        <w:rPr>
          <w:rFonts w:ascii="宋体" w:hAnsi="宋体" w:hint="eastAsia"/>
          <w:sz w:val="24"/>
        </w:rPr>
        <w:t>4</w:t>
      </w:r>
      <w:r w:rsidRPr="00A87760">
        <w:rPr>
          <w:rFonts w:ascii="宋体" w:hAnsi="宋体" w:hint="eastAsia"/>
          <w:sz w:val="24"/>
        </w:rPr>
        <w:t>-0</w:t>
      </w:r>
      <w:r w:rsidR="0091673A" w:rsidRPr="00A87760">
        <w:rPr>
          <w:rFonts w:ascii="宋体" w:hAnsi="宋体" w:hint="eastAsia"/>
          <w:sz w:val="24"/>
        </w:rPr>
        <w:t>19</w:t>
      </w:r>
    </w:p>
    <w:p w:rsidR="00DB0D5F" w:rsidRPr="00E46005" w:rsidRDefault="00DB0D5F" w:rsidP="003944A9">
      <w:pPr>
        <w:jc w:val="center"/>
        <w:rPr>
          <w:rFonts w:ascii="宋体" w:hAnsi="宋体"/>
          <w:b/>
          <w:sz w:val="32"/>
          <w:szCs w:val="32"/>
        </w:rPr>
      </w:pPr>
    </w:p>
    <w:p w:rsidR="003944A9" w:rsidRPr="00E46005" w:rsidRDefault="003944A9" w:rsidP="00DB0D5F">
      <w:pPr>
        <w:jc w:val="center"/>
        <w:rPr>
          <w:rFonts w:ascii="黑体" w:eastAsia="黑体" w:hAnsi="宋体"/>
          <w:b/>
          <w:sz w:val="32"/>
          <w:szCs w:val="32"/>
        </w:rPr>
      </w:pPr>
      <w:r w:rsidRPr="00E46005">
        <w:rPr>
          <w:rFonts w:ascii="黑体" w:eastAsia="黑体" w:hAnsi="宋体" w:hint="eastAsia"/>
          <w:b/>
          <w:sz w:val="32"/>
          <w:szCs w:val="32"/>
        </w:rPr>
        <w:t>江苏华西村股份有限公司</w:t>
      </w:r>
    </w:p>
    <w:p w:rsidR="003944A9" w:rsidRPr="00E04761" w:rsidRDefault="00057671" w:rsidP="00DB0D5F">
      <w:pPr>
        <w:jc w:val="center"/>
        <w:rPr>
          <w:rFonts w:ascii="黑体" w:eastAsia="黑体" w:hAnsi="宋体"/>
          <w:b/>
          <w:sz w:val="32"/>
          <w:szCs w:val="32"/>
        </w:rPr>
      </w:pPr>
      <w:r w:rsidRPr="00E46005">
        <w:rPr>
          <w:rFonts w:ascii="黑体" w:eastAsia="黑体" w:hAnsi="宋体" w:hint="eastAsia"/>
          <w:b/>
          <w:sz w:val="32"/>
          <w:szCs w:val="32"/>
        </w:rPr>
        <w:t>未来三年</w:t>
      </w:r>
      <w:r w:rsidR="003944A9" w:rsidRPr="00E46005">
        <w:rPr>
          <w:rFonts w:ascii="黑体" w:eastAsia="黑体" w:hAnsi="宋体" w:hint="eastAsia"/>
          <w:b/>
          <w:sz w:val="32"/>
          <w:szCs w:val="32"/>
        </w:rPr>
        <w:t>股东</w:t>
      </w:r>
      <w:bookmarkStart w:id="0" w:name="_GoBack"/>
      <w:bookmarkEnd w:id="0"/>
      <w:r w:rsidR="003944A9" w:rsidRPr="00E46005">
        <w:rPr>
          <w:rFonts w:ascii="黑体" w:eastAsia="黑体" w:hAnsi="宋体" w:hint="eastAsia"/>
          <w:b/>
          <w:sz w:val="32"/>
          <w:szCs w:val="32"/>
        </w:rPr>
        <w:t>回报规划</w:t>
      </w:r>
      <w:r w:rsidR="00E04761" w:rsidRPr="00E46005">
        <w:rPr>
          <w:rFonts w:ascii="黑体" w:eastAsia="黑体" w:hAnsi="宋体" w:hint="eastAsia"/>
          <w:b/>
          <w:sz w:val="28"/>
          <w:szCs w:val="28"/>
        </w:rPr>
        <w:t>(20</w:t>
      </w:r>
      <w:r w:rsidR="00E04761">
        <w:rPr>
          <w:rFonts w:ascii="黑体" w:eastAsia="黑体" w:hAnsi="宋体" w:hint="eastAsia"/>
          <w:b/>
          <w:sz w:val="28"/>
          <w:szCs w:val="28"/>
        </w:rPr>
        <w:t>24</w:t>
      </w:r>
      <w:r w:rsidR="00E04761" w:rsidRPr="00E46005">
        <w:rPr>
          <w:rFonts w:ascii="黑体" w:eastAsia="黑体" w:hAnsi="宋体" w:hint="eastAsia"/>
          <w:b/>
          <w:sz w:val="28"/>
          <w:szCs w:val="28"/>
        </w:rPr>
        <w:t>年-20</w:t>
      </w:r>
      <w:r w:rsidR="00E04761">
        <w:rPr>
          <w:rFonts w:ascii="黑体" w:eastAsia="黑体" w:hAnsi="宋体" w:hint="eastAsia"/>
          <w:b/>
          <w:sz w:val="28"/>
          <w:szCs w:val="28"/>
        </w:rPr>
        <w:t>26</w:t>
      </w:r>
      <w:r w:rsidR="00E04761" w:rsidRPr="00E46005">
        <w:rPr>
          <w:rFonts w:ascii="黑体" w:eastAsia="黑体" w:hAnsi="宋体" w:hint="eastAsia"/>
          <w:b/>
          <w:sz w:val="28"/>
          <w:szCs w:val="28"/>
        </w:rPr>
        <w:t>年</w:t>
      </w:r>
      <w:r w:rsidR="00E04761">
        <w:rPr>
          <w:rFonts w:ascii="黑体" w:eastAsia="黑体" w:hAnsi="宋体" w:hint="eastAsia"/>
          <w:b/>
          <w:sz w:val="28"/>
          <w:szCs w:val="28"/>
        </w:rPr>
        <w:t>)</w:t>
      </w:r>
    </w:p>
    <w:p w:rsidR="00DB0D5F" w:rsidRPr="00E46005" w:rsidRDefault="00DB0D5F" w:rsidP="00E46005">
      <w:pPr>
        <w:snapToGrid w:val="0"/>
        <w:jc w:val="center"/>
        <w:rPr>
          <w:rFonts w:ascii="宋体" w:hAnsi="宋体"/>
          <w:b/>
          <w:sz w:val="32"/>
          <w:szCs w:val="32"/>
        </w:rPr>
      </w:pPr>
    </w:p>
    <w:p w:rsidR="00DB0D5F" w:rsidRPr="00E46005" w:rsidRDefault="00DB0D5F" w:rsidP="00DB0D5F">
      <w:pPr>
        <w:spacing w:beforeLines="50" w:before="156" w:line="360" w:lineRule="auto"/>
        <w:ind w:firstLineChars="200" w:firstLine="480"/>
        <w:rPr>
          <w:rFonts w:ascii="宋体" w:hAnsi="宋体"/>
          <w:color w:val="000000"/>
          <w:kern w:val="0"/>
          <w:sz w:val="24"/>
        </w:rPr>
      </w:pPr>
      <w:r w:rsidRPr="00E46005">
        <w:rPr>
          <w:rFonts w:ascii="宋体" w:hAnsi="宋体" w:hint="eastAsia"/>
          <w:color w:val="000000"/>
          <w:kern w:val="0"/>
          <w:sz w:val="24"/>
        </w:rPr>
        <w:t>本公司及董事会全体成员保证信息披露内容的真实、准确和完整，没有虚假记载、误导性陈述或重大遗漏。</w:t>
      </w:r>
    </w:p>
    <w:p w:rsidR="00F37BE8" w:rsidRDefault="00F37BE8" w:rsidP="002075BD">
      <w:pPr>
        <w:spacing w:line="348" w:lineRule="auto"/>
        <w:rPr>
          <w:rFonts w:ascii="宋体" w:hAnsi="宋体"/>
          <w:sz w:val="24"/>
        </w:rPr>
      </w:pPr>
    </w:p>
    <w:p w:rsidR="002075BD" w:rsidRDefault="003944A9" w:rsidP="00F37BE8">
      <w:pPr>
        <w:spacing w:line="348" w:lineRule="auto"/>
        <w:ind w:firstLineChars="177" w:firstLine="425"/>
        <w:rPr>
          <w:rFonts w:ascii="宋体" w:hAnsi="宋体"/>
          <w:sz w:val="24"/>
        </w:rPr>
      </w:pPr>
      <w:r w:rsidRPr="00E46005">
        <w:rPr>
          <w:rFonts w:ascii="宋体" w:hAnsi="宋体" w:hint="eastAsia"/>
          <w:sz w:val="24"/>
        </w:rPr>
        <w:t>江苏华西村股份有限公司（以下简称“公司”）为完善</w:t>
      </w:r>
      <w:r w:rsidR="00F33A47">
        <w:rPr>
          <w:rFonts w:ascii="宋体" w:hAnsi="宋体" w:hint="eastAsia"/>
          <w:sz w:val="24"/>
        </w:rPr>
        <w:t>公司</w:t>
      </w:r>
      <w:r w:rsidRPr="00E46005">
        <w:rPr>
          <w:rFonts w:ascii="宋体" w:hAnsi="宋体" w:hint="eastAsia"/>
          <w:sz w:val="24"/>
        </w:rPr>
        <w:t>持续</w:t>
      </w:r>
      <w:r w:rsidR="00F33A47">
        <w:rPr>
          <w:rFonts w:ascii="宋体" w:hAnsi="宋体" w:hint="eastAsia"/>
          <w:sz w:val="24"/>
        </w:rPr>
        <w:t>、稳</w:t>
      </w:r>
      <w:r w:rsidRPr="00E46005">
        <w:rPr>
          <w:rFonts w:ascii="宋体" w:hAnsi="宋体" w:hint="eastAsia"/>
          <w:sz w:val="24"/>
        </w:rPr>
        <w:t>定的</w:t>
      </w:r>
      <w:r w:rsidR="00F33A47">
        <w:rPr>
          <w:rFonts w:ascii="宋体" w:hAnsi="宋体" w:hint="eastAsia"/>
          <w:sz w:val="24"/>
        </w:rPr>
        <w:t>分红决策和监督机制，</w:t>
      </w:r>
      <w:r w:rsidRPr="00E46005">
        <w:rPr>
          <w:rFonts w:ascii="宋体" w:hAnsi="宋体" w:hint="eastAsia"/>
          <w:sz w:val="24"/>
        </w:rPr>
        <w:t>增加利润分配政策决策的透明度和可操作性，切实保护公众投资者的合法权益，根据中国证监会《关于进一步落实上市公司现金分红有关事项的通知》</w:t>
      </w:r>
      <w:r w:rsidR="003F42B1" w:rsidRPr="00E46005">
        <w:rPr>
          <w:rFonts w:ascii="宋体" w:hAnsi="宋体" w:hint="eastAsia"/>
          <w:sz w:val="24"/>
        </w:rPr>
        <w:t>、</w:t>
      </w:r>
      <w:r w:rsidR="003F42B1" w:rsidRPr="00E46005">
        <w:rPr>
          <w:rFonts w:ascii="宋体" w:hAnsi="宋体"/>
          <w:sz w:val="24"/>
        </w:rPr>
        <w:t>《上市公司监管指引第</w:t>
      </w:r>
      <w:r w:rsidR="00E46005" w:rsidRPr="00E46005">
        <w:rPr>
          <w:rFonts w:ascii="宋体" w:hAnsi="宋体"/>
          <w:sz w:val="24"/>
        </w:rPr>
        <w:t>3</w:t>
      </w:r>
      <w:r w:rsidR="003F42B1" w:rsidRPr="00E46005">
        <w:rPr>
          <w:rFonts w:ascii="宋体" w:hAnsi="宋体"/>
          <w:sz w:val="24"/>
        </w:rPr>
        <w:t>号—上市公司现金分红》</w:t>
      </w:r>
      <w:r w:rsidR="003F42B1" w:rsidRPr="003F42B1">
        <w:rPr>
          <w:rFonts w:ascii="宋体" w:hAnsi="宋体"/>
          <w:sz w:val="24"/>
        </w:rPr>
        <w:t>等</w:t>
      </w:r>
      <w:r w:rsidRPr="00E46005">
        <w:rPr>
          <w:rFonts w:ascii="宋体" w:hAnsi="宋体" w:hint="eastAsia"/>
          <w:sz w:val="24"/>
        </w:rPr>
        <w:t>相关</w:t>
      </w:r>
      <w:r w:rsidR="00F33A47">
        <w:rPr>
          <w:rFonts w:ascii="宋体" w:hAnsi="宋体" w:hint="eastAsia"/>
          <w:sz w:val="24"/>
        </w:rPr>
        <w:t>规定</w:t>
      </w:r>
      <w:r w:rsidRPr="00E46005">
        <w:rPr>
          <w:rFonts w:ascii="宋体" w:hAnsi="宋体" w:hint="eastAsia"/>
          <w:sz w:val="24"/>
        </w:rPr>
        <w:t>，并结合《公司章程》</w:t>
      </w:r>
      <w:r w:rsidR="00CD3F2D" w:rsidRPr="00E46005">
        <w:rPr>
          <w:rFonts w:ascii="宋体" w:hAnsi="宋体" w:hint="eastAsia"/>
          <w:sz w:val="24"/>
        </w:rPr>
        <w:t>，</w:t>
      </w:r>
      <w:r w:rsidRPr="00E46005">
        <w:rPr>
          <w:rFonts w:ascii="宋体" w:hAnsi="宋体" w:hint="eastAsia"/>
          <w:sz w:val="24"/>
        </w:rPr>
        <w:t>特制定《公司</w:t>
      </w:r>
      <w:r w:rsidR="00266249">
        <w:rPr>
          <w:rFonts w:ascii="宋体" w:hAnsi="宋体" w:hint="eastAsia"/>
          <w:sz w:val="24"/>
        </w:rPr>
        <w:t>未来三年</w:t>
      </w:r>
      <w:r w:rsidRPr="00E46005">
        <w:rPr>
          <w:rFonts w:ascii="宋体" w:hAnsi="宋体" w:hint="eastAsia"/>
          <w:sz w:val="24"/>
        </w:rPr>
        <w:t>股东回报规划（</w:t>
      </w:r>
      <w:r w:rsidR="00A86FFB" w:rsidRPr="00E46005">
        <w:rPr>
          <w:rFonts w:ascii="宋体" w:hAnsi="宋体"/>
          <w:sz w:val="24"/>
        </w:rPr>
        <w:t>20</w:t>
      </w:r>
      <w:r w:rsidR="00A86FFB">
        <w:rPr>
          <w:rFonts w:ascii="宋体" w:hAnsi="宋体" w:hint="eastAsia"/>
          <w:sz w:val="24"/>
        </w:rPr>
        <w:t>24</w:t>
      </w:r>
      <w:r w:rsidRPr="00E46005">
        <w:rPr>
          <w:rFonts w:ascii="宋体" w:hAnsi="宋体" w:hint="eastAsia"/>
          <w:sz w:val="24"/>
        </w:rPr>
        <w:t>年—</w:t>
      </w:r>
      <w:r w:rsidR="00A86FFB" w:rsidRPr="00E46005">
        <w:rPr>
          <w:rFonts w:ascii="宋体" w:hAnsi="宋体"/>
          <w:sz w:val="24"/>
        </w:rPr>
        <w:t>20</w:t>
      </w:r>
      <w:r w:rsidR="00A86FFB">
        <w:rPr>
          <w:rFonts w:ascii="宋体" w:hAnsi="宋体" w:hint="eastAsia"/>
          <w:sz w:val="24"/>
        </w:rPr>
        <w:t>26</w:t>
      </w:r>
      <w:r w:rsidR="00F33A47">
        <w:rPr>
          <w:rFonts w:ascii="宋体" w:hAnsi="宋体" w:hint="eastAsia"/>
          <w:sz w:val="24"/>
        </w:rPr>
        <w:t>年）》（以下简称“本规划”），具体内容如下：</w:t>
      </w:r>
    </w:p>
    <w:p w:rsidR="003944A9" w:rsidRPr="00F37BE8" w:rsidRDefault="003944A9" w:rsidP="00F37BE8">
      <w:pPr>
        <w:spacing w:line="348" w:lineRule="auto"/>
        <w:ind w:firstLineChars="177" w:firstLine="425"/>
        <w:rPr>
          <w:rFonts w:ascii="宋体" w:hAnsi="宋体"/>
          <w:sz w:val="24"/>
        </w:rPr>
      </w:pPr>
      <w:r w:rsidRPr="00F37BE8">
        <w:rPr>
          <w:rFonts w:ascii="宋体" w:hAnsi="宋体" w:hint="eastAsia"/>
          <w:sz w:val="24"/>
        </w:rPr>
        <w:t>第一条 </w:t>
      </w:r>
      <w:r w:rsidR="00F33A47" w:rsidRPr="00F37BE8">
        <w:rPr>
          <w:rFonts w:ascii="宋体" w:hAnsi="宋体" w:hint="eastAsia"/>
          <w:sz w:val="24"/>
        </w:rPr>
        <w:t>规划制定的考虑</w:t>
      </w:r>
      <w:r w:rsidRPr="00F37BE8">
        <w:rPr>
          <w:rFonts w:ascii="宋体" w:hAnsi="宋体" w:hint="eastAsia"/>
          <w:sz w:val="24"/>
        </w:rPr>
        <w:t>因素</w:t>
      </w:r>
    </w:p>
    <w:p w:rsidR="00F37BE8" w:rsidRPr="00E46005" w:rsidRDefault="00F33A47" w:rsidP="00F37BE8">
      <w:pPr>
        <w:spacing w:line="348" w:lineRule="auto"/>
        <w:ind w:firstLineChars="177" w:firstLine="425"/>
        <w:rPr>
          <w:rFonts w:ascii="宋体" w:hAnsi="宋体"/>
          <w:sz w:val="24"/>
        </w:rPr>
      </w:pPr>
      <w:r w:rsidRPr="00F37BE8">
        <w:rPr>
          <w:rFonts w:ascii="宋体" w:hAnsi="宋体" w:hint="eastAsia"/>
          <w:sz w:val="24"/>
        </w:rPr>
        <w:t>公司着眼于长远和可持续发展，在综合分析公司实际经营发展情况、</w:t>
      </w:r>
      <w:r w:rsidRPr="00E46005">
        <w:rPr>
          <w:rFonts w:ascii="宋体" w:hAnsi="宋体"/>
          <w:sz w:val="24"/>
        </w:rPr>
        <w:t>发展战略、</w:t>
      </w:r>
      <w:r w:rsidRPr="00F37BE8">
        <w:rPr>
          <w:rFonts w:ascii="宋体" w:hAnsi="宋体" w:hint="eastAsia"/>
          <w:sz w:val="24"/>
        </w:rPr>
        <w:t>融资环境等因素的基础上，充分考虑公司目前及未来盈</w:t>
      </w:r>
      <w:r w:rsidR="00946D9F" w:rsidRPr="00F37BE8">
        <w:rPr>
          <w:rFonts w:ascii="宋体" w:hAnsi="宋体" w:hint="eastAsia"/>
          <w:sz w:val="24"/>
        </w:rPr>
        <w:t>利规模、现金流量状况、发展所处阶段、</w:t>
      </w:r>
      <w:r w:rsidR="00F37BE8" w:rsidRPr="00E46005">
        <w:rPr>
          <w:rFonts w:ascii="宋体" w:hAnsi="宋体"/>
          <w:sz w:val="24"/>
        </w:rPr>
        <w:t>项目投资资金需求等情况，平衡股东的利益，对利润分配</w:t>
      </w:r>
      <w:proofErr w:type="gramStart"/>
      <w:r w:rsidR="00F37BE8" w:rsidRPr="00E46005">
        <w:rPr>
          <w:rFonts w:ascii="宋体" w:hAnsi="宋体"/>
          <w:sz w:val="24"/>
        </w:rPr>
        <w:t>作出</w:t>
      </w:r>
      <w:proofErr w:type="gramEnd"/>
      <w:r w:rsidR="00F37BE8" w:rsidRPr="00E46005">
        <w:rPr>
          <w:rFonts w:ascii="宋体" w:hAnsi="宋体"/>
          <w:sz w:val="24"/>
        </w:rPr>
        <w:t>制度性安排，建立对投资者持续、稳定、科学的回报机制。</w:t>
      </w:r>
    </w:p>
    <w:p w:rsidR="003944A9" w:rsidRPr="00F37BE8" w:rsidRDefault="003944A9" w:rsidP="00BF1B76">
      <w:pPr>
        <w:spacing w:line="348" w:lineRule="auto"/>
        <w:ind w:firstLineChars="177" w:firstLine="425"/>
        <w:rPr>
          <w:rFonts w:ascii="宋体" w:hAnsi="宋体"/>
          <w:sz w:val="24"/>
        </w:rPr>
      </w:pPr>
    </w:p>
    <w:p w:rsidR="002075BD" w:rsidRDefault="003944A9" w:rsidP="00BF1B76">
      <w:pPr>
        <w:spacing w:line="348" w:lineRule="auto"/>
        <w:ind w:firstLineChars="177" w:firstLine="425"/>
        <w:rPr>
          <w:rFonts w:ascii="宋体" w:hAnsi="宋体"/>
          <w:sz w:val="24"/>
        </w:rPr>
      </w:pPr>
      <w:r w:rsidRPr="00E46005">
        <w:rPr>
          <w:rFonts w:ascii="宋体" w:hAnsi="宋体" w:hint="eastAsia"/>
          <w:sz w:val="24"/>
        </w:rPr>
        <w:t>第二条</w:t>
      </w:r>
      <w:r w:rsidRPr="001D42DF">
        <w:rPr>
          <w:rFonts w:ascii="宋体" w:hAnsi="宋体" w:hint="eastAsia"/>
          <w:sz w:val="24"/>
        </w:rPr>
        <w:t> </w:t>
      </w:r>
      <w:r w:rsidR="00F33A47" w:rsidRPr="001D42DF">
        <w:rPr>
          <w:rFonts w:ascii="宋体" w:hAnsi="宋体" w:hint="eastAsia"/>
          <w:sz w:val="24"/>
        </w:rPr>
        <w:t>规划的</w:t>
      </w:r>
      <w:r w:rsidRPr="00E46005">
        <w:rPr>
          <w:rFonts w:ascii="宋体" w:hAnsi="宋体" w:hint="eastAsia"/>
          <w:sz w:val="24"/>
        </w:rPr>
        <w:t>制定原则</w:t>
      </w:r>
    </w:p>
    <w:p w:rsidR="00BF1B76" w:rsidRPr="00E46005" w:rsidRDefault="00BF1B76" w:rsidP="00BF1B76">
      <w:pPr>
        <w:spacing w:line="348" w:lineRule="auto"/>
        <w:ind w:firstLineChars="177" w:firstLine="425"/>
        <w:rPr>
          <w:rFonts w:ascii="宋体" w:hAnsi="宋体"/>
          <w:sz w:val="24"/>
        </w:rPr>
      </w:pPr>
      <w:r w:rsidRPr="00E46005">
        <w:rPr>
          <w:rFonts w:ascii="宋体" w:eastAsia="MS Mincho" w:hAnsi="宋体" w:cs="MS Mincho" w:hint="eastAsia"/>
          <w:sz w:val="24"/>
        </w:rPr>
        <w:t> </w:t>
      </w:r>
      <w:r>
        <w:rPr>
          <w:rFonts w:ascii="宋体" w:hAnsi="宋体" w:cs="MS Mincho" w:hint="eastAsia"/>
          <w:sz w:val="24"/>
        </w:rPr>
        <w:t>（一）</w:t>
      </w:r>
      <w:r w:rsidRPr="00E46005">
        <w:rPr>
          <w:rFonts w:ascii="宋体" w:hAnsi="宋体" w:hint="eastAsia"/>
          <w:sz w:val="24"/>
        </w:rPr>
        <w:t>公司股东回报规划严格执行《公司章程》所规定的利润分配政策。</w:t>
      </w:r>
    </w:p>
    <w:p w:rsidR="00BF1B76" w:rsidRPr="00E46005" w:rsidRDefault="00BF1B76" w:rsidP="00BF1B76">
      <w:pPr>
        <w:spacing w:line="348" w:lineRule="auto"/>
        <w:ind w:firstLineChars="177" w:firstLine="425"/>
        <w:rPr>
          <w:rFonts w:ascii="宋体" w:hAnsi="宋体"/>
          <w:sz w:val="24"/>
        </w:rPr>
      </w:pPr>
      <w:r>
        <w:rPr>
          <w:rFonts w:ascii="宋体" w:hAnsi="宋体"/>
          <w:sz w:val="24"/>
        </w:rPr>
        <w:t xml:space="preserve"> </w:t>
      </w:r>
      <w:r>
        <w:rPr>
          <w:rFonts w:ascii="宋体" w:hAnsi="宋体" w:hint="eastAsia"/>
          <w:sz w:val="24"/>
        </w:rPr>
        <w:t>（二）</w:t>
      </w:r>
      <w:r w:rsidRPr="00E46005">
        <w:rPr>
          <w:rFonts w:ascii="宋体" w:hAnsi="宋体"/>
          <w:sz w:val="24"/>
        </w:rPr>
        <w:t>公司实行持续、稳定的利润分配政策，公司利润分配重视对投资者的合理投资回报，并兼顾公司的可持续发展。利润分配不得超过累计可分配利润的范围，不得损害公司持续经营能力。</w:t>
      </w:r>
    </w:p>
    <w:p w:rsidR="001D42DF" w:rsidRPr="00E46005" w:rsidRDefault="001D42DF" w:rsidP="001D42DF">
      <w:pPr>
        <w:spacing w:line="348" w:lineRule="auto"/>
        <w:rPr>
          <w:rFonts w:ascii="宋体" w:hAnsi="宋体"/>
          <w:sz w:val="24"/>
        </w:rPr>
      </w:pPr>
      <w:r w:rsidRPr="00E46005">
        <w:rPr>
          <w:rFonts w:ascii="宋体" w:hAnsi="宋体"/>
          <w:sz w:val="24"/>
        </w:rPr>
        <w:t xml:space="preserve">   </w:t>
      </w:r>
      <w:r w:rsidRPr="00E46005">
        <w:rPr>
          <w:rFonts w:ascii="宋体" w:hAnsi="宋体" w:hint="eastAsia"/>
          <w:sz w:val="24"/>
        </w:rPr>
        <w:t xml:space="preserve"> </w:t>
      </w:r>
    </w:p>
    <w:p w:rsidR="00E46005" w:rsidRDefault="003944A9" w:rsidP="002075BD">
      <w:pPr>
        <w:spacing w:line="348" w:lineRule="auto"/>
        <w:ind w:firstLineChars="200" w:firstLine="480"/>
        <w:rPr>
          <w:rFonts w:ascii="宋体" w:hAnsi="宋体"/>
          <w:sz w:val="24"/>
        </w:rPr>
      </w:pPr>
      <w:r w:rsidRPr="00E46005">
        <w:rPr>
          <w:rFonts w:ascii="宋体" w:hAnsi="宋体" w:hint="eastAsia"/>
          <w:sz w:val="24"/>
        </w:rPr>
        <w:t>第三条</w:t>
      </w:r>
      <w:r w:rsidRPr="00E46005">
        <w:rPr>
          <w:rFonts w:ascii="宋体" w:eastAsia="MS Mincho" w:hAnsi="宋体" w:cs="MS Mincho" w:hint="eastAsia"/>
          <w:sz w:val="24"/>
        </w:rPr>
        <w:t> </w:t>
      </w:r>
      <w:r w:rsidRPr="00E46005">
        <w:rPr>
          <w:rFonts w:ascii="宋体" w:hAnsi="宋体" w:hint="eastAsia"/>
          <w:sz w:val="24"/>
        </w:rPr>
        <w:t>未来三年（</w:t>
      </w:r>
      <w:r w:rsidR="00D05630" w:rsidRPr="00E46005">
        <w:rPr>
          <w:rFonts w:ascii="宋体" w:hAnsi="宋体"/>
          <w:sz w:val="24"/>
        </w:rPr>
        <w:t>20</w:t>
      </w:r>
      <w:r w:rsidR="00D05630">
        <w:rPr>
          <w:rFonts w:ascii="宋体" w:hAnsi="宋体" w:hint="eastAsia"/>
          <w:sz w:val="24"/>
        </w:rPr>
        <w:t>24</w:t>
      </w:r>
      <w:r w:rsidRPr="00E46005">
        <w:rPr>
          <w:rFonts w:ascii="宋体" w:hAnsi="宋体" w:hint="eastAsia"/>
          <w:sz w:val="24"/>
        </w:rPr>
        <w:t>年</w:t>
      </w:r>
      <w:r w:rsidRPr="00E46005">
        <w:rPr>
          <w:rFonts w:ascii="宋体" w:hAnsi="宋体"/>
          <w:sz w:val="24"/>
        </w:rPr>
        <w:t>-</w:t>
      </w:r>
      <w:r w:rsidR="00D05630" w:rsidRPr="00E46005">
        <w:rPr>
          <w:rFonts w:ascii="宋体" w:hAnsi="宋体"/>
          <w:sz w:val="24"/>
        </w:rPr>
        <w:t>2</w:t>
      </w:r>
      <w:r w:rsidR="00D05630">
        <w:rPr>
          <w:rFonts w:ascii="宋体" w:hAnsi="宋体" w:hint="eastAsia"/>
          <w:sz w:val="24"/>
        </w:rPr>
        <w:t>026</w:t>
      </w:r>
      <w:r w:rsidRPr="00E46005">
        <w:rPr>
          <w:rFonts w:ascii="宋体" w:hAnsi="宋体" w:hint="eastAsia"/>
          <w:sz w:val="24"/>
        </w:rPr>
        <w:t>年）具体股东回报规划</w:t>
      </w:r>
    </w:p>
    <w:p w:rsidR="00F75970" w:rsidRPr="00946D9F" w:rsidRDefault="00E46005" w:rsidP="00946D9F">
      <w:pPr>
        <w:spacing w:line="348" w:lineRule="auto"/>
        <w:ind w:firstLineChars="200" w:firstLine="480"/>
        <w:rPr>
          <w:rFonts w:ascii="宋体" w:hAnsi="宋体"/>
          <w:sz w:val="24"/>
        </w:rPr>
      </w:pPr>
      <w:r w:rsidRPr="00946D9F">
        <w:rPr>
          <w:rFonts w:ascii="宋体" w:hAnsi="宋体" w:hint="eastAsia"/>
          <w:sz w:val="24"/>
        </w:rPr>
        <w:t>（一）</w:t>
      </w:r>
      <w:r w:rsidR="00F75970" w:rsidRPr="00946D9F">
        <w:rPr>
          <w:rFonts w:ascii="宋体" w:hAnsi="宋体" w:hint="eastAsia"/>
          <w:sz w:val="24"/>
        </w:rPr>
        <w:t>基本原则</w:t>
      </w:r>
    </w:p>
    <w:p w:rsidR="00F75970" w:rsidRDefault="00F75970" w:rsidP="00F75970">
      <w:pPr>
        <w:spacing w:line="348" w:lineRule="auto"/>
        <w:ind w:firstLineChars="177" w:firstLine="425"/>
        <w:rPr>
          <w:rFonts w:ascii="宋体" w:hAnsi="宋体" w:cs="MS Mincho"/>
          <w:sz w:val="24"/>
        </w:rPr>
      </w:pPr>
      <w:r w:rsidRPr="00F75970">
        <w:rPr>
          <w:rFonts w:ascii="宋体" w:hAnsi="宋体" w:cs="MS Mincho"/>
          <w:sz w:val="24"/>
        </w:rPr>
        <w:t xml:space="preserve"> </w:t>
      </w:r>
      <w:r w:rsidRPr="00F75970">
        <w:rPr>
          <w:rFonts w:ascii="宋体" w:hAnsi="宋体" w:cs="MS Mincho" w:hint="eastAsia"/>
          <w:sz w:val="24"/>
        </w:rPr>
        <w:t>公司</w:t>
      </w:r>
      <w:r w:rsidR="00881BBE">
        <w:rPr>
          <w:rFonts w:ascii="宋体" w:hAnsi="宋体" w:cs="MS Mincho" w:hint="eastAsia"/>
          <w:sz w:val="24"/>
        </w:rPr>
        <w:t>的</w:t>
      </w:r>
      <w:r>
        <w:rPr>
          <w:rFonts w:ascii="宋体" w:hAnsi="宋体" w:cs="MS Mincho" w:hint="eastAsia"/>
          <w:sz w:val="24"/>
        </w:rPr>
        <w:t>利润分配政策保持连续性和稳定性，同时兼顾公司的长远利益、全</w:t>
      </w:r>
      <w:r>
        <w:rPr>
          <w:rFonts w:ascii="宋体" w:hAnsi="宋体" w:cs="MS Mincho" w:hint="eastAsia"/>
          <w:sz w:val="24"/>
        </w:rPr>
        <w:lastRenderedPageBreak/>
        <w:t>体股东的整体利益及公司的可持续发展。</w:t>
      </w:r>
    </w:p>
    <w:p w:rsidR="009328F3" w:rsidRDefault="009328F3" w:rsidP="00F75970">
      <w:pPr>
        <w:spacing w:line="348" w:lineRule="auto"/>
        <w:ind w:firstLineChars="177" w:firstLine="425"/>
        <w:rPr>
          <w:rFonts w:ascii="宋体" w:hAnsi="宋体" w:cs="MS Mincho"/>
          <w:sz w:val="24"/>
        </w:rPr>
      </w:pPr>
    </w:p>
    <w:p w:rsidR="00F75970" w:rsidRDefault="009328F3" w:rsidP="002075BD">
      <w:pPr>
        <w:spacing w:line="348" w:lineRule="auto"/>
        <w:ind w:firstLineChars="177" w:firstLine="425"/>
        <w:rPr>
          <w:rFonts w:ascii="宋体" w:hAnsi="宋体" w:cs="MS Mincho"/>
          <w:sz w:val="24"/>
        </w:rPr>
      </w:pPr>
      <w:r>
        <w:rPr>
          <w:rFonts w:ascii="宋体" w:hAnsi="宋体" w:cs="MS Mincho" w:hint="eastAsia"/>
          <w:sz w:val="24"/>
        </w:rPr>
        <w:t>（二）利润分配的形式</w:t>
      </w:r>
    </w:p>
    <w:p w:rsidR="003944A9" w:rsidRDefault="00881BBE" w:rsidP="002075BD">
      <w:pPr>
        <w:spacing w:line="348" w:lineRule="auto"/>
        <w:ind w:firstLineChars="227" w:firstLine="545"/>
        <w:rPr>
          <w:rFonts w:ascii="宋体" w:hAnsi="宋体"/>
          <w:sz w:val="24"/>
        </w:rPr>
      </w:pPr>
      <w:r>
        <w:rPr>
          <w:rFonts w:ascii="宋体" w:hAnsi="宋体" w:hint="eastAsia"/>
          <w:sz w:val="24"/>
        </w:rPr>
        <w:t>公司</w:t>
      </w:r>
      <w:r w:rsidR="009B59EB" w:rsidRPr="00E46005">
        <w:rPr>
          <w:rFonts w:ascii="宋体" w:hAnsi="宋体" w:hint="eastAsia"/>
          <w:sz w:val="24"/>
        </w:rPr>
        <w:t>采取现金、股票或者现金与股票相结合的方式分配股利，在满足《</w:t>
      </w:r>
      <w:r w:rsidR="00411E57" w:rsidRPr="00E46005">
        <w:rPr>
          <w:rFonts w:ascii="宋体" w:hAnsi="宋体" w:hint="eastAsia"/>
          <w:sz w:val="24"/>
        </w:rPr>
        <w:t>公司章程》规定条件的情况下，公司将优先采用现金分红进行利润分配。</w:t>
      </w:r>
      <w:r>
        <w:rPr>
          <w:rFonts w:ascii="宋体" w:hAnsi="宋体" w:hint="eastAsia"/>
          <w:sz w:val="24"/>
        </w:rPr>
        <w:t>在有条件的情况下，</w:t>
      </w:r>
      <w:r w:rsidR="009B59EB" w:rsidRPr="00E46005">
        <w:rPr>
          <w:rFonts w:ascii="宋体" w:hAnsi="宋体" w:hint="eastAsia"/>
          <w:sz w:val="24"/>
        </w:rPr>
        <w:t>公司可以进行中期利润分配</w:t>
      </w:r>
      <w:r w:rsidR="003944A9" w:rsidRPr="00E46005">
        <w:rPr>
          <w:rFonts w:ascii="宋体" w:hAnsi="宋体" w:hint="eastAsia"/>
          <w:sz w:val="24"/>
        </w:rPr>
        <w:t xml:space="preserve">。 </w:t>
      </w:r>
    </w:p>
    <w:p w:rsidR="009328F3" w:rsidRPr="00881BBE" w:rsidRDefault="009328F3" w:rsidP="002075BD">
      <w:pPr>
        <w:spacing w:line="348" w:lineRule="auto"/>
        <w:ind w:firstLineChars="227" w:firstLine="545"/>
        <w:rPr>
          <w:rFonts w:ascii="宋体" w:hAnsi="宋体"/>
          <w:sz w:val="24"/>
        </w:rPr>
      </w:pPr>
    </w:p>
    <w:p w:rsidR="009328F3" w:rsidRPr="00E46005" w:rsidRDefault="009328F3" w:rsidP="002075BD">
      <w:pPr>
        <w:spacing w:line="348" w:lineRule="auto"/>
        <w:ind w:firstLineChars="227" w:firstLine="545"/>
        <w:rPr>
          <w:rFonts w:ascii="宋体" w:hAnsi="宋体"/>
          <w:sz w:val="24"/>
        </w:rPr>
      </w:pPr>
      <w:r>
        <w:rPr>
          <w:rFonts w:ascii="宋体" w:hAnsi="宋体" w:hint="eastAsia"/>
          <w:sz w:val="24"/>
        </w:rPr>
        <w:t>（三）公司现金分红的具体条件</w:t>
      </w:r>
      <w:r w:rsidR="00946D9F">
        <w:rPr>
          <w:rFonts w:ascii="宋体" w:hAnsi="宋体" w:hint="eastAsia"/>
          <w:sz w:val="24"/>
        </w:rPr>
        <w:t>和比例</w:t>
      </w:r>
    </w:p>
    <w:p w:rsidR="005D1700" w:rsidRPr="005D1700" w:rsidRDefault="005D1700" w:rsidP="005D1700">
      <w:pPr>
        <w:spacing w:line="348" w:lineRule="auto"/>
        <w:ind w:firstLineChars="227" w:firstLine="545"/>
        <w:rPr>
          <w:rFonts w:ascii="宋体" w:hAnsi="宋体"/>
          <w:sz w:val="24"/>
        </w:rPr>
      </w:pPr>
      <w:r w:rsidRPr="00490A89">
        <w:rPr>
          <w:rFonts w:ascii="宋体" w:hAnsi="宋体" w:hint="eastAsia"/>
          <w:sz w:val="24"/>
        </w:rPr>
        <w:t>公司在当年盈利且累计未分配利润为正的情况下，现金</w:t>
      </w:r>
      <w:proofErr w:type="gramStart"/>
      <w:r w:rsidRPr="00490A89">
        <w:rPr>
          <w:rFonts w:ascii="宋体" w:hAnsi="宋体" w:hint="eastAsia"/>
          <w:sz w:val="24"/>
        </w:rPr>
        <w:t>流满足</w:t>
      </w:r>
      <w:proofErr w:type="gramEnd"/>
      <w:r w:rsidRPr="00490A89">
        <w:rPr>
          <w:rFonts w:ascii="宋体" w:hAnsi="宋体" w:hint="eastAsia"/>
          <w:sz w:val="24"/>
        </w:rPr>
        <w:t>公司正常生产经营和未来</w:t>
      </w:r>
      <w:r w:rsidR="00344BFB">
        <w:rPr>
          <w:rFonts w:ascii="宋体" w:hAnsi="宋体" w:hint="eastAsia"/>
          <w:sz w:val="24"/>
        </w:rPr>
        <w:t>发展的前提下，采取现金方式分配股利，每年以现金方式分配的利润不少</w:t>
      </w:r>
      <w:r w:rsidRPr="00490A89">
        <w:rPr>
          <w:rFonts w:ascii="宋体" w:hAnsi="宋体" w:hint="eastAsia"/>
          <w:sz w:val="24"/>
        </w:rPr>
        <w:t>于当年实现的可供分配利润的</w:t>
      </w:r>
      <w:r w:rsidRPr="00490A89">
        <w:rPr>
          <w:rFonts w:ascii="宋体" w:hAnsi="宋体"/>
          <w:sz w:val="24"/>
        </w:rPr>
        <w:t>15%。</w:t>
      </w:r>
    </w:p>
    <w:p w:rsidR="005D1700" w:rsidRPr="005D1700" w:rsidRDefault="005D1700" w:rsidP="005D1700">
      <w:pPr>
        <w:spacing w:line="348" w:lineRule="auto"/>
        <w:ind w:firstLineChars="227" w:firstLine="545"/>
        <w:rPr>
          <w:rFonts w:ascii="宋体" w:hAnsi="宋体"/>
          <w:sz w:val="24"/>
        </w:rPr>
      </w:pPr>
      <w:r w:rsidRPr="00490A89">
        <w:rPr>
          <w:rFonts w:ascii="宋体" w:hAnsi="宋体" w:hint="eastAsia"/>
          <w:sz w:val="24"/>
        </w:rPr>
        <w:t>公司董事会应当综合考虑所处行业特点、发展阶段、自身经营模式、盈利水平</w:t>
      </w:r>
      <w:r w:rsidRPr="007C735D">
        <w:rPr>
          <w:rFonts w:ascii="宋体" w:hAnsi="宋体" w:hint="eastAsia"/>
          <w:sz w:val="24"/>
        </w:rPr>
        <w:t>、债务偿还能力、是否有重大资金支出安排和投资者回报等因素</w:t>
      </w:r>
      <w:r w:rsidRPr="00490A89">
        <w:rPr>
          <w:rFonts w:ascii="宋体" w:hAnsi="宋体" w:hint="eastAsia"/>
          <w:sz w:val="24"/>
        </w:rPr>
        <w:t>，区分下列情形，提出具体现金分红政策：</w:t>
      </w:r>
    </w:p>
    <w:p w:rsidR="005D1700" w:rsidRPr="005D1700" w:rsidRDefault="005D1700" w:rsidP="005D1700">
      <w:pPr>
        <w:spacing w:line="348" w:lineRule="auto"/>
        <w:ind w:firstLineChars="227" w:firstLine="545"/>
        <w:rPr>
          <w:rFonts w:ascii="宋体" w:hAnsi="宋体"/>
          <w:sz w:val="24"/>
        </w:rPr>
      </w:pPr>
      <w:r w:rsidRPr="00490A89">
        <w:rPr>
          <w:rFonts w:ascii="宋体" w:hAnsi="宋体" w:hint="eastAsia"/>
          <w:sz w:val="24"/>
        </w:rPr>
        <w:t>（</w:t>
      </w:r>
      <w:r w:rsidRPr="00490A89">
        <w:rPr>
          <w:rFonts w:ascii="宋体" w:hAnsi="宋体"/>
          <w:sz w:val="24"/>
        </w:rPr>
        <w:t>1）公司发展阶段属成熟期且无重大资金支出安排的，进行利润分配时，现金分红在本次利润分配中所占比例最低应达到80%；</w:t>
      </w:r>
    </w:p>
    <w:p w:rsidR="005D1700" w:rsidRPr="005D1700" w:rsidRDefault="005D1700" w:rsidP="005D1700">
      <w:pPr>
        <w:spacing w:line="348" w:lineRule="auto"/>
        <w:ind w:firstLineChars="227" w:firstLine="545"/>
        <w:rPr>
          <w:rFonts w:ascii="宋体" w:hAnsi="宋体"/>
          <w:sz w:val="24"/>
        </w:rPr>
      </w:pPr>
      <w:r w:rsidRPr="00490A89">
        <w:rPr>
          <w:rFonts w:ascii="宋体" w:hAnsi="宋体" w:hint="eastAsia"/>
          <w:sz w:val="24"/>
        </w:rPr>
        <w:t>（</w:t>
      </w:r>
      <w:r w:rsidRPr="00490A89">
        <w:rPr>
          <w:rFonts w:ascii="宋体" w:hAnsi="宋体"/>
          <w:sz w:val="24"/>
        </w:rPr>
        <w:t>2）公司发展阶段属成熟期且有重大资金支出安排的，进行利润分配时，现金分红在本次利润分配中所占比例最低应达到40%；</w:t>
      </w:r>
    </w:p>
    <w:p w:rsidR="005D1700" w:rsidRPr="005D1700" w:rsidRDefault="005D1700" w:rsidP="005D1700">
      <w:pPr>
        <w:spacing w:line="348" w:lineRule="auto"/>
        <w:ind w:firstLineChars="227" w:firstLine="545"/>
        <w:rPr>
          <w:rFonts w:ascii="宋体" w:hAnsi="宋体"/>
          <w:sz w:val="24"/>
        </w:rPr>
      </w:pPr>
      <w:r w:rsidRPr="00490A89">
        <w:rPr>
          <w:rFonts w:ascii="宋体" w:hAnsi="宋体" w:hint="eastAsia"/>
          <w:sz w:val="24"/>
        </w:rPr>
        <w:t>（</w:t>
      </w:r>
      <w:r w:rsidRPr="00490A89">
        <w:rPr>
          <w:rFonts w:ascii="宋体" w:hAnsi="宋体"/>
          <w:sz w:val="24"/>
        </w:rPr>
        <w:t>3）公司发展阶段属成长期且有重大资金支出安排的，进行利润分配时，现金分红在本次利润分配中所占比例最低应达到20%。</w:t>
      </w:r>
    </w:p>
    <w:p w:rsidR="005D1700" w:rsidRPr="005D1700" w:rsidRDefault="005D1700" w:rsidP="005D1700">
      <w:pPr>
        <w:spacing w:line="348" w:lineRule="auto"/>
        <w:ind w:firstLineChars="227" w:firstLine="545"/>
        <w:rPr>
          <w:rFonts w:ascii="宋体" w:hAnsi="宋体"/>
          <w:sz w:val="24"/>
        </w:rPr>
      </w:pPr>
      <w:r w:rsidRPr="00490A89">
        <w:rPr>
          <w:rFonts w:ascii="宋体" w:hAnsi="宋体" w:hint="eastAsia"/>
          <w:sz w:val="24"/>
        </w:rPr>
        <w:t>“重大资金支出安排”是指公司在一年内购买资产以及对外投资等交易涉及的交易额占公司最近一期经审计净资产</w:t>
      </w:r>
      <w:r w:rsidRPr="00490A89">
        <w:rPr>
          <w:rFonts w:ascii="宋体" w:hAnsi="宋体"/>
          <w:sz w:val="24"/>
        </w:rPr>
        <w:t>30%以上的事项。</w:t>
      </w:r>
    </w:p>
    <w:p w:rsidR="009328F3" w:rsidRPr="009328F3" w:rsidRDefault="009328F3" w:rsidP="009328F3">
      <w:pPr>
        <w:spacing w:line="348" w:lineRule="auto"/>
        <w:ind w:firstLine="480"/>
        <w:rPr>
          <w:rFonts w:ascii="宋体" w:hAnsi="宋体"/>
          <w:color w:val="FF0000"/>
          <w:sz w:val="24"/>
        </w:rPr>
      </w:pPr>
    </w:p>
    <w:p w:rsidR="004318F7" w:rsidRPr="00E46005" w:rsidRDefault="009328F3" w:rsidP="002075BD">
      <w:pPr>
        <w:spacing w:line="336" w:lineRule="auto"/>
        <w:ind w:firstLineChars="200" w:firstLine="480"/>
        <w:rPr>
          <w:rFonts w:ascii="宋体" w:hAnsi="宋体"/>
          <w:sz w:val="24"/>
        </w:rPr>
      </w:pPr>
      <w:r>
        <w:rPr>
          <w:rFonts w:ascii="宋体" w:hAnsi="宋体" w:hint="eastAsia"/>
          <w:sz w:val="24"/>
        </w:rPr>
        <w:t>（四）公司发放股票股利的具体条件</w:t>
      </w:r>
    </w:p>
    <w:p w:rsidR="009328F3" w:rsidRDefault="004318F7" w:rsidP="002075BD">
      <w:pPr>
        <w:spacing w:line="336" w:lineRule="auto"/>
        <w:ind w:firstLineChars="200" w:firstLine="480"/>
        <w:rPr>
          <w:rFonts w:ascii="宋体" w:hAnsi="宋体"/>
          <w:sz w:val="24"/>
        </w:rPr>
      </w:pPr>
      <w:r w:rsidRPr="00E46005">
        <w:rPr>
          <w:rFonts w:ascii="宋体" w:hAnsi="宋体" w:hint="eastAsia"/>
          <w:sz w:val="24"/>
        </w:rPr>
        <w:t>公司在经营情况良好，并且董事会认为公司股票价格与公司股本规模不匹配、发放股票股利有利于公司全体股东整</w:t>
      </w:r>
      <w:r w:rsidR="009328F3">
        <w:rPr>
          <w:rFonts w:ascii="宋体" w:hAnsi="宋体" w:hint="eastAsia"/>
          <w:sz w:val="24"/>
        </w:rPr>
        <w:t>体利益时，可以在满足上述现金分红的条件下，提出股票股利分配预案。</w:t>
      </w:r>
    </w:p>
    <w:p w:rsidR="00946D9F" w:rsidRDefault="00946D9F" w:rsidP="002075BD">
      <w:pPr>
        <w:spacing w:line="336" w:lineRule="auto"/>
        <w:ind w:firstLineChars="200" w:firstLine="480"/>
        <w:rPr>
          <w:rFonts w:ascii="宋体" w:hAnsi="宋体"/>
          <w:sz w:val="24"/>
        </w:rPr>
      </w:pPr>
    </w:p>
    <w:p w:rsidR="0095310E" w:rsidRPr="00E46005" w:rsidRDefault="009328F3" w:rsidP="002075BD">
      <w:pPr>
        <w:spacing w:line="348" w:lineRule="auto"/>
        <w:ind w:firstLineChars="200" w:firstLine="480"/>
        <w:rPr>
          <w:rFonts w:ascii="宋体" w:hAnsi="宋体"/>
          <w:sz w:val="24"/>
        </w:rPr>
      </w:pPr>
      <w:r>
        <w:rPr>
          <w:rFonts w:ascii="宋体" w:hAnsi="宋体" w:hint="eastAsia"/>
          <w:sz w:val="24"/>
        </w:rPr>
        <w:t>（五）</w:t>
      </w:r>
      <w:r w:rsidR="0095310E" w:rsidRPr="00E46005">
        <w:rPr>
          <w:rFonts w:ascii="宋体" w:hAnsi="宋体" w:hint="eastAsia"/>
          <w:sz w:val="24"/>
        </w:rPr>
        <w:t>利润分配方案的</w:t>
      </w:r>
      <w:r w:rsidR="009C5FDB" w:rsidRPr="00E46005">
        <w:rPr>
          <w:rFonts w:ascii="宋体" w:hAnsi="宋体" w:hint="eastAsia"/>
          <w:sz w:val="24"/>
        </w:rPr>
        <w:t>决策程序和机制</w:t>
      </w:r>
    </w:p>
    <w:p w:rsidR="009C5FDB" w:rsidRPr="00E46005" w:rsidRDefault="00E46005" w:rsidP="002075BD">
      <w:pPr>
        <w:spacing w:line="348" w:lineRule="auto"/>
        <w:ind w:firstLineChars="200" w:firstLine="480"/>
        <w:rPr>
          <w:rFonts w:ascii="宋体" w:hAnsi="宋体"/>
          <w:sz w:val="24"/>
        </w:rPr>
      </w:pPr>
      <w:r>
        <w:rPr>
          <w:rFonts w:ascii="宋体" w:hAnsi="宋体" w:hint="eastAsia"/>
          <w:sz w:val="24"/>
        </w:rPr>
        <w:t>1、</w:t>
      </w:r>
      <w:r w:rsidR="009C5FDB" w:rsidRPr="00E46005">
        <w:rPr>
          <w:rFonts w:ascii="宋体" w:hAnsi="宋体" w:hint="eastAsia"/>
          <w:sz w:val="24"/>
        </w:rPr>
        <w:t>公司利润分配方案由董事会根据公司经营状况和有关规定拟定，并在征询监事会意见后提交股东大会审议批准。</w:t>
      </w:r>
    </w:p>
    <w:p w:rsidR="001F7ECB" w:rsidRPr="00E46005" w:rsidRDefault="00E46005" w:rsidP="002075BD">
      <w:pPr>
        <w:spacing w:line="348" w:lineRule="auto"/>
        <w:ind w:firstLineChars="200" w:firstLine="480"/>
        <w:rPr>
          <w:rFonts w:ascii="宋体" w:hAnsi="宋体"/>
          <w:sz w:val="24"/>
        </w:rPr>
      </w:pPr>
      <w:r>
        <w:rPr>
          <w:rFonts w:ascii="宋体" w:hAnsi="宋体" w:hint="eastAsia"/>
          <w:sz w:val="24"/>
        </w:rPr>
        <w:lastRenderedPageBreak/>
        <w:t>2、</w:t>
      </w:r>
      <w:r w:rsidR="001F7ECB" w:rsidRPr="00E46005">
        <w:rPr>
          <w:rFonts w:ascii="宋体" w:hAnsi="宋体" w:hint="eastAsia"/>
          <w:sz w:val="24"/>
        </w:rPr>
        <w:t>公司应切实保障社会公众股股东参与股东大会的权利，董事会、独立董事和符合一定条件的股东可以向公司股东征集其在股东大会上的投票权。</w:t>
      </w:r>
    </w:p>
    <w:p w:rsidR="001F7ECB" w:rsidRPr="00E46005" w:rsidRDefault="00E46005" w:rsidP="002075BD">
      <w:pPr>
        <w:spacing w:line="348" w:lineRule="auto"/>
        <w:ind w:firstLineChars="200" w:firstLine="480"/>
        <w:rPr>
          <w:rFonts w:ascii="宋体" w:hAnsi="宋体"/>
          <w:sz w:val="24"/>
        </w:rPr>
      </w:pPr>
      <w:r>
        <w:rPr>
          <w:rFonts w:ascii="宋体" w:hAnsi="宋体" w:hint="eastAsia"/>
          <w:sz w:val="24"/>
        </w:rPr>
        <w:t>3、</w:t>
      </w:r>
      <w:r w:rsidR="00C925ED" w:rsidRPr="007C735D">
        <w:rPr>
          <w:rFonts w:ascii="宋体" w:hAnsi="宋体" w:hint="eastAsia"/>
          <w:sz w:val="24"/>
        </w:rPr>
        <w:t>公司在制定现金分红具体方案时，董事会应当认真研究和论证公司现金分红的时机、条件和最低比例、调整的条件及其决策程序要求等事宜。</w:t>
      </w:r>
      <w:r w:rsidR="00C925ED" w:rsidRPr="00490A89">
        <w:rPr>
          <w:rFonts w:ascii="宋体" w:hAnsi="宋体" w:hint="eastAsia"/>
          <w:sz w:val="24"/>
        </w:rPr>
        <w:t>股东大会对现金分红具体方案进行审议时，应当通过多种渠道主动与股东特别是中小股东进行沟通和交流（包括但不限于提供网络投票表决、邀请中小股东参会等方式），充分听取中小股东的意见和诉求，并及时答复中小股东关心的问题。</w:t>
      </w:r>
      <w:r w:rsidR="00C925ED" w:rsidRPr="007C735D">
        <w:rPr>
          <w:rFonts w:ascii="宋体" w:hAnsi="宋体" w:hint="eastAsia"/>
          <w:sz w:val="24"/>
        </w:rPr>
        <w:t>独立董事认为现金分红具体方案可能损害公司或者中小股东权益的，有权发表独立意见。董事会对独立董事的意见未采纳或者未完全采纳的，应当在董事会决议中记载独立董事的意见及未采纳的具体理由并披露。</w:t>
      </w:r>
    </w:p>
    <w:p w:rsidR="009C5FDB" w:rsidRDefault="00E46005" w:rsidP="002075BD">
      <w:pPr>
        <w:spacing w:line="348" w:lineRule="auto"/>
        <w:ind w:firstLineChars="200" w:firstLine="480"/>
        <w:rPr>
          <w:rFonts w:ascii="宋体" w:hAnsi="宋体"/>
          <w:sz w:val="24"/>
        </w:rPr>
      </w:pPr>
      <w:r>
        <w:rPr>
          <w:rFonts w:ascii="宋体" w:hAnsi="宋体" w:hint="eastAsia"/>
          <w:sz w:val="24"/>
        </w:rPr>
        <w:t>4、</w:t>
      </w:r>
      <w:r w:rsidR="00C925ED">
        <w:rPr>
          <w:rFonts w:ascii="宋体" w:hAnsi="宋体"/>
          <w:sz w:val="24"/>
        </w:rPr>
        <w:t>公司在年度报告中详细披露现金分红政策的制定及执行情况</w:t>
      </w:r>
      <w:r w:rsidR="00C925ED" w:rsidRPr="00CC6424">
        <w:rPr>
          <w:rFonts w:ascii="宋体" w:hAnsi="宋体" w:hint="eastAsia"/>
          <w:sz w:val="24"/>
        </w:rPr>
        <w:t>，对现金</w:t>
      </w:r>
      <w:r w:rsidR="00C925ED" w:rsidRPr="007C735D">
        <w:rPr>
          <w:rFonts w:ascii="宋体" w:hAnsi="宋体" w:hint="eastAsia"/>
          <w:sz w:val="24"/>
        </w:rPr>
        <w:t>分红政策进行调整或者变更的，还应当对调整或者变更的条件及程序是否合</w:t>
      </w:r>
      <w:proofErr w:type="gramStart"/>
      <w:r w:rsidR="00C925ED" w:rsidRPr="007C735D">
        <w:rPr>
          <w:rFonts w:ascii="宋体" w:hAnsi="宋体" w:hint="eastAsia"/>
          <w:sz w:val="24"/>
        </w:rPr>
        <w:t>规</w:t>
      </w:r>
      <w:proofErr w:type="gramEnd"/>
      <w:r w:rsidR="00C925ED" w:rsidRPr="007C735D">
        <w:rPr>
          <w:rFonts w:ascii="宋体" w:hAnsi="宋体" w:hint="eastAsia"/>
          <w:sz w:val="24"/>
        </w:rPr>
        <w:t>和透明等进行详细说明</w:t>
      </w:r>
      <w:r w:rsidR="00C925ED">
        <w:rPr>
          <w:rFonts w:ascii="宋体" w:hAnsi="宋体" w:hint="eastAsia"/>
          <w:sz w:val="24"/>
        </w:rPr>
        <w:t>。公司董事会应在年度报告中披露利润分配方案及留存的未分配利润的使用计划安排或原则</w:t>
      </w:r>
      <w:r w:rsidR="00C925ED">
        <w:rPr>
          <w:rFonts w:ascii="宋体" w:hAnsi="宋体"/>
          <w:sz w:val="24"/>
        </w:rPr>
        <w:t>,公司当年利润分配完成后留存的未分配利润应用于发展公司经营业务。公司当年盈利但董事会未做出现金分红预案的,应在年度报告中披露未做出现金分红预案的原因及未用于分红的资金留存公司的用途</w:t>
      </w:r>
      <w:r w:rsidR="00C925ED" w:rsidRPr="007C735D">
        <w:rPr>
          <w:rFonts w:ascii="宋体" w:hAnsi="宋体" w:hint="eastAsia"/>
          <w:sz w:val="24"/>
        </w:rPr>
        <w:t>，以及下一步为增强投资者回报水平拟采取的举措等</w:t>
      </w:r>
      <w:r w:rsidR="00C925ED">
        <w:rPr>
          <w:rFonts w:ascii="宋体" w:hAnsi="宋体" w:hint="eastAsia"/>
          <w:sz w:val="24"/>
        </w:rPr>
        <w:t>。</w:t>
      </w:r>
    </w:p>
    <w:p w:rsidR="00C925ED" w:rsidRDefault="00C925ED" w:rsidP="002075BD">
      <w:pPr>
        <w:spacing w:line="348" w:lineRule="auto"/>
        <w:ind w:firstLineChars="200" w:firstLine="480"/>
        <w:rPr>
          <w:rFonts w:ascii="宋体" w:hAnsi="宋体"/>
          <w:sz w:val="24"/>
        </w:rPr>
      </w:pPr>
      <w:r>
        <w:rPr>
          <w:rFonts w:ascii="宋体" w:hAnsi="宋体" w:hint="eastAsia"/>
          <w:sz w:val="24"/>
        </w:rPr>
        <w:t>5、</w:t>
      </w:r>
      <w:r w:rsidRPr="007C735D">
        <w:rPr>
          <w:rFonts w:ascii="宋体" w:hAnsi="宋体" w:hint="eastAsia"/>
          <w:sz w:val="24"/>
        </w:rPr>
        <w:t>公司召开年度股东大会审议年度利润分配方案时，</w:t>
      </w:r>
      <w:proofErr w:type="gramStart"/>
      <w:r w:rsidRPr="007C735D">
        <w:rPr>
          <w:rFonts w:ascii="宋体" w:hAnsi="宋体" w:hint="eastAsia"/>
          <w:sz w:val="24"/>
        </w:rPr>
        <w:t>可审议</w:t>
      </w:r>
      <w:proofErr w:type="gramEnd"/>
      <w:r w:rsidRPr="007C735D">
        <w:rPr>
          <w:rFonts w:ascii="宋体" w:hAnsi="宋体" w:hint="eastAsia"/>
          <w:sz w:val="24"/>
        </w:rPr>
        <w:t>批准下一年中期现金分红的条件、比例上限、金额上限等。年度股东大会审议的下一年中期分红上限不应超过相应期间归属于公司股东的净利润。董事会根据股东大会决议在符合利润分配的条件下制定具体的中期分红方案。</w:t>
      </w:r>
    </w:p>
    <w:p w:rsidR="002075BD" w:rsidRDefault="002075BD" w:rsidP="002075BD">
      <w:pPr>
        <w:spacing w:line="336" w:lineRule="auto"/>
        <w:rPr>
          <w:rFonts w:ascii="宋体" w:hAnsi="宋体"/>
          <w:sz w:val="24"/>
        </w:rPr>
      </w:pPr>
    </w:p>
    <w:p w:rsidR="00946D9F" w:rsidRPr="00946D9F" w:rsidRDefault="00946D9F" w:rsidP="002075BD">
      <w:pPr>
        <w:spacing w:line="336" w:lineRule="auto"/>
        <w:rPr>
          <w:rFonts w:ascii="宋体" w:hAnsi="宋体"/>
          <w:sz w:val="24"/>
        </w:rPr>
      </w:pPr>
    </w:p>
    <w:p w:rsidR="001F7ECB" w:rsidRDefault="001F7ECB" w:rsidP="002075BD">
      <w:pPr>
        <w:spacing w:line="348" w:lineRule="auto"/>
        <w:rPr>
          <w:rFonts w:ascii="宋体" w:hAnsi="宋体"/>
          <w:sz w:val="24"/>
        </w:rPr>
      </w:pPr>
    </w:p>
    <w:p w:rsidR="00946D9F" w:rsidRPr="00E46005" w:rsidRDefault="00946D9F" w:rsidP="001F7ECB">
      <w:pPr>
        <w:spacing w:line="348" w:lineRule="auto"/>
        <w:rPr>
          <w:rFonts w:ascii="宋体" w:hAnsi="宋体"/>
          <w:sz w:val="24"/>
        </w:rPr>
      </w:pPr>
    </w:p>
    <w:p w:rsidR="00B6552F" w:rsidRPr="00E46005" w:rsidRDefault="00B6552F" w:rsidP="001F7ECB">
      <w:pPr>
        <w:spacing w:line="348" w:lineRule="auto"/>
        <w:rPr>
          <w:rFonts w:ascii="宋体" w:hAnsi="宋体"/>
          <w:sz w:val="24"/>
        </w:rPr>
      </w:pPr>
      <w:r w:rsidRPr="00E46005">
        <w:rPr>
          <w:rFonts w:ascii="宋体" w:hAnsi="宋体" w:hint="eastAsia"/>
          <w:sz w:val="24"/>
        </w:rPr>
        <w:t xml:space="preserve">                                   江苏华西村股份有限公司董事会</w:t>
      </w:r>
    </w:p>
    <w:p w:rsidR="00B6552F" w:rsidRPr="00E46005" w:rsidRDefault="00B6552F" w:rsidP="001F7ECB">
      <w:pPr>
        <w:spacing w:line="348" w:lineRule="auto"/>
        <w:rPr>
          <w:rFonts w:ascii="宋体" w:hAnsi="宋体"/>
          <w:sz w:val="24"/>
        </w:rPr>
      </w:pPr>
      <w:r w:rsidRPr="00E46005">
        <w:rPr>
          <w:rFonts w:ascii="宋体" w:hAnsi="宋体" w:hint="eastAsia"/>
          <w:sz w:val="24"/>
        </w:rPr>
        <w:t xml:space="preserve">                               </w:t>
      </w:r>
      <w:r w:rsidR="00643C92" w:rsidRPr="00E46005">
        <w:rPr>
          <w:rFonts w:ascii="宋体" w:hAnsi="宋体" w:hint="eastAsia"/>
          <w:sz w:val="24"/>
        </w:rPr>
        <w:t xml:space="preserve">          </w:t>
      </w:r>
      <w:r w:rsidRPr="00E46005">
        <w:rPr>
          <w:rFonts w:ascii="宋体" w:hAnsi="宋体" w:hint="eastAsia"/>
          <w:sz w:val="24"/>
        </w:rPr>
        <w:t xml:space="preserve"> </w:t>
      </w:r>
      <w:r w:rsidR="00643C92" w:rsidRPr="00E46005">
        <w:rPr>
          <w:rFonts w:ascii="宋体" w:hAnsi="宋体" w:hint="eastAsia"/>
          <w:sz w:val="24"/>
        </w:rPr>
        <w:t>20</w:t>
      </w:r>
      <w:r w:rsidR="00347419">
        <w:rPr>
          <w:rFonts w:ascii="宋体" w:hAnsi="宋体" w:hint="eastAsia"/>
          <w:sz w:val="24"/>
        </w:rPr>
        <w:t>2</w:t>
      </w:r>
      <w:r w:rsidR="00753226">
        <w:rPr>
          <w:rFonts w:ascii="宋体" w:hAnsi="宋体" w:hint="eastAsia"/>
          <w:sz w:val="24"/>
        </w:rPr>
        <w:t>4</w:t>
      </w:r>
      <w:r w:rsidRPr="00E46005">
        <w:rPr>
          <w:rFonts w:ascii="宋体" w:hAnsi="宋体" w:hint="eastAsia"/>
          <w:sz w:val="24"/>
        </w:rPr>
        <w:t>年</w:t>
      </w:r>
      <w:r w:rsidR="00347419">
        <w:rPr>
          <w:rFonts w:ascii="宋体" w:hAnsi="宋体" w:hint="eastAsia"/>
          <w:sz w:val="24"/>
        </w:rPr>
        <w:t>4</w:t>
      </w:r>
      <w:r w:rsidRPr="00E46005">
        <w:rPr>
          <w:rFonts w:ascii="宋体" w:hAnsi="宋体" w:hint="eastAsia"/>
          <w:sz w:val="24"/>
        </w:rPr>
        <w:t>月</w:t>
      </w:r>
      <w:r w:rsidR="001A6739">
        <w:rPr>
          <w:rFonts w:ascii="宋体" w:hAnsi="宋体" w:hint="eastAsia"/>
          <w:sz w:val="24"/>
        </w:rPr>
        <w:t>30</w:t>
      </w:r>
      <w:r w:rsidRPr="00E46005">
        <w:rPr>
          <w:rFonts w:ascii="宋体" w:hAnsi="宋体" w:hint="eastAsia"/>
          <w:sz w:val="24"/>
        </w:rPr>
        <w:t>日</w:t>
      </w:r>
    </w:p>
    <w:sectPr w:rsidR="00B6552F" w:rsidRPr="00E4600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27" w:rsidRDefault="00D37727" w:rsidP="00726DAA">
      <w:r>
        <w:separator/>
      </w:r>
    </w:p>
  </w:endnote>
  <w:endnote w:type="continuationSeparator" w:id="0">
    <w:p w:rsidR="00D37727" w:rsidRDefault="00D37727" w:rsidP="0072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9F" w:rsidRDefault="00946D9F">
    <w:pPr>
      <w:pStyle w:val="a5"/>
      <w:jc w:val="center"/>
    </w:pPr>
    <w:r>
      <w:fldChar w:fldCharType="begin"/>
    </w:r>
    <w:r>
      <w:instrText xml:space="preserve"> PAGE   \* MERGEFORMAT </w:instrText>
    </w:r>
    <w:r>
      <w:fldChar w:fldCharType="separate"/>
    </w:r>
    <w:r w:rsidR="00A87760" w:rsidRPr="00A87760">
      <w:rPr>
        <w:noProof/>
        <w:lang w:val="zh-CN"/>
      </w:rPr>
      <w:t>3</w:t>
    </w:r>
    <w:r>
      <w:fldChar w:fldCharType="end"/>
    </w:r>
  </w:p>
  <w:p w:rsidR="00946D9F" w:rsidRDefault="00946D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27" w:rsidRDefault="00D37727" w:rsidP="00726DAA">
      <w:r>
        <w:separator/>
      </w:r>
    </w:p>
  </w:footnote>
  <w:footnote w:type="continuationSeparator" w:id="0">
    <w:p w:rsidR="00D37727" w:rsidRDefault="00D37727" w:rsidP="00726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A9"/>
    <w:rsid w:val="000215B4"/>
    <w:rsid w:val="00024106"/>
    <w:rsid w:val="00050096"/>
    <w:rsid w:val="00057671"/>
    <w:rsid w:val="00066587"/>
    <w:rsid w:val="0008496A"/>
    <w:rsid w:val="000B3953"/>
    <w:rsid w:val="00115E65"/>
    <w:rsid w:val="00197561"/>
    <w:rsid w:val="0019793B"/>
    <w:rsid w:val="001A1838"/>
    <w:rsid w:val="001A6739"/>
    <w:rsid w:val="001B68D8"/>
    <w:rsid w:val="001D42DF"/>
    <w:rsid w:val="001D551D"/>
    <w:rsid w:val="001F5131"/>
    <w:rsid w:val="001F7ECB"/>
    <w:rsid w:val="002075BD"/>
    <w:rsid w:val="00266249"/>
    <w:rsid w:val="002C062E"/>
    <w:rsid w:val="00344BFB"/>
    <w:rsid w:val="003458DD"/>
    <w:rsid w:val="00347419"/>
    <w:rsid w:val="00347542"/>
    <w:rsid w:val="00391EC3"/>
    <w:rsid w:val="003944A9"/>
    <w:rsid w:val="003B2BC7"/>
    <w:rsid w:val="003F42B1"/>
    <w:rsid w:val="00411E57"/>
    <w:rsid w:val="004318F7"/>
    <w:rsid w:val="00454634"/>
    <w:rsid w:val="004551CE"/>
    <w:rsid w:val="004E3B16"/>
    <w:rsid w:val="00541FD4"/>
    <w:rsid w:val="005659BE"/>
    <w:rsid w:val="005A0B5F"/>
    <w:rsid w:val="005B0FD4"/>
    <w:rsid w:val="005D1700"/>
    <w:rsid w:val="00643C92"/>
    <w:rsid w:val="006628DD"/>
    <w:rsid w:val="006C6259"/>
    <w:rsid w:val="006F25CD"/>
    <w:rsid w:val="00700266"/>
    <w:rsid w:val="00714607"/>
    <w:rsid w:val="00726DAA"/>
    <w:rsid w:val="00753226"/>
    <w:rsid w:val="0083294A"/>
    <w:rsid w:val="00863865"/>
    <w:rsid w:val="00881BBE"/>
    <w:rsid w:val="008931AB"/>
    <w:rsid w:val="00910EF2"/>
    <w:rsid w:val="00912952"/>
    <w:rsid w:val="0091673A"/>
    <w:rsid w:val="009328F3"/>
    <w:rsid w:val="00940DE7"/>
    <w:rsid w:val="00946D9F"/>
    <w:rsid w:val="0095310E"/>
    <w:rsid w:val="00980832"/>
    <w:rsid w:val="00986CB8"/>
    <w:rsid w:val="009917F6"/>
    <w:rsid w:val="009B59EB"/>
    <w:rsid w:val="009B60A3"/>
    <w:rsid w:val="009C4D70"/>
    <w:rsid w:val="009C5FDB"/>
    <w:rsid w:val="009E5D6B"/>
    <w:rsid w:val="00A26C2B"/>
    <w:rsid w:val="00A86FFB"/>
    <w:rsid w:val="00A87760"/>
    <w:rsid w:val="00B6552F"/>
    <w:rsid w:val="00BF1B76"/>
    <w:rsid w:val="00C670C7"/>
    <w:rsid w:val="00C925ED"/>
    <w:rsid w:val="00CD3F2D"/>
    <w:rsid w:val="00D05630"/>
    <w:rsid w:val="00D37727"/>
    <w:rsid w:val="00D80133"/>
    <w:rsid w:val="00DA5F04"/>
    <w:rsid w:val="00DA725C"/>
    <w:rsid w:val="00DB0D5F"/>
    <w:rsid w:val="00DC3A23"/>
    <w:rsid w:val="00E0039B"/>
    <w:rsid w:val="00E04761"/>
    <w:rsid w:val="00E218AF"/>
    <w:rsid w:val="00E46005"/>
    <w:rsid w:val="00E95DD4"/>
    <w:rsid w:val="00EA07C7"/>
    <w:rsid w:val="00F026C5"/>
    <w:rsid w:val="00F33A47"/>
    <w:rsid w:val="00F37BE8"/>
    <w:rsid w:val="00F75970"/>
    <w:rsid w:val="00FA1A80"/>
    <w:rsid w:val="00FC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1E57"/>
    <w:rPr>
      <w:sz w:val="18"/>
      <w:szCs w:val="18"/>
    </w:rPr>
  </w:style>
  <w:style w:type="paragraph" w:customStyle="1" w:styleId="CharCharCharCharCharChar1CharCharChar">
    <w:name w:val="Char Char Char Char Char Char1 Char Char Char"/>
    <w:basedOn w:val="a"/>
    <w:rsid w:val="0095310E"/>
    <w:pPr>
      <w:autoSpaceDE w:val="0"/>
      <w:autoSpaceDN w:val="0"/>
      <w:adjustRightInd w:val="0"/>
      <w:jc w:val="left"/>
      <w:textAlignment w:val="baseline"/>
    </w:pPr>
    <w:rPr>
      <w:rFonts w:ascii="宋体"/>
      <w:kern w:val="0"/>
      <w:sz w:val="34"/>
      <w:szCs w:val="20"/>
    </w:rPr>
  </w:style>
  <w:style w:type="paragraph" w:styleId="a4">
    <w:name w:val="header"/>
    <w:basedOn w:val="a"/>
    <w:link w:val="Char"/>
    <w:rsid w:val="00726DA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726DAA"/>
    <w:rPr>
      <w:kern w:val="2"/>
      <w:sz w:val="18"/>
      <w:szCs w:val="18"/>
    </w:rPr>
  </w:style>
  <w:style w:type="paragraph" w:styleId="a5">
    <w:name w:val="footer"/>
    <w:basedOn w:val="a"/>
    <w:link w:val="Char0"/>
    <w:uiPriority w:val="99"/>
    <w:rsid w:val="00726DAA"/>
    <w:pPr>
      <w:tabs>
        <w:tab w:val="center" w:pos="4153"/>
        <w:tab w:val="right" w:pos="8306"/>
      </w:tabs>
      <w:snapToGrid w:val="0"/>
      <w:jc w:val="left"/>
    </w:pPr>
    <w:rPr>
      <w:sz w:val="18"/>
      <w:szCs w:val="18"/>
    </w:rPr>
  </w:style>
  <w:style w:type="character" w:customStyle="1" w:styleId="Char0">
    <w:name w:val="页脚 Char"/>
    <w:link w:val="a5"/>
    <w:uiPriority w:val="99"/>
    <w:rsid w:val="00726DAA"/>
    <w:rPr>
      <w:kern w:val="2"/>
      <w:sz w:val="18"/>
      <w:szCs w:val="18"/>
    </w:rPr>
  </w:style>
  <w:style w:type="paragraph" w:styleId="HTML">
    <w:name w:val="HTML Preformatted"/>
    <w:basedOn w:val="a"/>
    <w:link w:val="HTMLChar"/>
    <w:uiPriority w:val="99"/>
    <w:unhideWhenUsed/>
    <w:rsid w:val="003F42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3F42B1"/>
    <w:rPr>
      <w:rFonts w:ascii="宋体" w:hAnsi="宋体" w:cs="宋体"/>
      <w:sz w:val="24"/>
      <w:szCs w:val="24"/>
    </w:rPr>
  </w:style>
  <w:style w:type="paragraph" w:customStyle="1" w:styleId="Default">
    <w:name w:val="Default"/>
    <w:rsid w:val="00F33A47"/>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1E57"/>
    <w:rPr>
      <w:sz w:val="18"/>
      <w:szCs w:val="18"/>
    </w:rPr>
  </w:style>
  <w:style w:type="paragraph" w:customStyle="1" w:styleId="CharCharCharCharCharChar1CharCharChar">
    <w:name w:val="Char Char Char Char Char Char1 Char Char Char"/>
    <w:basedOn w:val="a"/>
    <w:rsid w:val="0095310E"/>
    <w:pPr>
      <w:autoSpaceDE w:val="0"/>
      <w:autoSpaceDN w:val="0"/>
      <w:adjustRightInd w:val="0"/>
      <w:jc w:val="left"/>
      <w:textAlignment w:val="baseline"/>
    </w:pPr>
    <w:rPr>
      <w:rFonts w:ascii="宋体"/>
      <w:kern w:val="0"/>
      <w:sz w:val="34"/>
      <w:szCs w:val="20"/>
    </w:rPr>
  </w:style>
  <w:style w:type="paragraph" w:styleId="a4">
    <w:name w:val="header"/>
    <w:basedOn w:val="a"/>
    <w:link w:val="Char"/>
    <w:rsid w:val="00726DA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726DAA"/>
    <w:rPr>
      <w:kern w:val="2"/>
      <w:sz w:val="18"/>
      <w:szCs w:val="18"/>
    </w:rPr>
  </w:style>
  <w:style w:type="paragraph" w:styleId="a5">
    <w:name w:val="footer"/>
    <w:basedOn w:val="a"/>
    <w:link w:val="Char0"/>
    <w:uiPriority w:val="99"/>
    <w:rsid w:val="00726DAA"/>
    <w:pPr>
      <w:tabs>
        <w:tab w:val="center" w:pos="4153"/>
        <w:tab w:val="right" w:pos="8306"/>
      </w:tabs>
      <w:snapToGrid w:val="0"/>
      <w:jc w:val="left"/>
    </w:pPr>
    <w:rPr>
      <w:sz w:val="18"/>
      <w:szCs w:val="18"/>
    </w:rPr>
  </w:style>
  <w:style w:type="character" w:customStyle="1" w:styleId="Char0">
    <w:name w:val="页脚 Char"/>
    <w:link w:val="a5"/>
    <w:uiPriority w:val="99"/>
    <w:rsid w:val="00726DAA"/>
    <w:rPr>
      <w:kern w:val="2"/>
      <w:sz w:val="18"/>
      <w:szCs w:val="18"/>
    </w:rPr>
  </w:style>
  <w:style w:type="paragraph" w:styleId="HTML">
    <w:name w:val="HTML Preformatted"/>
    <w:basedOn w:val="a"/>
    <w:link w:val="HTMLChar"/>
    <w:uiPriority w:val="99"/>
    <w:unhideWhenUsed/>
    <w:rsid w:val="003F42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3F42B1"/>
    <w:rPr>
      <w:rFonts w:ascii="宋体" w:hAnsi="宋体" w:cs="宋体"/>
      <w:sz w:val="24"/>
      <w:szCs w:val="24"/>
    </w:rPr>
  </w:style>
  <w:style w:type="paragraph" w:customStyle="1" w:styleId="Default">
    <w:name w:val="Default"/>
    <w:rsid w:val="00F33A47"/>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41967">
      <w:bodyDiv w:val="1"/>
      <w:marLeft w:val="0"/>
      <w:marRight w:val="0"/>
      <w:marTop w:val="0"/>
      <w:marBottom w:val="0"/>
      <w:divBdr>
        <w:top w:val="none" w:sz="0" w:space="0" w:color="auto"/>
        <w:left w:val="none" w:sz="0" w:space="0" w:color="auto"/>
        <w:bottom w:val="none" w:sz="0" w:space="0" w:color="auto"/>
        <w:right w:val="none" w:sz="0" w:space="0" w:color="auto"/>
      </w:divBdr>
    </w:div>
    <w:div w:id="1648852608">
      <w:bodyDiv w:val="1"/>
      <w:marLeft w:val="0"/>
      <w:marRight w:val="0"/>
      <w:marTop w:val="0"/>
      <w:marBottom w:val="0"/>
      <w:divBdr>
        <w:top w:val="none" w:sz="0" w:space="0" w:color="auto"/>
        <w:left w:val="none" w:sz="0" w:space="0" w:color="auto"/>
        <w:bottom w:val="none" w:sz="0" w:space="0" w:color="auto"/>
        <w:right w:val="none" w:sz="0" w:space="0" w:color="auto"/>
      </w:divBdr>
    </w:div>
    <w:div w:id="19643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zbc1</dc:creator>
  <cp:lastModifiedBy>Lenovo</cp:lastModifiedBy>
  <cp:revision>11</cp:revision>
  <cp:lastPrinted>2014-02-14T01:20:00Z</cp:lastPrinted>
  <dcterms:created xsi:type="dcterms:W3CDTF">2024-03-29T05:58:00Z</dcterms:created>
  <dcterms:modified xsi:type="dcterms:W3CDTF">2024-04-26T07:47:00Z</dcterms:modified>
</cp:coreProperties>
</file>