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8E5A" w14:textId="5E8A1298" w:rsidR="00C83033" w:rsidRPr="00631F1F" w:rsidRDefault="00947CC9">
      <w:pPr>
        <w:adjustRightInd w:val="0"/>
        <w:snapToGrid w:val="0"/>
        <w:spacing w:line="360" w:lineRule="auto"/>
        <w:jc w:val="center"/>
        <w:rPr>
          <w:rFonts w:ascii="宋体" w:hAnsi="宋体"/>
          <w:bCs/>
          <w:sz w:val="24"/>
        </w:rPr>
      </w:pPr>
      <w:r>
        <w:rPr>
          <w:rFonts w:ascii="宋体" w:hAnsi="宋体" w:hint="eastAsia"/>
          <w:kern w:val="0"/>
          <w:sz w:val="24"/>
        </w:rPr>
        <w:t>证券</w:t>
      </w:r>
      <w:r>
        <w:rPr>
          <w:rFonts w:ascii="宋体" w:hAnsi="宋体" w:hint="eastAsia"/>
          <w:bCs/>
          <w:sz w:val="24"/>
        </w:rPr>
        <w:t xml:space="preserve">代码：000936         证券简称：华西股份      </w:t>
      </w:r>
      <w:r>
        <w:rPr>
          <w:rFonts w:ascii="宋体" w:hAnsi="宋体" w:hint="eastAsia"/>
          <w:bCs/>
          <w:color w:val="FF0000"/>
          <w:sz w:val="24"/>
        </w:rPr>
        <w:t xml:space="preserve">  </w:t>
      </w:r>
      <w:r w:rsidRPr="00631F1F">
        <w:rPr>
          <w:rFonts w:ascii="宋体" w:hAnsi="宋体" w:hint="eastAsia"/>
          <w:bCs/>
          <w:sz w:val="24"/>
        </w:rPr>
        <w:t>公告编号：2024-0</w:t>
      </w:r>
      <w:r w:rsidR="0041261E" w:rsidRPr="00631F1F">
        <w:rPr>
          <w:rFonts w:ascii="宋体" w:hAnsi="宋体" w:hint="eastAsia"/>
          <w:bCs/>
          <w:sz w:val="24"/>
        </w:rPr>
        <w:t>12</w:t>
      </w:r>
    </w:p>
    <w:p w14:paraId="000DD643" w14:textId="77777777" w:rsidR="00490A89" w:rsidRDefault="00490A89" w:rsidP="00BE3922">
      <w:pPr>
        <w:adjustRightInd w:val="0"/>
        <w:snapToGrid w:val="0"/>
        <w:jc w:val="center"/>
        <w:rPr>
          <w:rFonts w:ascii="黑体" w:eastAsia="黑体" w:hAnsi="Times New Roman" w:cs="宋体"/>
          <w:b/>
          <w:bCs/>
          <w:sz w:val="30"/>
          <w:szCs w:val="30"/>
        </w:rPr>
      </w:pPr>
    </w:p>
    <w:p w14:paraId="1A2AF980" w14:textId="77777777" w:rsidR="00C83033" w:rsidRDefault="00947CC9" w:rsidP="00631F1F">
      <w:pPr>
        <w:spacing w:beforeLines="50" w:before="156"/>
        <w:jc w:val="center"/>
        <w:rPr>
          <w:rFonts w:ascii="黑体" w:eastAsia="黑体" w:hAnsi="Times New Roman" w:cs="宋体"/>
          <w:b/>
          <w:bCs/>
          <w:sz w:val="30"/>
          <w:szCs w:val="30"/>
        </w:rPr>
      </w:pPr>
      <w:r>
        <w:rPr>
          <w:rFonts w:ascii="黑体" w:eastAsia="黑体" w:hAnsi="Times New Roman" w:cs="宋体" w:hint="eastAsia"/>
          <w:b/>
          <w:bCs/>
          <w:sz w:val="30"/>
          <w:szCs w:val="30"/>
        </w:rPr>
        <w:t>江苏华西村股份有限公司</w:t>
      </w:r>
    </w:p>
    <w:p w14:paraId="7DB25F11" w14:textId="77777777" w:rsidR="00C83033" w:rsidRDefault="00947CC9" w:rsidP="00631F1F">
      <w:pPr>
        <w:spacing w:beforeLines="50" w:before="156"/>
        <w:jc w:val="center"/>
        <w:rPr>
          <w:rFonts w:ascii="黑体" w:eastAsia="黑体" w:hAnsi="Times New Roman" w:cs="宋体"/>
          <w:b/>
          <w:bCs/>
          <w:sz w:val="30"/>
          <w:szCs w:val="30"/>
        </w:rPr>
      </w:pPr>
      <w:r>
        <w:rPr>
          <w:rFonts w:ascii="黑体" w:eastAsia="黑体" w:hAnsi="Times New Roman" w:cs="宋体" w:hint="eastAsia"/>
          <w:b/>
          <w:bCs/>
          <w:sz w:val="30"/>
          <w:szCs w:val="30"/>
        </w:rPr>
        <w:t>章程修正案</w:t>
      </w:r>
    </w:p>
    <w:p w14:paraId="077B7699" w14:textId="77777777" w:rsidR="00E458CD" w:rsidRDefault="00E458CD" w:rsidP="00631F1F">
      <w:pPr>
        <w:spacing w:beforeLines="50" w:before="156"/>
        <w:jc w:val="center"/>
        <w:rPr>
          <w:rFonts w:ascii="黑体" w:eastAsia="黑体" w:hAnsi="Times New Roman" w:cs="宋体"/>
          <w:b/>
          <w:bCs/>
          <w:sz w:val="30"/>
          <w:szCs w:val="30"/>
        </w:rPr>
      </w:pPr>
    </w:p>
    <w:p w14:paraId="6918AD25" w14:textId="2D3ACECD" w:rsidR="00E458CD" w:rsidRPr="0052420E" w:rsidRDefault="00E458CD" w:rsidP="00E458CD">
      <w:pPr>
        <w:adjustRightInd w:val="0"/>
        <w:snapToGrid w:val="0"/>
        <w:spacing w:line="360" w:lineRule="auto"/>
        <w:ind w:firstLineChars="200" w:firstLine="480"/>
        <w:rPr>
          <w:rFonts w:asciiTheme="minorEastAsia" w:eastAsiaTheme="minorEastAsia" w:hAnsiTheme="minorEastAsia"/>
          <w:sz w:val="24"/>
          <w:szCs w:val="24"/>
        </w:rPr>
      </w:pPr>
      <w:r w:rsidRPr="0052420E">
        <w:rPr>
          <w:rFonts w:asciiTheme="minorEastAsia" w:eastAsiaTheme="minorEastAsia" w:hAnsiTheme="minorEastAsia"/>
          <w:sz w:val="24"/>
          <w:szCs w:val="24"/>
        </w:rPr>
        <w:t>根据</w:t>
      </w:r>
      <w:r>
        <w:rPr>
          <w:rFonts w:asciiTheme="minorEastAsia" w:eastAsiaTheme="minorEastAsia" w:hAnsiTheme="minorEastAsia"/>
          <w:sz w:val="24"/>
          <w:szCs w:val="24"/>
        </w:rPr>
        <w:t>中国证监会</w:t>
      </w:r>
      <w:r w:rsidR="00CC6424">
        <w:rPr>
          <w:rFonts w:asciiTheme="minorEastAsia" w:eastAsiaTheme="minorEastAsia" w:hAnsiTheme="minorEastAsia"/>
          <w:sz w:val="24"/>
          <w:szCs w:val="24"/>
        </w:rPr>
        <w:t>《</w:t>
      </w:r>
      <w:r w:rsidR="00CC6424" w:rsidRPr="00CC6424">
        <w:rPr>
          <w:rFonts w:asciiTheme="minorEastAsia" w:eastAsiaTheme="minorEastAsia" w:hAnsiTheme="minorEastAsia"/>
          <w:sz w:val="24"/>
          <w:szCs w:val="24"/>
        </w:rPr>
        <w:t>上市公司监管指引第3号——上市公司现金分红》</w:t>
      </w:r>
      <w:r w:rsidR="00CC6424" w:rsidRPr="00CC6424">
        <w:rPr>
          <w:rFonts w:asciiTheme="minorEastAsia" w:eastAsiaTheme="minorEastAsia" w:hAnsiTheme="minorEastAsia" w:hint="eastAsia"/>
          <w:sz w:val="24"/>
          <w:szCs w:val="24"/>
        </w:rPr>
        <w:t>、</w:t>
      </w:r>
      <w:r w:rsidRPr="00BC74E5">
        <w:rPr>
          <w:rFonts w:asciiTheme="minorEastAsia" w:eastAsiaTheme="minorEastAsia" w:hAnsiTheme="minorEastAsia" w:hint="eastAsia"/>
          <w:sz w:val="24"/>
          <w:szCs w:val="24"/>
        </w:rPr>
        <w:t>深圳证券交易所</w:t>
      </w:r>
      <w:r>
        <w:rPr>
          <w:rFonts w:asciiTheme="minorEastAsia" w:eastAsiaTheme="minorEastAsia" w:hAnsiTheme="minorEastAsia" w:hint="eastAsia"/>
          <w:sz w:val="24"/>
          <w:szCs w:val="24"/>
        </w:rPr>
        <w:t>《</w:t>
      </w:r>
      <w:r w:rsidRPr="00BC74E5">
        <w:rPr>
          <w:rFonts w:asciiTheme="minorEastAsia" w:eastAsiaTheme="minorEastAsia" w:hAnsiTheme="minorEastAsia" w:hint="eastAsia"/>
          <w:sz w:val="24"/>
          <w:szCs w:val="24"/>
        </w:rPr>
        <w:t>上市公司自律监管指引第7号——交易与关联交易</w:t>
      </w:r>
      <w:r>
        <w:rPr>
          <w:rFonts w:asciiTheme="minorEastAsia" w:eastAsiaTheme="minorEastAsia" w:hAnsiTheme="minorEastAsia" w:hint="eastAsia"/>
          <w:sz w:val="24"/>
          <w:szCs w:val="24"/>
        </w:rPr>
        <w:t>》</w:t>
      </w:r>
      <w:r>
        <w:rPr>
          <w:rFonts w:asciiTheme="minorEastAsia" w:eastAsiaTheme="minorEastAsia" w:hAnsiTheme="minorEastAsia"/>
          <w:sz w:val="24"/>
          <w:szCs w:val="24"/>
        </w:rPr>
        <w:t>等相</w:t>
      </w:r>
      <w:r w:rsidRPr="0052420E">
        <w:rPr>
          <w:rFonts w:asciiTheme="minorEastAsia" w:eastAsiaTheme="minorEastAsia" w:hAnsiTheme="minorEastAsia"/>
          <w:sz w:val="24"/>
          <w:szCs w:val="24"/>
        </w:rPr>
        <w:t>关规定，江苏华西村股份有限公司（以下简称“公司”）</w:t>
      </w:r>
      <w:r>
        <w:rPr>
          <w:rFonts w:asciiTheme="minorEastAsia" w:eastAsiaTheme="minorEastAsia" w:hAnsiTheme="minorEastAsia"/>
          <w:sz w:val="24"/>
          <w:szCs w:val="24"/>
        </w:rPr>
        <w:t>现</w:t>
      </w:r>
      <w:r w:rsidR="00737A8C">
        <w:rPr>
          <w:rFonts w:asciiTheme="minorEastAsia" w:eastAsiaTheme="minorEastAsia" w:hAnsiTheme="minorEastAsia"/>
          <w:sz w:val="24"/>
          <w:szCs w:val="24"/>
        </w:rPr>
        <w:t>结合公司实际情况，拟对《公司章程》部分条款进行修订。</w:t>
      </w:r>
    </w:p>
    <w:p w14:paraId="6AE1D41F" w14:textId="77777777" w:rsidR="00C83033" w:rsidRDefault="00947CC9">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修订内容具体如下：</w:t>
      </w:r>
    </w:p>
    <w:tbl>
      <w:tblPr>
        <w:tblStyle w:val="a9"/>
        <w:tblW w:w="8789" w:type="dxa"/>
        <w:tblInd w:w="108" w:type="dxa"/>
        <w:tblLook w:val="04A0" w:firstRow="1" w:lastRow="0" w:firstColumn="1" w:lastColumn="0" w:noHBand="0" w:noVBand="1"/>
      </w:tblPr>
      <w:tblGrid>
        <w:gridCol w:w="4395"/>
        <w:gridCol w:w="4394"/>
      </w:tblGrid>
      <w:tr w:rsidR="00C83033" w14:paraId="175D19CF" w14:textId="77777777">
        <w:tc>
          <w:tcPr>
            <w:tcW w:w="4395" w:type="dxa"/>
          </w:tcPr>
          <w:p w14:paraId="74939694" w14:textId="77777777" w:rsidR="00C83033" w:rsidRDefault="00947CC9" w:rsidP="001A4D9F">
            <w:pPr>
              <w:adjustRightInd w:val="0"/>
              <w:snapToGrid w:val="0"/>
              <w:spacing w:line="276"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修订前</w:t>
            </w:r>
          </w:p>
        </w:tc>
        <w:tc>
          <w:tcPr>
            <w:tcW w:w="4394" w:type="dxa"/>
          </w:tcPr>
          <w:p w14:paraId="5D04AC91" w14:textId="77777777" w:rsidR="00C83033" w:rsidRDefault="00947CC9" w:rsidP="001A4D9F">
            <w:pPr>
              <w:adjustRightInd w:val="0"/>
              <w:snapToGrid w:val="0"/>
              <w:spacing w:line="276" w:lineRule="auto"/>
              <w:jc w:val="center"/>
              <w:rPr>
                <w:rFonts w:asciiTheme="minorEastAsia" w:eastAsiaTheme="minorEastAsia" w:hAnsiTheme="minorEastAsia"/>
                <w:b/>
                <w:sz w:val="24"/>
                <w:szCs w:val="24"/>
              </w:rPr>
            </w:pPr>
            <w:r>
              <w:rPr>
                <w:rFonts w:asciiTheme="minorEastAsia" w:eastAsiaTheme="minorEastAsia" w:hAnsiTheme="minorEastAsia"/>
                <w:b/>
                <w:sz w:val="24"/>
                <w:szCs w:val="24"/>
              </w:rPr>
              <w:t>修订后</w:t>
            </w:r>
          </w:p>
        </w:tc>
      </w:tr>
      <w:tr w:rsidR="00C929D1" w14:paraId="20BA9F29" w14:textId="77777777">
        <w:tc>
          <w:tcPr>
            <w:tcW w:w="4395" w:type="dxa"/>
          </w:tcPr>
          <w:p w14:paraId="4A759691" w14:textId="77777777" w:rsidR="00C929D1" w:rsidRDefault="00C929D1" w:rsidP="005F2C17">
            <w:pPr>
              <w:adjustRightInd w:val="0"/>
              <w:snapToGrid w:val="0"/>
              <w:spacing w:line="360" w:lineRule="auto"/>
              <w:ind w:firstLineChars="200" w:firstLine="480"/>
              <w:jc w:val="left"/>
              <w:rPr>
                <w:rFonts w:ascii="宋体" w:hAnsi="宋体"/>
                <w:sz w:val="24"/>
              </w:rPr>
            </w:pPr>
            <w:r>
              <w:rPr>
                <w:rFonts w:ascii="宋体" w:hAnsi="宋体" w:hint="eastAsia"/>
                <w:sz w:val="24"/>
              </w:rPr>
              <w:t>第十四</w:t>
            </w:r>
            <w:r w:rsidRPr="00C91A49">
              <w:rPr>
                <w:rFonts w:ascii="宋体" w:hAnsi="宋体" w:hint="eastAsia"/>
                <w:sz w:val="24"/>
              </w:rPr>
              <w:t xml:space="preserve">条　</w:t>
            </w:r>
            <w:r w:rsidRPr="005C21BA">
              <w:rPr>
                <w:rFonts w:ascii="宋体" w:hAnsi="宋体" w:hint="eastAsia"/>
                <w:sz w:val="24"/>
              </w:rPr>
              <w:t>经依法登记，公司的经营范围：</w:t>
            </w:r>
            <w:r>
              <w:rPr>
                <w:rFonts w:ascii="宋体" w:hAnsi="宋体" w:hint="eastAsia"/>
                <w:sz w:val="24"/>
              </w:rPr>
              <w:t>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w:t>
            </w:r>
          </w:p>
          <w:p w14:paraId="5CCB26CC" w14:textId="499679AB" w:rsidR="00C929D1" w:rsidRPr="00C929D1" w:rsidRDefault="00C929D1" w:rsidP="005F2C17">
            <w:pPr>
              <w:adjustRightInd w:val="0"/>
              <w:snapToGrid w:val="0"/>
              <w:spacing w:line="360" w:lineRule="auto"/>
              <w:ind w:firstLineChars="200" w:firstLine="480"/>
              <w:jc w:val="left"/>
              <w:rPr>
                <w:rFonts w:ascii="宋体" w:hAnsi="宋体"/>
                <w:sz w:val="24"/>
              </w:rPr>
            </w:pPr>
            <w:r>
              <w:rPr>
                <w:rFonts w:ascii="宋体" w:hAnsi="宋体" w:hint="eastAsia"/>
                <w:sz w:val="24"/>
              </w:rPr>
              <w:t>许可项目：港口经营（依法须经批准的项目，经相关部门批准后方可开展经营活动，具体经营项目以审批结果为准）</w:t>
            </w:r>
          </w:p>
        </w:tc>
        <w:tc>
          <w:tcPr>
            <w:tcW w:w="4394" w:type="dxa"/>
          </w:tcPr>
          <w:p w14:paraId="1F23455B" w14:textId="7B351E34" w:rsidR="005F2C17" w:rsidRDefault="005F2C17" w:rsidP="005F2C17">
            <w:pPr>
              <w:adjustRightInd w:val="0"/>
              <w:snapToGrid w:val="0"/>
              <w:spacing w:line="360" w:lineRule="auto"/>
              <w:ind w:firstLineChars="200" w:firstLine="480"/>
              <w:jc w:val="left"/>
              <w:rPr>
                <w:rFonts w:ascii="宋体" w:hAnsi="宋体"/>
                <w:sz w:val="24"/>
              </w:rPr>
            </w:pPr>
            <w:r>
              <w:rPr>
                <w:rFonts w:ascii="宋体" w:hAnsi="宋体" w:hint="eastAsia"/>
                <w:sz w:val="24"/>
              </w:rPr>
              <w:t>第十四</w:t>
            </w:r>
            <w:r w:rsidRPr="00C91A49">
              <w:rPr>
                <w:rFonts w:ascii="宋体" w:hAnsi="宋体" w:hint="eastAsia"/>
                <w:sz w:val="24"/>
              </w:rPr>
              <w:t xml:space="preserve">条　</w:t>
            </w:r>
            <w:r w:rsidRPr="005C21BA">
              <w:rPr>
                <w:rFonts w:ascii="宋体" w:hAnsi="宋体" w:hint="eastAsia"/>
                <w:sz w:val="24"/>
              </w:rPr>
              <w:t>经依法登记，公司的经营范围：</w:t>
            </w:r>
            <w:r>
              <w:rPr>
                <w:rFonts w:ascii="宋体" w:hAnsi="宋体" w:hint="eastAsia"/>
                <w:sz w:val="24"/>
              </w:rPr>
              <w:t>创业投资；利用自有资产对外投资；化学纤维的制造、加工；仓储服务；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w:t>
            </w:r>
          </w:p>
          <w:p w14:paraId="789C56CB" w14:textId="2728783F" w:rsidR="00C929D1" w:rsidRDefault="005F2C17" w:rsidP="005F2C17">
            <w:pPr>
              <w:adjustRightInd w:val="0"/>
              <w:snapToGrid w:val="0"/>
              <w:spacing w:line="360" w:lineRule="auto"/>
              <w:ind w:firstLineChars="200" w:firstLine="480"/>
              <w:rPr>
                <w:rFonts w:ascii="宋体" w:hAnsi="宋体"/>
                <w:sz w:val="24"/>
              </w:rPr>
            </w:pPr>
            <w:r>
              <w:rPr>
                <w:rFonts w:ascii="宋体" w:hAnsi="宋体" w:hint="eastAsia"/>
                <w:sz w:val="24"/>
              </w:rPr>
              <w:t>许可项目：港口经营（依法须经批准的项目，经相关部门批准后方可开展经营活动，具体经营项目以审批结果为准）</w:t>
            </w:r>
          </w:p>
        </w:tc>
      </w:tr>
      <w:tr w:rsidR="00C83033" w14:paraId="22C0CD4F" w14:textId="77777777">
        <w:tc>
          <w:tcPr>
            <w:tcW w:w="4395" w:type="dxa"/>
          </w:tcPr>
          <w:p w14:paraId="69B3D99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第四十二条　公司下列行为，须经股东大会审议通过：</w:t>
            </w:r>
          </w:p>
          <w:p w14:paraId="33AF42F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（一）对外担保行为</w:t>
            </w:r>
          </w:p>
          <w:p w14:paraId="65A88752"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1</w:t>
            </w:r>
            <w:r>
              <w:rPr>
                <w:rFonts w:ascii="宋体" w:hAnsi="宋体"/>
                <w:sz w:val="24"/>
              </w:rPr>
              <w:t>）本公司及本公司控股子公司的对外担保总额，超过最近一期经审计净资产的</w:t>
            </w:r>
            <w:r>
              <w:rPr>
                <w:rFonts w:ascii="宋体" w:hAnsi="宋体" w:hint="eastAsia"/>
                <w:sz w:val="24"/>
              </w:rPr>
              <w:t>50%</w:t>
            </w:r>
            <w:r>
              <w:rPr>
                <w:rFonts w:ascii="宋体" w:hAnsi="宋体"/>
                <w:sz w:val="24"/>
              </w:rPr>
              <w:t>以后提供的任何担保；</w:t>
            </w:r>
          </w:p>
          <w:p w14:paraId="0D5C383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）公司的对外担保总额，超过最近一期经审计总资产的</w:t>
            </w:r>
            <w:r>
              <w:rPr>
                <w:rFonts w:ascii="宋体" w:hAnsi="宋体" w:hint="eastAsia"/>
                <w:sz w:val="24"/>
              </w:rPr>
              <w:t>30%</w:t>
            </w:r>
            <w:r>
              <w:rPr>
                <w:rFonts w:ascii="宋体" w:hAnsi="宋体"/>
                <w:sz w:val="24"/>
              </w:rPr>
              <w:t>以后提供的任何担保；</w:t>
            </w:r>
          </w:p>
          <w:p w14:paraId="25E5979C"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）公司在一年内担保金额超过公司最近一期经审计总资产</w:t>
            </w:r>
            <w:r>
              <w:rPr>
                <w:rFonts w:ascii="宋体" w:hAnsi="宋体" w:hint="eastAsia"/>
                <w:sz w:val="24"/>
              </w:rPr>
              <w:t>30%</w:t>
            </w:r>
            <w:r>
              <w:rPr>
                <w:rFonts w:ascii="宋体" w:hAnsi="宋体"/>
                <w:sz w:val="24"/>
              </w:rPr>
              <w:t>的担保；</w:t>
            </w:r>
          </w:p>
          <w:p w14:paraId="73F5F84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）为资产负债率超过</w:t>
            </w:r>
            <w:r>
              <w:rPr>
                <w:rFonts w:ascii="宋体" w:hAnsi="宋体" w:hint="eastAsia"/>
                <w:sz w:val="24"/>
              </w:rPr>
              <w:t>70%</w:t>
            </w:r>
            <w:r>
              <w:rPr>
                <w:rFonts w:ascii="宋体" w:hAnsi="宋体"/>
                <w:sz w:val="24"/>
              </w:rPr>
              <w:t>的担保对象提供的担保；</w:t>
            </w:r>
          </w:p>
          <w:p w14:paraId="3E4306B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）单笔担保额超过最近一期经审计净资产</w:t>
            </w:r>
            <w:r>
              <w:rPr>
                <w:rFonts w:ascii="宋体" w:hAnsi="宋体" w:hint="eastAsia"/>
                <w:sz w:val="24"/>
              </w:rPr>
              <w:t>10%</w:t>
            </w:r>
            <w:r>
              <w:rPr>
                <w:rFonts w:ascii="宋体" w:hAnsi="宋体"/>
                <w:sz w:val="24"/>
              </w:rPr>
              <w:t>的担保；</w:t>
            </w:r>
          </w:p>
          <w:p w14:paraId="2C64D65F"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6</w:t>
            </w:r>
            <w:r>
              <w:rPr>
                <w:rFonts w:ascii="宋体" w:hAnsi="宋体"/>
                <w:sz w:val="24"/>
              </w:rPr>
              <w:t>）对股东、实际控制人及其关联方提供的担保。</w:t>
            </w:r>
          </w:p>
          <w:p w14:paraId="3380D01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（7）深圳证券交易所或本章程规定的其他担保情形。</w:t>
            </w:r>
          </w:p>
          <w:p w14:paraId="6FBB79BC"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（二）公司发生的本章程第一百一十条第（一）项规定的交易达到下列标准之一的，还应当提交股东大会审议：</w:t>
            </w:r>
          </w:p>
          <w:p w14:paraId="063A25C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（1）交易涉及的资产总额占公司最近一期经审计总资产的50%以上，该交易涉及的资产总额同时存在账面值和评估值的，以较高者为准；</w:t>
            </w:r>
          </w:p>
          <w:p w14:paraId="7FC7D5CC"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（2）交易标的（如股权）涉及的资产净额占公司最近一期经审计净资产的50%以上，且绝对金额超过五千万元，该交易涉及的资产净额同时存在账面值和评估值的，以较高者为准；</w:t>
            </w:r>
          </w:p>
          <w:p w14:paraId="3061EE2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（3）交易标的（如股权）在最近一个会计年度相关的营业收入占公司最近一个会计年度经审计营业收入的50%以上，且绝对金额超过五千万元；</w:t>
            </w:r>
          </w:p>
          <w:p w14:paraId="37F9BECF"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（4）交易标的（如股权）在最近一个会计年度相关的净利润占公司最近一个会计年度经审计净利润的50%以上，且绝对金额超过五百万元；</w:t>
            </w:r>
          </w:p>
          <w:p w14:paraId="0319DBF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（5）交易的成交金额（</w:t>
            </w:r>
            <w:proofErr w:type="gramStart"/>
            <w:r>
              <w:rPr>
                <w:rFonts w:ascii="宋体" w:hAnsi="宋体" w:hint="eastAsia"/>
                <w:sz w:val="24"/>
              </w:rPr>
              <w:t>含承担</w:t>
            </w:r>
            <w:proofErr w:type="gramEnd"/>
            <w:r>
              <w:rPr>
                <w:rFonts w:ascii="宋体" w:hAnsi="宋体" w:hint="eastAsia"/>
                <w:sz w:val="24"/>
              </w:rPr>
              <w:t>债务和费用）占公司最近一期经审计净资产的50%以上，且绝对金额超过五千万元；</w:t>
            </w:r>
          </w:p>
          <w:p w14:paraId="1218B1F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（6）交易产生的利润占公司最近一个会计年度经审计净利润的50%以上，且绝对金额超过五百万元。</w:t>
            </w:r>
          </w:p>
          <w:p w14:paraId="586FB6F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（7）衍生</w:t>
            </w:r>
            <w:proofErr w:type="gramStart"/>
            <w:r>
              <w:rPr>
                <w:rFonts w:ascii="宋体" w:hAnsi="宋体" w:hint="eastAsia"/>
                <w:sz w:val="24"/>
              </w:rPr>
              <w:t>品投资</w:t>
            </w:r>
            <w:proofErr w:type="gramEnd"/>
            <w:r>
              <w:rPr>
                <w:rFonts w:ascii="宋体" w:hAnsi="宋体" w:hint="eastAsia"/>
                <w:sz w:val="24"/>
              </w:rPr>
              <w:t>保证金额度在2亿元人民币以上。</w:t>
            </w:r>
          </w:p>
          <w:p w14:paraId="50CAB34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（三）公司与关联人发生的成交金额超过三千万元，且占公司最近一期经审计净资产绝对值超过5%的，应提交股东大会审议。</w:t>
            </w:r>
          </w:p>
          <w:p w14:paraId="0B4BFE8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四）向金融机构或其他机构等申请的融资授信总额（含借款、债券、票据、信用证等）一个会计年度内发生额累计超过上一年度经审计的总资产50%的应经股东大会审议批准。股东会授权经营班子在批准的年度授信总额内进行融资运作。</w:t>
            </w:r>
          </w:p>
          <w:p w14:paraId="7D6FB40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（五）公司对外提供财务资助属于下列情形之一的，须股东大会审议批准：</w:t>
            </w:r>
          </w:p>
          <w:p w14:paraId="4159E1C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（1）单笔财务资助金额超过公司最近一期经审计净资产的10%；</w:t>
            </w:r>
          </w:p>
          <w:p w14:paraId="303797E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（2）被资助对象最近一期财务报表数据显示资产负债率超过70%；</w:t>
            </w:r>
          </w:p>
          <w:p w14:paraId="5FCABE5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（3）最近十二个月内财务资助金额累计计算超过公司最近一期经审计净资产的10%；</w:t>
            </w:r>
          </w:p>
          <w:p w14:paraId="7FF44E57"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深圳证券交易所或</w:t>
            </w:r>
            <w:r>
              <w:rPr>
                <w:rFonts w:ascii="宋体" w:hAnsi="宋体" w:hint="eastAsia"/>
                <w:sz w:val="24"/>
              </w:rPr>
              <w:t>本章程</w:t>
            </w:r>
            <w:r>
              <w:rPr>
                <w:rFonts w:ascii="宋体" w:hAnsi="宋体"/>
                <w:sz w:val="24"/>
              </w:rPr>
              <w:t>规定的其他情形。</w:t>
            </w:r>
          </w:p>
        </w:tc>
        <w:tc>
          <w:tcPr>
            <w:tcW w:w="4394" w:type="dxa"/>
          </w:tcPr>
          <w:p w14:paraId="5A6E57C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lastRenderedPageBreak/>
              <w:t>第四十二条　公司下列行为，须经股东大会审议通过：</w:t>
            </w:r>
          </w:p>
          <w:p w14:paraId="562AC7B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（一）对外担保行为</w:t>
            </w:r>
          </w:p>
          <w:p w14:paraId="423C571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（1）本公司及本公司控股子公司的对外担保总额，超过最近一期经审计净资产的50%以后提供的任何担保；</w:t>
            </w:r>
          </w:p>
          <w:p w14:paraId="1FE64CF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（2）公司的对外担保总额，超过最近一期经审计总资产的30%以后提供的任何担保；</w:t>
            </w:r>
          </w:p>
          <w:p w14:paraId="6122CB3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（3）公司在一年内担保金额超过公司最近一期经审计总资产30%的担保；</w:t>
            </w:r>
          </w:p>
          <w:p w14:paraId="0EDAB4A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（4）为资产负债率超过70%的担保对象提供的担保；</w:t>
            </w:r>
          </w:p>
          <w:p w14:paraId="775142E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（5）单笔担保额超过最近一期经审计净资产10%的担保；</w:t>
            </w:r>
          </w:p>
          <w:p w14:paraId="0381A39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（6）对股东、实际控制人及其关联方提供的担保。</w:t>
            </w:r>
          </w:p>
          <w:p w14:paraId="1F6EA151"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7）深圳证券交易所或本章程规定的其他担保情形。</w:t>
            </w:r>
          </w:p>
          <w:p w14:paraId="722F6DC0"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（二）公司发生的本章程第一百一十条第（一）项规定的交易达到下列标准之一的，还应当提交股东大会审议：</w:t>
            </w:r>
          </w:p>
          <w:p w14:paraId="209249F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1）交易涉及的资产总额占公司最</w:t>
            </w:r>
            <w:r>
              <w:rPr>
                <w:rFonts w:ascii="宋体" w:hAnsi="宋体" w:hint="eastAsia"/>
                <w:sz w:val="24"/>
              </w:rPr>
              <w:t>近一期经审计总资产的</w:t>
            </w:r>
            <w:r>
              <w:rPr>
                <w:rFonts w:ascii="宋体" w:hAnsi="宋体"/>
                <w:sz w:val="24"/>
              </w:rPr>
              <w:t>50%以上，该交易涉及的资产总额同时存在账面值和评估值的，以较高者为准；</w:t>
            </w:r>
          </w:p>
          <w:p w14:paraId="272CAC9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2）交易标的（如股权）涉及的资产净额占公司最近一期经审计净资产的50%以上，且绝对金额超过五千万元，该交易涉及的资产净额同时存在账面值和评估值的，以较高者为准；</w:t>
            </w:r>
          </w:p>
          <w:p w14:paraId="77E64CEF"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3）交易标的（如股权）在最近一个会计年度相关的营业收入占公司最近一个会计年度经审计营业收入的50%以上，且绝对金额超过五千万元；</w:t>
            </w:r>
          </w:p>
          <w:p w14:paraId="5922677B"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4）交易标的（如股权）在最近一个会计年度相关的净利润占公司最近一个会计年度经审计净利润的50%以上，且绝对金额超过五百万元；</w:t>
            </w:r>
          </w:p>
          <w:p w14:paraId="17E8C0DD"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5）交易的成交金额（</w:t>
            </w:r>
            <w:r>
              <w:rPr>
                <w:rFonts w:ascii="宋体" w:hAnsi="宋体" w:hint="eastAsia"/>
                <w:sz w:val="24"/>
              </w:rPr>
              <w:t>含承担债务和费用）占公司最近一期经审计净资产的</w:t>
            </w:r>
            <w:r>
              <w:rPr>
                <w:rFonts w:ascii="宋体" w:hAnsi="宋体"/>
                <w:sz w:val="24"/>
              </w:rPr>
              <w:t>50%以上，且绝对金额超过五千万元；</w:t>
            </w:r>
          </w:p>
          <w:p w14:paraId="573B965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6）交易产生的利润占公司最近一个会计年度经审计净利润的50%以上，且绝对金额超过五百万元。</w:t>
            </w:r>
          </w:p>
          <w:p w14:paraId="247B3150"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（三）公司与关联人发生的成交金额超过三千万元，且占公司最近一期经审计净资产绝对值超过</w:t>
            </w:r>
            <w:r>
              <w:rPr>
                <w:rFonts w:ascii="宋体" w:hAnsi="宋体"/>
                <w:sz w:val="24"/>
              </w:rPr>
              <w:t>5%的，应提交股东大会审议。</w:t>
            </w:r>
          </w:p>
          <w:p w14:paraId="251F88C8" w14:textId="52F3C1F9"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（四）</w:t>
            </w:r>
            <w:r w:rsidR="004A17BB">
              <w:rPr>
                <w:rFonts w:ascii="宋体" w:hAnsi="宋体" w:hint="eastAsia"/>
                <w:sz w:val="24"/>
              </w:rPr>
              <w:t>一个会计年度内</w:t>
            </w:r>
            <w:r>
              <w:rPr>
                <w:rFonts w:ascii="宋体" w:hAnsi="宋体" w:hint="eastAsia"/>
                <w:sz w:val="24"/>
              </w:rPr>
              <w:t>向金融机构或其他机构等申请的融资授信总额</w:t>
            </w:r>
            <w:r w:rsidR="004A17BB">
              <w:rPr>
                <w:rFonts w:ascii="宋体" w:hAnsi="宋体" w:hint="eastAsia"/>
                <w:sz w:val="24"/>
              </w:rPr>
              <w:t>占</w:t>
            </w:r>
            <w:r w:rsidR="00593F95">
              <w:rPr>
                <w:rFonts w:ascii="宋体" w:hAnsi="宋体" w:hint="eastAsia"/>
                <w:sz w:val="24"/>
              </w:rPr>
              <w:t>公司最近一期</w:t>
            </w:r>
            <w:r>
              <w:rPr>
                <w:rFonts w:ascii="宋体" w:hAnsi="宋体" w:hint="eastAsia"/>
                <w:sz w:val="24"/>
              </w:rPr>
              <w:t>经审计总资产</w:t>
            </w:r>
            <w:r>
              <w:rPr>
                <w:rFonts w:ascii="宋体" w:hAnsi="宋体"/>
                <w:sz w:val="24"/>
              </w:rPr>
              <w:t>50%</w:t>
            </w:r>
            <w:r w:rsidR="004A17BB">
              <w:rPr>
                <w:rFonts w:ascii="宋体" w:hAnsi="宋体"/>
                <w:sz w:val="24"/>
              </w:rPr>
              <w:t>以上，应提交股东大会审议。</w:t>
            </w:r>
          </w:p>
          <w:p w14:paraId="45CF156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（五）公司对外提供财务资助属于下列情形之一的，须股东大会审议批准：</w:t>
            </w:r>
          </w:p>
          <w:p w14:paraId="34750BD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1）单笔财务资助金额超过公司最近一期</w:t>
            </w:r>
            <w:r>
              <w:rPr>
                <w:rFonts w:ascii="宋体" w:hAnsi="宋体" w:hint="eastAsia"/>
                <w:sz w:val="24"/>
              </w:rPr>
              <w:t>经审计净资产的</w:t>
            </w:r>
            <w:r>
              <w:rPr>
                <w:rFonts w:ascii="宋体" w:hAnsi="宋体"/>
                <w:sz w:val="24"/>
              </w:rPr>
              <w:t>10%；</w:t>
            </w:r>
          </w:p>
          <w:p w14:paraId="09537DB7"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2）被资助对象最近一期财务报表数据显示资产负债率超过70%；</w:t>
            </w:r>
          </w:p>
          <w:p w14:paraId="630A83B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3）最近十二个月内财务资助金额</w:t>
            </w:r>
            <w:r>
              <w:rPr>
                <w:rFonts w:ascii="宋体" w:hAnsi="宋体"/>
                <w:sz w:val="24"/>
              </w:rPr>
              <w:lastRenderedPageBreak/>
              <w:t>累计计算超过公司最近一期经审计净资产的10%；</w:t>
            </w:r>
          </w:p>
          <w:p w14:paraId="256BB9BB"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深圳证券交易所或</w:t>
            </w:r>
            <w:r>
              <w:rPr>
                <w:rFonts w:ascii="宋体" w:hAnsi="宋体" w:hint="eastAsia"/>
                <w:sz w:val="24"/>
              </w:rPr>
              <w:t>本章程</w:t>
            </w:r>
            <w:r>
              <w:rPr>
                <w:rFonts w:ascii="宋体" w:hAnsi="宋体"/>
                <w:sz w:val="24"/>
              </w:rPr>
              <w:t>规定的其他情形。</w:t>
            </w:r>
          </w:p>
          <w:p w14:paraId="30C101E4" w14:textId="77777777" w:rsidR="00C83033" w:rsidRPr="007C735D" w:rsidRDefault="00947CC9" w:rsidP="005F2C17">
            <w:pPr>
              <w:adjustRightInd w:val="0"/>
              <w:snapToGrid w:val="0"/>
              <w:spacing w:line="360" w:lineRule="auto"/>
              <w:ind w:firstLineChars="200" w:firstLine="480"/>
              <w:rPr>
                <w:rFonts w:ascii="宋体" w:hAnsi="宋体"/>
                <w:sz w:val="24"/>
              </w:rPr>
            </w:pPr>
            <w:r w:rsidRPr="007C735D">
              <w:rPr>
                <w:rFonts w:ascii="宋体" w:hAnsi="宋体" w:hint="eastAsia"/>
                <w:sz w:val="24"/>
              </w:rPr>
              <w:t>（六）期货和衍生品交易属于下列情形之一的，应当提交股东大会审议：</w:t>
            </w:r>
          </w:p>
          <w:p w14:paraId="77726230" w14:textId="0421284C" w:rsidR="00C83033" w:rsidRPr="007C735D" w:rsidRDefault="00947CC9" w:rsidP="005F2C17">
            <w:pPr>
              <w:adjustRightInd w:val="0"/>
              <w:snapToGrid w:val="0"/>
              <w:spacing w:line="360" w:lineRule="auto"/>
              <w:ind w:firstLineChars="200" w:firstLine="480"/>
              <w:rPr>
                <w:rFonts w:ascii="宋体" w:hAnsi="宋体"/>
                <w:sz w:val="24"/>
              </w:rPr>
            </w:pPr>
            <w:r w:rsidRPr="007C735D">
              <w:rPr>
                <w:rFonts w:ascii="宋体" w:hAnsi="宋体" w:hint="eastAsia"/>
                <w:sz w:val="24"/>
              </w:rPr>
              <w:t>（1）预计动用的交易保证金和权利金上限（包括为交易而提供的担保物价值、预计占用的金融机构授信额度、为应急措施所预留的保证金等）占公司最近一期经审计净利润的</w:t>
            </w:r>
            <w:r w:rsidRPr="007C735D">
              <w:rPr>
                <w:rFonts w:ascii="宋体" w:hAnsi="宋体"/>
                <w:sz w:val="24"/>
              </w:rPr>
              <w:t>50%以上，且绝对金额超过五百万元人民币；</w:t>
            </w:r>
          </w:p>
          <w:p w14:paraId="7A2DCDE2" w14:textId="07139E90" w:rsidR="00C83033" w:rsidRPr="007C735D" w:rsidRDefault="00947CC9" w:rsidP="005F2C17">
            <w:pPr>
              <w:adjustRightInd w:val="0"/>
              <w:snapToGrid w:val="0"/>
              <w:spacing w:line="360" w:lineRule="auto"/>
              <w:ind w:firstLineChars="200" w:firstLine="480"/>
              <w:rPr>
                <w:rFonts w:ascii="宋体" w:hAnsi="宋体"/>
                <w:sz w:val="24"/>
              </w:rPr>
            </w:pPr>
            <w:r w:rsidRPr="007C735D">
              <w:rPr>
                <w:rFonts w:ascii="宋体" w:hAnsi="宋体" w:hint="eastAsia"/>
                <w:sz w:val="24"/>
              </w:rPr>
              <w:t>（2）预计任一交易日持有的最高合约价值占公司最近一期经审计净资产的</w:t>
            </w:r>
            <w:r w:rsidRPr="007C735D">
              <w:rPr>
                <w:rFonts w:ascii="宋体" w:hAnsi="宋体"/>
                <w:sz w:val="24"/>
              </w:rPr>
              <w:t>50%以上，且绝对金额超过五千万元人民币；</w:t>
            </w:r>
          </w:p>
          <w:p w14:paraId="4A406072" w14:textId="174E676B" w:rsidR="00C83033" w:rsidRDefault="00947CC9" w:rsidP="005F2C17">
            <w:pPr>
              <w:adjustRightInd w:val="0"/>
              <w:snapToGrid w:val="0"/>
              <w:spacing w:line="360" w:lineRule="auto"/>
              <w:ind w:firstLineChars="200" w:firstLine="480"/>
              <w:rPr>
                <w:rFonts w:asciiTheme="minorEastAsia" w:eastAsiaTheme="minorEastAsia" w:hAnsiTheme="minorEastAsia" w:cs="Times New Roman"/>
                <w:color w:val="FF0000"/>
                <w:kern w:val="0"/>
                <w:sz w:val="24"/>
                <w:szCs w:val="24"/>
              </w:rPr>
            </w:pPr>
            <w:r w:rsidRPr="007C735D">
              <w:rPr>
                <w:rFonts w:ascii="宋体" w:hAnsi="宋体" w:hint="eastAsia"/>
                <w:sz w:val="24"/>
              </w:rPr>
              <w:t>（3）公司从事不以套期保值为目的的期货和衍生品交易。</w:t>
            </w:r>
          </w:p>
        </w:tc>
      </w:tr>
      <w:tr w:rsidR="00C83033" w14:paraId="4E8A5B0E" w14:textId="77777777">
        <w:tc>
          <w:tcPr>
            <w:tcW w:w="4395" w:type="dxa"/>
          </w:tcPr>
          <w:p w14:paraId="599105A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第六十八条　股东大会由董事长主持。董事长不能履行职务或不履行职务时，由副董事长主持，副董事长不能履行职务或者不履行职务时，由半数以上董事共同推举的一名董事主持。</w:t>
            </w:r>
          </w:p>
          <w:p w14:paraId="2B9282C1" w14:textId="77777777" w:rsidR="00C83033" w:rsidRDefault="00947CC9" w:rsidP="005F2C17">
            <w:pPr>
              <w:adjustRightInd w:val="0"/>
              <w:snapToGrid w:val="0"/>
              <w:spacing w:line="360" w:lineRule="auto"/>
              <w:rPr>
                <w:rFonts w:ascii="宋体" w:hAnsi="宋体"/>
                <w:sz w:val="24"/>
              </w:rPr>
            </w:pPr>
            <w:r>
              <w:rPr>
                <w:rFonts w:ascii="宋体" w:hAnsi="宋体" w:hint="eastAsia"/>
                <w:sz w:val="24"/>
              </w:rPr>
              <w:t>监事会自行召集的股东大会，由监事会主席主持。监事会主席不能履行职务或不履行职务时，由监事会副主席主持，监事会副主席不能履行职务或者不履行职务时，由半数以上监事共同推举的一名监事主持。</w:t>
            </w:r>
          </w:p>
          <w:p w14:paraId="2EAEEA99" w14:textId="77777777" w:rsidR="00C83033" w:rsidRDefault="00947CC9" w:rsidP="005F2C17">
            <w:pPr>
              <w:adjustRightInd w:val="0"/>
              <w:snapToGrid w:val="0"/>
              <w:spacing w:line="360" w:lineRule="auto"/>
              <w:rPr>
                <w:rFonts w:ascii="宋体" w:hAnsi="宋体"/>
                <w:sz w:val="24"/>
              </w:rPr>
            </w:pPr>
            <w:r>
              <w:rPr>
                <w:rFonts w:ascii="宋体" w:hAnsi="宋体" w:hint="eastAsia"/>
                <w:sz w:val="24"/>
              </w:rPr>
              <w:lastRenderedPageBreak/>
              <w:t>股东自行召集的股东大会，由召集人推举代表主持。</w:t>
            </w:r>
          </w:p>
          <w:p w14:paraId="076ACA2D" w14:textId="77777777" w:rsidR="00C83033" w:rsidRDefault="00947CC9" w:rsidP="005F2C17">
            <w:pPr>
              <w:adjustRightInd w:val="0"/>
              <w:snapToGrid w:val="0"/>
              <w:spacing w:line="360" w:lineRule="auto"/>
              <w:rPr>
                <w:rFonts w:ascii="宋体" w:hAnsi="宋体"/>
                <w:sz w:val="24"/>
              </w:rPr>
            </w:pPr>
            <w:r>
              <w:rPr>
                <w:rFonts w:ascii="宋体" w:hAnsi="宋体" w:hint="eastAsia"/>
                <w:sz w:val="24"/>
              </w:rPr>
              <w:t>召开股东大会时，会议主持人违反议事规则使股东大会无法继续进行的，经现场出席股东大会有表决权过半数的股东同意，股东大会可推举一人担任会议主持人，继续开会。</w:t>
            </w:r>
          </w:p>
        </w:tc>
        <w:tc>
          <w:tcPr>
            <w:tcW w:w="4394" w:type="dxa"/>
          </w:tcPr>
          <w:p w14:paraId="26DAC49D" w14:textId="7C2CCDE9"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第六十八条　股东大会由董事长主持。董事长不能履行职务或不履行职务时，由半数以上董事共同推举的一名董事主持。</w:t>
            </w:r>
          </w:p>
          <w:p w14:paraId="31B59194" w14:textId="5DE4559C"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监事会自行召集的股东大会，由监事会主席主持。监事会主席不能履行职务或不履行职务时，由半数以上监事共同推举的一名监事主持。</w:t>
            </w:r>
          </w:p>
          <w:p w14:paraId="1D9EACBD"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股东自行召集的股东大会，由召集人推举代表主持。</w:t>
            </w:r>
          </w:p>
          <w:p w14:paraId="6B559D8F" w14:textId="77777777" w:rsidR="00C83033" w:rsidRDefault="00947CC9" w:rsidP="005F2C17">
            <w:pPr>
              <w:adjustRightInd w:val="0"/>
              <w:snapToGrid w:val="0"/>
              <w:spacing w:line="360" w:lineRule="auto"/>
              <w:ind w:firstLineChars="200" w:firstLine="480"/>
              <w:rPr>
                <w:rFonts w:asciiTheme="minorEastAsia" w:eastAsiaTheme="minorEastAsia" w:hAnsiTheme="minorEastAsia"/>
                <w:sz w:val="24"/>
                <w:szCs w:val="24"/>
              </w:rPr>
            </w:pPr>
            <w:r>
              <w:rPr>
                <w:rFonts w:ascii="宋体" w:hAnsi="宋体" w:hint="eastAsia"/>
                <w:sz w:val="24"/>
              </w:rPr>
              <w:t>召开股东大会时，会议主持人违反</w:t>
            </w:r>
            <w:r>
              <w:rPr>
                <w:rFonts w:ascii="宋体" w:hAnsi="宋体" w:hint="eastAsia"/>
                <w:sz w:val="24"/>
              </w:rPr>
              <w:lastRenderedPageBreak/>
              <w:t>议事规则使股东大会无法继续进行的，经现场出席股东大会有表决权过半数的股东同意，股东大会可推举一人担任会议主持人，继续开会。</w:t>
            </w:r>
          </w:p>
        </w:tc>
      </w:tr>
      <w:tr w:rsidR="00C83033" w14:paraId="78E36854" w14:textId="77777777" w:rsidTr="00490A89">
        <w:tc>
          <w:tcPr>
            <w:tcW w:w="4395" w:type="dxa"/>
          </w:tcPr>
          <w:p w14:paraId="3DF08FE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第一百零六条　董事会由9名董事组成，设董事长1人，副董事长1人。</w:t>
            </w:r>
          </w:p>
        </w:tc>
        <w:tc>
          <w:tcPr>
            <w:tcW w:w="4394" w:type="dxa"/>
          </w:tcPr>
          <w:p w14:paraId="50CD8E92" w14:textId="77777777" w:rsidR="00C83033" w:rsidRDefault="00947CC9" w:rsidP="005F2C17">
            <w:pPr>
              <w:adjustRightInd w:val="0"/>
              <w:snapToGrid w:val="0"/>
              <w:spacing w:line="360" w:lineRule="auto"/>
              <w:ind w:firstLineChars="200" w:firstLine="480"/>
              <w:rPr>
                <w:rFonts w:asciiTheme="minorEastAsia" w:eastAsiaTheme="minorEastAsia" w:hAnsiTheme="minorEastAsia"/>
                <w:sz w:val="24"/>
                <w:szCs w:val="24"/>
              </w:rPr>
            </w:pPr>
            <w:r>
              <w:rPr>
                <w:rFonts w:ascii="宋体" w:hAnsi="宋体" w:hint="eastAsia"/>
                <w:sz w:val="24"/>
              </w:rPr>
              <w:t>第一百零六条　董事会由9名董事组成，设董事长1人。</w:t>
            </w:r>
          </w:p>
        </w:tc>
      </w:tr>
      <w:tr w:rsidR="00C83033" w14:paraId="3F28ED1C" w14:textId="77777777" w:rsidTr="00490A89">
        <w:tc>
          <w:tcPr>
            <w:tcW w:w="4395" w:type="dxa"/>
          </w:tcPr>
          <w:p w14:paraId="472650E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第一百一十条　董事会应建立严格的审查和决策程序，确立明确的职责权限，严控风险。具体职权如下：</w:t>
            </w:r>
          </w:p>
          <w:p w14:paraId="23FBA26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一）董事会对（1）购买资产；（2）出售资产；（3）对外投资（含委托理财、对子公司投资等）；（4）租入或者租出资产；（5）委托或者受托管理资产和业务；（6）赠与或者受赠资产；（7）债权或者债务重组；（8）转让或者受让研发项目；（9）签订许可协议；（10）放弃权利（含放弃优先购买权、优先认缴出资权利等）；（11</w:t>
            </w:r>
            <w:r>
              <w:rPr>
                <w:rFonts w:ascii="宋体" w:hAnsi="宋体"/>
                <w:sz w:val="24"/>
              </w:rPr>
              <w:t>）</w:t>
            </w:r>
            <w:r>
              <w:rPr>
                <w:rFonts w:ascii="宋体" w:hAnsi="宋体" w:hint="eastAsia"/>
                <w:sz w:val="24"/>
              </w:rPr>
              <w:t>衍生品投资；（12）深圳证券交易所认定的其他交易等交易事项的权限：</w:t>
            </w:r>
          </w:p>
          <w:p w14:paraId="0791875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（1）交易涉及的资产总额占公司最近一期经审计总资产的10%以上，该交易涉及的资产总额同时存在账面值和评估值的，以较高者为准；</w:t>
            </w:r>
          </w:p>
          <w:p w14:paraId="750199C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（2）交易标的（如股权）涉及的资产净额占公司最近一期经审计净资产的</w:t>
            </w:r>
            <w:r>
              <w:rPr>
                <w:rFonts w:ascii="宋体" w:hAnsi="宋体" w:hint="eastAsia"/>
                <w:sz w:val="24"/>
              </w:rPr>
              <w:lastRenderedPageBreak/>
              <w:t>10%以上，且绝对金额超过一千万元，该交易涉及的资产净额同时存在账面值和评估值的，以较高者为准；</w:t>
            </w:r>
          </w:p>
          <w:p w14:paraId="59752F3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（3）交易标的（如股权）在最近一个会计年度相关的营业收入占公司最近一个会计年度经审计营业收入的10%以上，且绝对金额超过一千万元；</w:t>
            </w:r>
          </w:p>
          <w:p w14:paraId="7FA185E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（4）交易标的（如股权）在最近一个会计年度相关的净利润占公司最近一个会计年度经审计净利润的10%以上，且绝对金额超过一百万元；</w:t>
            </w:r>
          </w:p>
          <w:p w14:paraId="729BEEB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（5）交易的成交金额（含承担债务和费用）占公司最近一期经审计净资产的10%以上，且绝对金额超过一千万元；</w:t>
            </w:r>
          </w:p>
          <w:p w14:paraId="632130F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（6）交易产生的利润占公司最近一个会计年度经审计净利润的10%以上，且绝对金额超过一百万元。</w:t>
            </w:r>
          </w:p>
          <w:p w14:paraId="0B5FD81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（7）衍生品投资保证金额度在2亿元人民币以内。</w:t>
            </w:r>
          </w:p>
          <w:p w14:paraId="76F1767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（二）本章程第四十二条规定以外的担保事项。</w:t>
            </w:r>
          </w:p>
          <w:p w14:paraId="285BA9F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（三）与</w:t>
            </w:r>
            <w:r>
              <w:rPr>
                <w:rFonts w:ascii="宋体" w:hAnsi="宋体"/>
                <w:sz w:val="24"/>
              </w:rPr>
              <w:t>关联人发生的交易</w:t>
            </w:r>
            <w:r>
              <w:rPr>
                <w:rFonts w:ascii="宋体" w:hAnsi="宋体" w:hint="eastAsia"/>
                <w:sz w:val="24"/>
              </w:rPr>
              <w:t>达到下列标准的事项：</w:t>
            </w:r>
          </w:p>
          <w:p w14:paraId="5F93919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（1）与关联自然人发生的成交金额超过三十万元的交易；</w:t>
            </w:r>
          </w:p>
          <w:p w14:paraId="3B451E2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（2）与关联法人（或者其他组织）发生的成交金额超过三百万元，且占公司最近一期经审计净资产绝对值超过0.5%的交易。</w:t>
            </w:r>
          </w:p>
          <w:p w14:paraId="65A399C2"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（四）一个会计年度内向金融机构或其他机构等申请的融资授信总额超过上一年度经审计总资产的10%，未超过50%的，应经董事会审议批准，董事会授权经营层在经批准的年度授信范围内运作。</w:t>
            </w:r>
          </w:p>
          <w:p w14:paraId="504E998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（五）公司对外提供财务资助。</w:t>
            </w:r>
          </w:p>
          <w:p w14:paraId="7264485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（六）股东大会授予的其他投资、决策权限。</w:t>
            </w:r>
          </w:p>
        </w:tc>
        <w:tc>
          <w:tcPr>
            <w:tcW w:w="4394" w:type="dxa"/>
          </w:tcPr>
          <w:p w14:paraId="0C377D2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第一百一十条　董事会应建立严格的审查和决策程序，确立明确的职责权限，严控风险。具体职权如下：</w:t>
            </w:r>
          </w:p>
          <w:p w14:paraId="47C93BAD" w14:textId="627AC73B"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一）董事会对（1）购买资产；（2）出售资产；（3）对外投资（含委托理财、对子公司投资等）；（4）租入或者租出资产；（5）委托或者受托管理资产和业务；（6）赠与或者受赠资产；（7）债权或者债务重组；（8）转让或者受让研发项目；（9）签订许可协议；（10）放弃权利（含放弃优先购买权、优先认缴出资权利等）；（11）深圳证券交易所认定的其他交易等交易事项的权限：</w:t>
            </w:r>
          </w:p>
          <w:p w14:paraId="0E03350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）交易涉及的资产总额占公司最近一期经审计总资产的10%以上，该交易涉及的资产总额同时存在账面值和评估值的，以较高者为准；</w:t>
            </w:r>
          </w:p>
          <w:p w14:paraId="2C1593C6"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（2）交易标的（如股权）涉及的资产净额占公司最近一期经审计净资产的10%以上，且绝对金额超过一千万元，该</w:t>
            </w:r>
            <w:r>
              <w:rPr>
                <w:rFonts w:ascii="宋体" w:hAnsi="宋体" w:hint="eastAsia"/>
                <w:sz w:val="24"/>
              </w:rPr>
              <w:lastRenderedPageBreak/>
              <w:t>交易涉及的资产净额同时存在账面值和评估值的，以较高者为准；</w:t>
            </w:r>
          </w:p>
          <w:p w14:paraId="52D2EB0B"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（3）交易标的（如股权）在最近一个会计年度相关的营业收入占公司最近一个会计年度经审计营业收入的10%以上，且绝对金额超过一千万元；</w:t>
            </w:r>
          </w:p>
          <w:p w14:paraId="008FF63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（4）交易标的（如股权）在最近一个会计年度相关的净利润占公司最近一个会计年度经审计净利润的10%以上，且绝对金额超过一百万元；</w:t>
            </w:r>
          </w:p>
          <w:p w14:paraId="2DE56111"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（5）交易的成交金额（含承担债务和费用）占公司最近一期经审计净资产的10%以上，且绝对金额超过一千万元；</w:t>
            </w:r>
          </w:p>
          <w:p w14:paraId="53C98EC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（6）交易产生的利润占公司最近一个会计年度经审计净利润的10%以上，且绝对金额超过一百万元。</w:t>
            </w:r>
          </w:p>
          <w:p w14:paraId="63F10CA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（二）本章程第四十二条规定以外的担保事项。</w:t>
            </w:r>
          </w:p>
          <w:p w14:paraId="317F025D"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（三）与</w:t>
            </w:r>
            <w:r>
              <w:rPr>
                <w:rFonts w:ascii="宋体" w:hAnsi="宋体"/>
                <w:sz w:val="24"/>
              </w:rPr>
              <w:t>关联人发生的交易</w:t>
            </w:r>
            <w:r>
              <w:rPr>
                <w:rFonts w:ascii="宋体" w:hAnsi="宋体" w:hint="eastAsia"/>
                <w:sz w:val="24"/>
              </w:rPr>
              <w:t>达到下列标准的事项：</w:t>
            </w:r>
          </w:p>
          <w:p w14:paraId="708A7D41"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（1）与关联自然人发生的成交金额超过三十万元的交易；</w:t>
            </w:r>
          </w:p>
          <w:p w14:paraId="0BF40DCB"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（2）与关联法人（或者其他组织）发生的成交金额超过三百万元，且占公司最近一期经审计净资产绝对值超过0.5%的交易。</w:t>
            </w:r>
          </w:p>
          <w:p w14:paraId="2CC1DCDE" w14:textId="733AE443"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（四）一个会计年度内向金融机构或其他机构等申请的融资授信总额</w:t>
            </w:r>
            <w:r w:rsidR="004A17BB">
              <w:rPr>
                <w:rFonts w:ascii="宋体" w:hAnsi="宋体" w:hint="eastAsia"/>
                <w:sz w:val="24"/>
              </w:rPr>
              <w:t>占</w:t>
            </w:r>
            <w:r w:rsidR="00593F95">
              <w:rPr>
                <w:rFonts w:ascii="宋体" w:hAnsi="宋体" w:hint="eastAsia"/>
                <w:sz w:val="24"/>
              </w:rPr>
              <w:t>公司最近一期</w:t>
            </w:r>
            <w:r>
              <w:rPr>
                <w:rFonts w:ascii="宋体" w:hAnsi="宋体" w:hint="eastAsia"/>
                <w:sz w:val="24"/>
              </w:rPr>
              <w:t>经审计总资产10%</w:t>
            </w:r>
            <w:r w:rsidR="004A17BB">
              <w:rPr>
                <w:rFonts w:ascii="宋体" w:hAnsi="宋体" w:hint="eastAsia"/>
                <w:sz w:val="24"/>
              </w:rPr>
              <w:t>以上</w:t>
            </w:r>
            <w:r>
              <w:rPr>
                <w:rFonts w:ascii="宋体" w:hAnsi="宋体" w:hint="eastAsia"/>
                <w:sz w:val="24"/>
              </w:rPr>
              <w:t>。</w:t>
            </w:r>
          </w:p>
          <w:p w14:paraId="24430C5D"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（五）公司对外提供财务资助。</w:t>
            </w:r>
          </w:p>
          <w:p w14:paraId="3B3E0BD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（六）公司期货和衍生品交易。</w:t>
            </w:r>
          </w:p>
          <w:p w14:paraId="56596949" w14:textId="03EE91E1"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（七）股东大会授予的其他投资、决策权限。</w:t>
            </w:r>
          </w:p>
        </w:tc>
      </w:tr>
      <w:tr w:rsidR="00C83033" w14:paraId="42DC6250" w14:textId="77777777" w:rsidTr="00490A89">
        <w:tc>
          <w:tcPr>
            <w:tcW w:w="4395" w:type="dxa"/>
          </w:tcPr>
          <w:p w14:paraId="201D31F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第一百一十一条　董事长和副董事长由董事会以全体董事的过半数选举产生。</w:t>
            </w:r>
          </w:p>
        </w:tc>
        <w:tc>
          <w:tcPr>
            <w:tcW w:w="4394" w:type="dxa"/>
          </w:tcPr>
          <w:p w14:paraId="1B12FF64" w14:textId="725F15E3"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第一百一十一条　董事长由董事会以全体董事的过半数选举产生。</w:t>
            </w:r>
          </w:p>
        </w:tc>
      </w:tr>
      <w:tr w:rsidR="00C83033" w14:paraId="57AAA398" w14:textId="77777777" w:rsidTr="00490A89">
        <w:tc>
          <w:tcPr>
            <w:tcW w:w="4395" w:type="dxa"/>
          </w:tcPr>
          <w:p w14:paraId="1BB47FBD"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第一百一十三条　公司副董事长协助董事长工作，董事长不能履行职务或者不履行职务的，由副董事长履行职务；副董事长不能履行职务或者不履行职务的，由半数以上董事共同推举一名董事履行职务。</w:t>
            </w:r>
          </w:p>
        </w:tc>
        <w:tc>
          <w:tcPr>
            <w:tcW w:w="4394" w:type="dxa"/>
          </w:tcPr>
          <w:p w14:paraId="769545FB" w14:textId="20E15886" w:rsidR="00C83033" w:rsidRDefault="00947CC9" w:rsidP="005F2C17">
            <w:pPr>
              <w:pStyle w:val="rule-kuan"/>
              <w:shd w:val="clear" w:color="auto" w:fill="FFFFFF"/>
              <w:adjustRightInd w:val="0"/>
              <w:snapToGrid w:val="0"/>
              <w:spacing w:before="0" w:beforeAutospacing="0" w:after="0" w:afterAutospacing="0" w:line="360" w:lineRule="auto"/>
              <w:ind w:firstLineChars="200" w:firstLine="480"/>
              <w:jc w:val="both"/>
              <w:rPr>
                <w:rFonts w:asciiTheme="minorEastAsia" w:eastAsiaTheme="minorEastAsia" w:hAnsiTheme="minorEastAsia" w:cs="Arial"/>
                <w:kern w:val="2"/>
              </w:rPr>
            </w:pPr>
            <w:r>
              <w:rPr>
                <w:rFonts w:hint="eastAsia"/>
              </w:rPr>
              <w:t>第一百一十三条　董事长不能履行职务或者不履行职务的，由半数以上董事共同推举一名董事履行职务。</w:t>
            </w:r>
          </w:p>
        </w:tc>
      </w:tr>
      <w:tr w:rsidR="00C83033" w14:paraId="1E35ADAB" w14:textId="77777777">
        <w:tc>
          <w:tcPr>
            <w:tcW w:w="4395" w:type="dxa"/>
          </w:tcPr>
          <w:p w14:paraId="4CED42B1" w14:textId="77777777" w:rsidR="00C83033" w:rsidRDefault="00947CC9" w:rsidP="005F2C17">
            <w:pPr>
              <w:adjustRightInd w:val="0"/>
              <w:snapToGrid w:val="0"/>
              <w:spacing w:line="360" w:lineRule="auto"/>
              <w:rPr>
                <w:rFonts w:ascii="宋体" w:hAnsi="宋体"/>
                <w:sz w:val="24"/>
              </w:rPr>
            </w:pPr>
            <w:r>
              <w:rPr>
                <w:rFonts w:ascii="宋体" w:hAnsi="宋体" w:hint="eastAsia"/>
                <w:sz w:val="24"/>
              </w:rPr>
              <w:t xml:space="preserve">　　第一百五十五条　公司股东大会对利润分配方案作出决议后，公司董事会须在股东大会召开后2个月内完成股利(或股份)的派发事项。</w:t>
            </w:r>
          </w:p>
        </w:tc>
        <w:tc>
          <w:tcPr>
            <w:tcW w:w="4394" w:type="dxa"/>
          </w:tcPr>
          <w:p w14:paraId="4524574B" w14:textId="77777777" w:rsidR="00C83033" w:rsidRDefault="00947CC9" w:rsidP="005F2C17">
            <w:pPr>
              <w:pStyle w:val="rule-kuan"/>
              <w:shd w:val="clear" w:color="auto" w:fill="FFFFFF"/>
              <w:adjustRightInd w:val="0"/>
              <w:snapToGrid w:val="0"/>
              <w:spacing w:before="0" w:beforeAutospacing="0" w:after="0" w:afterAutospacing="0" w:line="360" w:lineRule="auto"/>
              <w:ind w:firstLineChars="200" w:firstLine="480"/>
              <w:jc w:val="both"/>
            </w:pPr>
            <w:r>
              <w:t>第一百五十五条</w:t>
            </w:r>
            <w:r>
              <w:rPr>
                <w:rFonts w:hint="eastAsia"/>
              </w:rPr>
              <w:t xml:space="preserve">  </w:t>
            </w:r>
            <w:r>
              <w:t>公司股东大会对利润分配方案作出决议后，或公司董事会根据年度股东大会审议通过的下一年中期分红条件和上限制定具体方案后，须在</w:t>
            </w:r>
            <w:r>
              <w:rPr>
                <w:rFonts w:hint="eastAsia"/>
              </w:rPr>
              <w:t>2</w:t>
            </w:r>
            <w:r>
              <w:t>个月内完成股利（或股份） 的派发事项。</w:t>
            </w:r>
          </w:p>
        </w:tc>
      </w:tr>
      <w:tr w:rsidR="00C83033" w14:paraId="16BDD500" w14:textId="77777777">
        <w:tc>
          <w:tcPr>
            <w:tcW w:w="4395" w:type="dxa"/>
          </w:tcPr>
          <w:p w14:paraId="0C542F4C"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第一百五十六条  公司的利润分配政策</w:t>
            </w:r>
          </w:p>
          <w:p w14:paraId="14A7369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（一）公司董事会制定利润分配政策的基本原则</w:t>
            </w:r>
          </w:p>
          <w:p w14:paraId="6DE66A10"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1、公司充分考虑对投资者的回报，</w:t>
            </w:r>
            <w:r>
              <w:rPr>
                <w:rFonts w:ascii="宋体" w:hAnsi="宋体" w:hint="eastAsia"/>
                <w:sz w:val="24"/>
              </w:rPr>
              <w:lastRenderedPageBreak/>
              <w:t>每年以现金方式分配的利润不低于当年实现的可供分配利润的15%向股东分配股利；</w:t>
            </w:r>
          </w:p>
          <w:p w14:paraId="3B7FE9E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2、公司的利润分配政策保持连续性和稳定性，同时兼顾公司的长远利益、全体股东的整体利益及公司的可持续发展；</w:t>
            </w:r>
          </w:p>
          <w:p w14:paraId="353C8FE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3、公司优先采用现金分红的利润分配方式。</w:t>
            </w:r>
          </w:p>
          <w:p w14:paraId="6F690347" w14:textId="77777777" w:rsidR="00C83033" w:rsidRDefault="00947CC9" w:rsidP="005F2C17">
            <w:pPr>
              <w:adjustRightInd w:val="0"/>
              <w:snapToGrid w:val="0"/>
              <w:spacing w:line="360" w:lineRule="auto"/>
              <w:ind w:firstLineChars="150" w:firstLine="360"/>
              <w:rPr>
                <w:rFonts w:ascii="宋体" w:hAnsi="宋体"/>
                <w:sz w:val="24"/>
              </w:rPr>
            </w:pPr>
            <w:r>
              <w:rPr>
                <w:rFonts w:ascii="宋体" w:hAnsi="宋体" w:hint="eastAsia"/>
                <w:sz w:val="24"/>
              </w:rPr>
              <w:t xml:space="preserve"> （二）公司利润分配具体政策如下：</w:t>
            </w:r>
          </w:p>
          <w:p w14:paraId="2AAFB8C0"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1、利润分配的形式：公司采取现金、股票或者现金与股票相结合的方式分配股利。在有条件的情况下，公司可以进行中期利润分配。</w:t>
            </w:r>
          </w:p>
          <w:p w14:paraId="324F5E4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2、现金分红的具体条件和比例：</w:t>
            </w:r>
          </w:p>
          <w:p w14:paraId="29E0193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公司在当年盈利且累计未分配利润为正的情况下，现金流满足公司正常生产经营和未来发展的前提下，采取现金方式分配股利，每年以现金方式分配的利润不低于当年实现的可供分配利润的15%。</w:t>
            </w:r>
          </w:p>
          <w:p w14:paraId="15351E6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公司董事会应当综合考虑所处行业特点、发展阶段、自身经营模式、盈利水平以及是否有重大资金支出安排等因素，区分下列情形，提出具体现金分红政策：</w:t>
            </w:r>
          </w:p>
          <w:p w14:paraId="31DBA50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（1）公司发展阶段属成熟期且无重大资金支出安排的，进行利润分配时，现金分红在本次利润分配中所占比例最</w:t>
            </w:r>
            <w:r>
              <w:rPr>
                <w:rFonts w:ascii="宋体" w:hAnsi="宋体" w:hint="eastAsia"/>
                <w:sz w:val="24"/>
              </w:rPr>
              <w:lastRenderedPageBreak/>
              <w:t>低应达到80%；</w:t>
            </w:r>
          </w:p>
          <w:p w14:paraId="52565741"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（2）公司发展阶段属成熟期且有重大资金支出安排的，进行利润分配时，现金分红在本次利润分配中所占比例最低应达到40%；</w:t>
            </w:r>
          </w:p>
          <w:p w14:paraId="555E396B"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（3）公司发展阶段属成长期且有重大资金支出安排的，进行利润分配时，现金分红在本次利润分配中所占比例最低应达到20%。</w:t>
            </w:r>
          </w:p>
          <w:p w14:paraId="1ACDB1C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本章程中的“重大资金支出安排”是指公司在一年内购买资产以及对外投资等交易涉及的交易额占公司最近一期经审计净资产30%以上的事项。</w:t>
            </w:r>
          </w:p>
          <w:p w14:paraId="602A45C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出现以下情形之一的，公司可不进行现金分红：</w:t>
            </w:r>
          </w:p>
          <w:p w14:paraId="50C3FAB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（1）合并报表或母公司报表当年度未实现盈利；</w:t>
            </w:r>
          </w:p>
          <w:p w14:paraId="097668B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 xml:space="preserve">（2）合并报表或母公司报表当年度经营性现金流量净额或者现金流量净额为负数； </w:t>
            </w:r>
          </w:p>
          <w:p w14:paraId="1E9C28B2"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 xml:space="preserve">（3）合并报表或母公司报表期末资产负债率超过70%； </w:t>
            </w:r>
          </w:p>
          <w:p w14:paraId="67D203F0"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（4）合并报表或母公司报表期末可供分配的利润余额为负数；</w:t>
            </w:r>
          </w:p>
          <w:p w14:paraId="7EEDEEC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（5）公司财务报告被审计机构出具非标准无保留意见；</w:t>
            </w:r>
          </w:p>
          <w:p w14:paraId="08EDDA94"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（6）公司在可预见的未来一定时期内存在重大资金支出安排，进行现金分红可能导致公司现金流无法满足公司经</w:t>
            </w:r>
            <w:r>
              <w:rPr>
                <w:rFonts w:ascii="宋体" w:hAnsi="宋体" w:hint="eastAsia"/>
                <w:sz w:val="24"/>
              </w:rPr>
              <w:lastRenderedPageBreak/>
              <w:t>营或投资需要。</w:t>
            </w:r>
          </w:p>
          <w:p w14:paraId="27E71F88"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存在股东违规占用公司资金情况的，公司应当扣减该股东所分配的现金红利，以偿还其占用的资金。</w:t>
            </w:r>
          </w:p>
          <w:p w14:paraId="68B16DFC"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3、发放股票股利的具体条件：</w:t>
            </w:r>
          </w:p>
          <w:p w14:paraId="79D5449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公司在经营情况良好，并且董事会认为公司股票价格与公司股本规模不匹配、发放股票股利有利于公司全体股东整体利益时，可以在满足上述现金分红的条件下，提出股票股利分配预案。</w:t>
            </w:r>
          </w:p>
          <w:p w14:paraId="05B66D12"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（三）公司利润分配的决策程序和机制：</w:t>
            </w:r>
          </w:p>
          <w:p w14:paraId="4282EED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1、公司利润分配方案由董事会根据公司经营状况和有关规定拟定，并在征询监事会意见后提交股东大会审议批准</w:t>
            </w:r>
            <w:r w:rsidRPr="00490A89">
              <w:rPr>
                <w:rFonts w:ascii="宋体" w:hAnsi="宋体" w:hint="eastAsia"/>
                <w:sz w:val="24"/>
              </w:rPr>
              <w:t>，独立董事应当发表明确意见。</w:t>
            </w:r>
          </w:p>
          <w:p w14:paraId="34112A0F"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2、公司应切实保障社会公众股股东参与股东大会的权利，董事会、独立董事和符合一定条件的股东可以向公司股东征集其在股东大会上的投票权。</w:t>
            </w:r>
          </w:p>
          <w:p w14:paraId="118762A2"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3、股东大会对现金分红具体方案进行审议时，应当通过多种渠道主动与股东特别是中小股东进行沟通和交流（包括但不限于提供网络投票表决、邀请中小股东参会等方式），充分听取中小股东的意见和诉求，并及时答复中小股东关心的问题。</w:t>
            </w:r>
          </w:p>
          <w:p w14:paraId="11DFAAE2"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4、公司在年度报告中详细披露现金分红政策的制定及执行情况。公司董事</w:t>
            </w:r>
            <w:r>
              <w:rPr>
                <w:rFonts w:ascii="宋体" w:hAnsi="宋体" w:hint="eastAsia"/>
                <w:sz w:val="24"/>
              </w:rPr>
              <w:lastRenderedPageBreak/>
              <w:t>会应在年度报告中披露利润分配方案及留存的未分配利润的使用计划安排或原则,公司当年利润分配完成后留存的未分配利润应用于发展公司经营业务。公司当年盈利但董事会未做出现金分红预案的,应在年度报告中披露未做出现金分红预案的原因及未用于分红的资金留存公司的用途</w:t>
            </w:r>
            <w:r w:rsidRPr="00490A89">
              <w:rPr>
                <w:rFonts w:ascii="宋体" w:hAnsi="宋体" w:hint="eastAsia"/>
                <w:sz w:val="24"/>
              </w:rPr>
              <w:t>，独立董事发表的独立意见</w:t>
            </w:r>
            <w:r>
              <w:rPr>
                <w:rFonts w:ascii="宋体" w:hAnsi="宋体" w:hint="eastAsia"/>
                <w:sz w:val="24"/>
              </w:rPr>
              <w:t>。</w:t>
            </w:r>
          </w:p>
          <w:p w14:paraId="4CAB654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（四）利润分配政策调整的条件、决策程序和机制：</w:t>
            </w:r>
          </w:p>
          <w:p w14:paraId="665887EA"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公司因外部经营环境或自身经营状况发生重大变化而需调整利润分配政策的, 必须由董事会作出专题讨论，详细论证说明理由</w:t>
            </w:r>
            <w:r w:rsidRPr="00490A89">
              <w:rPr>
                <w:rFonts w:ascii="宋体" w:hAnsi="宋体" w:hint="eastAsia"/>
                <w:sz w:val="24"/>
              </w:rPr>
              <w:t>，并将书面论证报告经独立董事同意后</w:t>
            </w:r>
            <w:r>
              <w:rPr>
                <w:rFonts w:ascii="宋体" w:hAnsi="宋体" w:hint="eastAsia"/>
                <w:sz w:val="24"/>
              </w:rPr>
              <w:t>，提交股东大会特别决议通过。</w:t>
            </w:r>
          </w:p>
          <w:p w14:paraId="6D630E45"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股东大会审议利润分配政策变更事项时，必须提供网络投票方式。</w:t>
            </w:r>
          </w:p>
          <w:p w14:paraId="0C276D59"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（五）公司未分配利润的使用原则</w:t>
            </w:r>
          </w:p>
          <w:p w14:paraId="5F9AA19B"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公司留存未分配利润主要用于对外投资、收购资产、购买设备等重大投资及现金支出，以及日常运营所需的流动资金，逐步扩大生产经营规模，优化企业资产结构和财务结构、促进公司高效的可持续发展，落实公司发展规划目标，最终实现股东利益最大化。</w:t>
            </w:r>
          </w:p>
        </w:tc>
        <w:tc>
          <w:tcPr>
            <w:tcW w:w="4394" w:type="dxa"/>
          </w:tcPr>
          <w:p w14:paraId="4A36B2F1"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lastRenderedPageBreak/>
              <w:t>第一百五十六条</w:t>
            </w:r>
            <w:r w:rsidRPr="00490A89">
              <w:rPr>
                <w:rFonts w:ascii="宋体" w:hAnsi="宋体"/>
                <w:sz w:val="24"/>
              </w:rPr>
              <w:t xml:space="preserve">  </w:t>
            </w:r>
            <w:r w:rsidRPr="00490A89">
              <w:rPr>
                <w:rFonts w:ascii="宋体" w:hAnsi="宋体" w:hint="eastAsia"/>
                <w:sz w:val="24"/>
              </w:rPr>
              <w:t>公司的利润分配政策</w:t>
            </w:r>
          </w:p>
          <w:p w14:paraId="2F7B9627"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（一）公司董事会制定利润分配政策的基本原则</w:t>
            </w:r>
          </w:p>
          <w:p w14:paraId="333C1E66" w14:textId="3AA58C25"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1、公司充分考虑对投资者的回报，</w:t>
            </w:r>
            <w:r w:rsidRPr="00490A89">
              <w:rPr>
                <w:rFonts w:ascii="宋体" w:hAnsi="宋体"/>
                <w:sz w:val="24"/>
              </w:rPr>
              <w:lastRenderedPageBreak/>
              <w:t>每年以现金方式分配的利润不</w:t>
            </w:r>
            <w:r w:rsidR="005F2DA3">
              <w:rPr>
                <w:rFonts w:ascii="宋体" w:hAnsi="宋体"/>
                <w:sz w:val="24"/>
              </w:rPr>
              <w:t>少</w:t>
            </w:r>
            <w:r w:rsidRPr="00490A89">
              <w:rPr>
                <w:rFonts w:ascii="宋体" w:hAnsi="宋体"/>
                <w:sz w:val="24"/>
              </w:rPr>
              <w:t>于当年实现的可供分配利润的15%向股东分配股利；</w:t>
            </w:r>
          </w:p>
          <w:p w14:paraId="24670CCB"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2、公司的利润分配政策保持连续性和稳定性，同时兼顾公司的长远利益、全体股东的整体利益及公司的可持续发展；</w:t>
            </w:r>
          </w:p>
          <w:p w14:paraId="20628424"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3、公司优先采用现金分红的利润分配方式。</w:t>
            </w:r>
          </w:p>
          <w:p w14:paraId="7E741BFC"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（二）公司利润分配具体政策如下：</w:t>
            </w:r>
          </w:p>
          <w:p w14:paraId="47629A9E"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1、利润分配的形式：公司采取现金、股票或者现金与股票相结合的方式分配股利。在有条件的情况下，公司可以进行中期利润分配。</w:t>
            </w:r>
          </w:p>
          <w:p w14:paraId="2CD273D8"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2、现金分红的具体条件和比例：</w:t>
            </w:r>
          </w:p>
          <w:p w14:paraId="20B2F425" w14:textId="7FBFE982"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公司在当年盈利且累计未分配利润为正的情况下，现金流满足公司正常生产经营和未来</w:t>
            </w:r>
            <w:r w:rsidR="005F2DA3">
              <w:rPr>
                <w:rFonts w:ascii="宋体" w:hAnsi="宋体" w:hint="eastAsia"/>
                <w:sz w:val="24"/>
              </w:rPr>
              <w:t>发展的前提下，采取现金方式分配股利，每年以现金方式分配的利润不少</w:t>
            </w:r>
            <w:r w:rsidRPr="00490A89">
              <w:rPr>
                <w:rFonts w:ascii="宋体" w:hAnsi="宋体" w:hint="eastAsia"/>
                <w:sz w:val="24"/>
              </w:rPr>
              <w:t>于当年实现的可供分配利润的</w:t>
            </w:r>
            <w:r w:rsidRPr="00490A89">
              <w:rPr>
                <w:rFonts w:ascii="宋体" w:hAnsi="宋体"/>
                <w:sz w:val="24"/>
              </w:rPr>
              <w:t>15%。</w:t>
            </w:r>
          </w:p>
          <w:p w14:paraId="0C4CFEA5"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公司董事会应当综合考虑所处行业特点、发展阶段、自身经营模式、盈利水平</w:t>
            </w:r>
            <w:r w:rsidRPr="007C735D">
              <w:rPr>
                <w:rFonts w:ascii="宋体" w:hAnsi="宋体" w:hint="eastAsia"/>
                <w:sz w:val="24"/>
              </w:rPr>
              <w:t>、债务偿还能力、是否有重大资金支出安排和投资者回报等因素</w:t>
            </w:r>
            <w:r w:rsidRPr="00490A89">
              <w:rPr>
                <w:rFonts w:ascii="宋体" w:hAnsi="宋体" w:hint="eastAsia"/>
                <w:sz w:val="24"/>
              </w:rPr>
              <w:t>，区分下列情形，提出具体现金分红政策：</w:t>
            </w:r>
          </w:p>
          <w:p w14:paraId="00D1B332"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1）公司发展阶段属成熟期且无重大资金支出安排的，进行利润分配时，现金分红在本次利润分配中所占比例最</w:t>
            </w:r>
            <w:r w:rsidRPr="00490A89">
              <w:rPr>
                <w:rFonts w:ascii="宋体" w:hAnsi="宋体"/>
                <w:sz w:val="24"/>
              </w:rPr>
              <w:lastRenderedPageBreak/>
              <w:t>低应达到80%；</w:t>
            </w:r>
          </w:p>
          <w:p w14:paraId="07D441EF"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2）公司发展阶段属成熟期且有重大资金支出安排的，进行利润分配时，现金分红在本次利润分配中所占比例最低应达到40%；</w:t>
            </w:r>
          </w:p>
          <w:p w14:paraId="74F22D36"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3）公司发展阶段属成长期且有重大资金支出安排的，进行利润分配时，现金分红在本次利润分配中所占比例最低应达到20%。</w:t>
            </w:r>
          </w:p>
          <w:p w14:paraId="09BD6F96"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本章程中的“重大资金支出安排”是指公司在一年内购买资产以及对外投资等交易涉及的交易额占公司最近一期经审计净资产</w:t>
            </w:r>
            <w:r w:rsidRPr="00490A89">
              <w:rPr>
                <w:rFonts w:ascii="宋体" w:hAnsi="宋体"/>
                <w:sz w:val="24"/>
              </w:rPr>
              <w:t>30%以上的事项。</w:t>
            </w:r>
          </w:p>
          <w:p w14:paraId="436E8C35"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出现以下情形之一的，公司可不进行现金分红：</w:t>
            </w:r>
          </w:p>
          <w:p w14:paraId="0305A85F"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1）合并报表或母公司报表当年度未实现盈利；</w:t>
            </w:r>
          </w:p>
          <w:p w14:paraId="0B18F332"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2）合并报表或母公司报表当年度经营性现金流量净额或者现金流量净额为负数；</w:t>
            </w:r>
          </w:p>
          <w:p w14:paraId="57367EDC"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 xml:space="preserve">3）合并报表或母公司报表期末资产负债率超过70%； </w:t>
            </w:r>
          </w:p>
          <w:p w14:paraId="60ADA982"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4）合并报表或母公司报表期末可供分配的利润余额为负数；</w:t>
            </w:r>
          </w:p>
          <w:p w14:paraId="014CCADB"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5）公司财务报告被审计机构出具非标准无保留意见；</w:t>
            </w:r>
          </w:p>
          <w:p w14:paraId="7A0ED2E0"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w:t>
            </w:r>
            <w:r w:rsidRPr="00490A89">
              <w:rPr>
                <w:rFonts w:ascii="宋体" w:hAnsi="宋体"/>
                <w:sz w:val="24"/>
              </w:rPr>
              <w:t>6）公司在可预见的未来一定时期内存在重大资金支出安排，进行现金分红可能导致公司现金流无法满足公司经</w:t>
            </w:r>
            <w:r w:rsidRPr="00490A89">
              <w:rPr>
                <w:rFonts w:ascii="宋体" w:hAnsi="宋体"/>
                <w:sz w:val="24"/>
              </w:rPr>
              <w:lastRenderedPageBreak/>
              <w:t>营或投资需要。</w:t>
            </w:r>
          </w:p>
          <w:p w14:paraId="58D35EF7" w14:textId="35F76D54"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存在股东违规占用公司资金情况的，公司应当扣减该股东所分配的现金红利，以偿还其占用的资金。</w:t>
            </w:r>
          </w:p>
          <w:p w14:paraId="3FEF0C30"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3、发放股票股利的具体条件：</w:t>
            </w:r>
          </w:p>
          <w:p w14:paraId="50B35AD6"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公司在经营情况良好，并且董事会认为公司股票价格与公司股本规模不匹配、发放股票股利有利于公司全体股东整体利益时，可以在满足上述现金分红的条件下，提出股票股利分配预案。</w:t>
            </w:r>
          </w:p>
          <w:p w14:paraId="0BB0B5F0"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（三）公司利润分配的决策程序和机制：</w:t>
            </w:r>
          </w:p>
          <w:p w14:paraId="154064C6"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1、公司利润分配方案由董事会根据公司经营状况和有关规定拟定，并在征询监事会意见后提交股东大会审议批准。</w:t>
            </w:r>
          </w:p>
          <w:p w14:paraId="6266B653" w14:textId="77777777" w:rsidR="00C83033" w:rsidRPr="00696DB7" w:rsidRDefault="00947CC9" w:rsidP="005F2C17">
            <w:pPr>
              <w:shd w:val="clear" w:color="auto" w:fill="FFFFFF"/>
              <w:adjustRightInd w:val="0"/>
              <w:snapToGrid w:val="0"/>
              <w:spacing w:line="360" w:lineRule="auto"/>
              <w:ind w:firstLineChars="200" w:firstLine="480"/>
            </w:pPr>
            <w:r w:rsidRPr="00490A89">
              <w:rPr>
                <w:rFonts w:ascii="宋体" w:hAnsi="宋体"/>
                <w:sz w:val="24"/>
              </w:rPr>
              <w:t>2、公司应切实保障社会公众股股东参与股东大会的权利，董事会、独立董事和符合一定条件的股东可以向公司股东征集其在股东大会上的投票权。</w:t>
            </w:r>
          </w:p>
          <w:p w14:paraId="196D8969" w14:textId="577DB7B0" w:rsidR="00C83033" w:rsidRPr="007C735D" w:rsidRDefault="00947CC9" w:rsidP="005F2C17">
            <w:pPr>
              <w:adjustRightInd w:val="0"/>
              <w:snapToGrid w:val="0"/>
              <w:spacing w:line="360" w:lineRule="auto"/>
              <w:ind w:firstLineChars="200" w:firstLine="480"/>
              <w:rPr>
                <w:rFonts w:ascii="宋体" w:hAnsi="宋体"/>
                <w:sz w:val="24"/>
              </w:rPr>
            </w:pPr>
            <w:r w:rsidRPr="00490A89">
              <w:rPr>
                <w:rFonts w:ascii="宋体" w:hAnsi="宋体"/>
                <w:sz w:val="24"/>
              </w:rPr>
              <w:t>3、</w:t>
            </w:r>
            <w:r w:rsidRPr="007C735D">
              <w:rPr>
                <w:rFonts w:ascii="宋体" w:hAnsi="宋体" w:hint="eastAsia"/>
                <w:sz w:val="24"/>
              </w:rPr>
              <w:t>公司在制定现金分红具体方案时，董事会应当认真研究和论证公司现金分红的时机、条件和最低比例、调整的条件及其决策程序要求等事宜。</w:t>
            </w:r>
            <w:r w:rsidRPr="00490A89">
              <w:rPr>
                <w:rFonts w:ascii="宋体" w:hAnsi="宋体" w:hint="eastAsia"/>
                <w:sz w:val="24"/>
              </w:rPr>
              <w:t>股东大会对现金分红具体方案进行审议时，应当通过多种渠道主动与股东特别是中小股东进行沟通和交流（包括但不限于提供网络投票表决、邀请中小股东参会等方式），充分听取中小股东的意见和诉</w:t>
            </w:r>
            <w:r w:rsidRPr="00490A89">
              <w:rPr>
                <w:rFonts w:ascii="宋体" w:hAnsi="宋体" w:hint="eastAsia"/>
                <w:sz w:val="24"/>
              </w:rPr>
              <w:lastRenderedPageBreak/>
              <w:t>求，并及时答复中小股东关心的问题。</w:t>
            </w:r>
            <w:r w:rsidRPr="007C735D">
              <w:rPr>
                <w:rFonts w:ascii="宋体" w:hAnsi="宋体" w:hint="eastAsia"/>
                <w:sz w:val="24"/>
              </w:rPr>
              <w:t>独立董事认为现金分红具体方案可能损害公司或者中小股东权益的，有权发表独立意见。董事会对独立董事的意见未采纳或者未完全采纳的，应当在董事会决议中记载独立董事的意见及未采纳的具体理由并披露。</w:t>
            </w:r>
          </w:p>
          <w:p w14:paraId="1A3D5345" w14:textId="42A76A67" w:rsidR="00C83033" w:rsidRDefault="00947CC9" w:rsidP="005F2C17">
            <w:pPr>
              <w:adjustRightInd w:val="0"/>
              <w:snapToGrid w:val="0"/>
              <w:spacing w:line="360" w:lineRule="auto"/>
              <w:ind w:firstLineChars="200" w:firstLine="480"/>
              <w:rPr>
                <w:rFonts w:ascii="宋体" w:hAnsi="宋体"/>
                <w:sz w:val="24"/>
              </w:rPr>
            </w:pPr>
            <w:r>
              <w:rPr>
                <w:rFonts w:ascii="宋体" w:hAnsi="宋体"/>
                <w:sz w:val="24"/>
              </w:rPr>
              <w:t>4、公司在年度报告中详细披露现金分红政策的制定及执行情况</w:t>
            </w:r>
            <w:r w:rsidRPr="00CC6424">
              <w:rPr>
                <w:rFonts w:ascii="宋体" w:hAnsi="宋体" w:hint="eastAsia"/>
                <w:sz w:val="24"/>
              </w:rPr>
              <w:t>，对现金</w:t>
            </w:r>
            <w:r w:rsidRPr="007C735D">
              <w:rPr>
                <w:rFonts w:ascii="宋体" w:hAnsi="宋体" w:hint="eastAsia"/>
                <w:sz w:val="24"/>
              </w:rPr>
              <w:t>分红政策进行调整或者变更的，还应当对调整或者变更的条件及程序是否合规和透明等进行详细说明</w:t>
            </w:r>
            <w:r>
              <w:rPr>
                <w:rFonts w:ascii="宋体" w:hAnsi="宋体" w:hint="eastAsia"/>
                <w:sz w:val="24"/>
              </w:rPr>
              <w:t>。公司董事会应在年度报告中披露利润分配方案及留存的未分配利润的使用计划安排或原则</w:t>
            </w:r>
            <w:r>
              <w:rPr>
                <w:rFonts w:ascii="宋体" w:hAnsi="宋体"/>
                <w:sz w:val="24"/>
              </w:rPr>
              <w:t>,公司当年利润分配完成后留存的未分配利润应用于发展公司经营业务。公司当年盈利但董事会未做出现金分红预案的,应在年度报告中披露未做出现金分红预案的原因及未用于分红的资金留存公司的用途</w:t>
            </w:r>
            <w:r w:rsidRPr="007C735D">
              <w:rPr>
                <w:rFonts w:ascii="宋体" w:hAnsi="宋体" w:hint="eastAsia"/>
                <w:sz w:val="24"/>
              </w:rPr>
              <w:t>，以及下一步为增强投资者回报水平拟采取的举措等</w:t>
            </w:r>
            <w:r>
              <w:rPr>
                <w:rFonts w:ascii="宋体" w:hAnsi="宋体" w:hint="eastAsia"/>
                <w:sz w:val="24"/>
              </w:rPr>
              <w:t>。</w:t>
            </w:r>
          </w:p>
          <w:p w14:paraId="3DB0348A" w14:textId="2CE84954" w:rsidR="00C83033" w:rsidRDefault="00947CC9" w:rsidP="005F2C17">
            <w:pPr>
              <w:adjustRightInd w:val="0"/>
              <w:snapToGrid w:val="0"/>
              <w:spacing w:line="360" w:lineRule="auto"/>
              <w:ind w:firstLineChars="200" w:firstLine="480"/>
              <w:rPr>
                <w:rFonts w:ascii="宋体" w:hAnsi="宋体"/>
                <w:sz w:val="24"/>
              </w:rPr>
            </w:pPr>
            <w:r w:rsidRPr="007C735D">
              <w:rPr>
                <w:rFonts w:ascii="宋体" w:hAnsi="宋体"/>
                <w:sz w:val="24"/>
              </w:rPr>
              <w:t>5</w:t>
            </w:r>
            <w:r w:rsidR="008A3F47">
              <w:rPr>
                <w:rFonts w:ascii="宋体" w:hAnsi="宋体" w:hint="eastAsia"/>
                <w:sz w:val="24"/>
              </w:rPr>
              <w:t>、公司召开年度股东大会审议年度利润分配方案时，</w:t>
            </w:r>
            <w:proofErr w:type="gramStart"/>
            <w:r w:rsidRPr="007C735D">
              <w:rPr>
                <w:rFonts w:ascii="宋体" w:hAnsi="宋体" w:hint="eastAsia"/>
                <w:sz w:val="24"/>
              </w:rPr>
              <w:t>可审议</w:t>
            </w:r>
            <w:proofErr w:type="gramEnd"/>
            <w:r w:rsidRPr="007C735D">
              <w:rPr>
                <w:rFonts w:ascii="宋体" w:hAnsi="宋体" w:hint="eastAsia"/>
                <w:sz w:val="24"/>
              </w:rPr>
              <w:t>批准下一年中期现金分红的条件、比例上限、金额上限等。年度股东大会审议的下一年中期分红上限不应超过相应期间归属于公司股东的净利润。董事会根据股东大会决议在符合利润分配的条件下制定具体的中期分红方案。</w:t>
            </w:r>
          </w:p>
          <w:p w14:paraId="2BDC6DFF"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lastRenderedPageBreak/>
              <w:t>（四）利润分配政策调整的条件、决策程序和机制：</w:t>
            </w:r>
          </w:p>
          <w:p w14:paraId="42749DA3"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公司因外部经营环境或自身经营状况发生重大变化而需调整利润分配政策的</w:t>
            </w:r>
            <w:r>
              <w:rPr>
                <w:rFonts w:ascii="宋体" w:hAnsi="宋体"/>
                <w:sz w:val="24"/>
              </w:rPr>
              <w:t>,必须由董事会作出专题讨论，详细论证说明理由，</w:t>
            </w:r>
            <w:r>
              <w:rPr>
                <w:rFonts w:ascii="宋体" w:hAnsi="宋体" w:hint="eastAsia"/>
                <w:sz w:val="24"/>
              </w:rPr>
              <w:t>提交股东大会特别决议通过。</w:t>
            </w:r>
          </w:p>
          <w:p w14:paraId="0ED0536E"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股东大会审议利润分配政策变更事项时，必须提供网络投票方式。</w:t>
            </w:r>
          </w:p>
          <w:p w14:paraId="691D54F0" w14:textId="77777777" w:rsidR="00C83033" w:rsidRDefault="00947CC9" w:rsidP="005F2C17">
            <w:pPr>
              <w:adjustRightInd w:val="0"/>
              <w:snapToGrid w:val="0"/>
              <w:spacing w:line="360" w:lineRule="auto"/>
              <w:ind w:firstLineChars="200" w:firstLine="480"/>
              <w:rPr>
                <w:rFonts w:ascii="宋体" w:hAnsi="宋体"/>
                <w:sz w:val="24"/>
              </w:rPr>
            </w:pPr>
            <w:r>
              <w:rPr>
                <w:rFonts w:ascii="宋体" w:hAnsi="宋体" w:hint="eastAsia"/>
                <w:sz w:val="24"/>
              </w:rPr>
              <w:t>（五）公司未分配利润的使用原则</w:t>
            </w:r>
          </w:p>
          <w:p w14:paraId="25505AF3" w14:textId="77777777" w:rsidR="00C83033" w:rsidRDefault="00947CC9" w:rsidP="005F2C17">
            <w:pPr>
              <w:shd w:val="clear" w:color="auto" w:fill="FFFFFF"/>
              <w:adjustRightInd w:val="0"/>
              <w:snapToGrid w:val="0"/>
              <w:spacing w:line="360" w:lineRule="auto"/>
              <w:ind w:firstLineChars="200" w:firstLine="480"/>
            </w:pPr>
            <w:r w:rsidRPr="00490A89">
              <w:rPr>
                <w:rFonts w:ascii="宋体" w:hAnsi="宋体" w:hint="eastAsia"/>
                <w:sz w:val="24"/>
              </w:rPr>
              <w:t>公司留存未分配利润主要用于对外投资、收购资产、购买设备等重大投资及现金支出，以及日常运营所需的流动资金，逐步扩大生产经营规模，优化企业资产结构和财务结构、促进公司高效的可持续发展，落实公司发展规划目标，最终实现股东利益最大化。</w:t>
            </w:r>
          </w:p>
        </w:tc>
      </w:tr>
    </w:tbl>
    <w:p w14:paraId="0BA127BC" w14:textId="77777777" w:rsidR="00C83033" w:rsidRDefault="00C83033">
      <w:pPr>
        <w:adjustRightInd w:val="0"/>
        <w:snapToGrid w:val="0"/>
        <w:spacing w:line="360" w:lineRule="auto"/>
        <w:ind w:firstLineChars="200" w:firstLine="480"/>
        <w:jc w:val="left"/>
        <w:rPr>
          <w:rFonts w:asciiTheme="minorEastAsia" w:eastAsiaTheme="minorEastAsia" w:hAnsiTheme="minorEastAsia" w:cs="宋体"/>
          <w:sz w:val="24"/>
          <w:szCs w:val="24"/>
        </w:rPr>
      </w:pPr>
    </w:p>
    <w:p w14:paraId="407E1CC1" w14:textId="77777777" w:rsidR="00C83033" w:rsidRDefault="00947CC9" w:rsidP="001A4D9F">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注：在修订本公司章程中，如因增加、删除某些条款导致条款序号发生变化， 修改后的本公司章程条款序号依次顺延或递减；本公司章程中条款相互引用的， 条款序号相应变化。除上述修改外，《公司章程》其他条款保持不变。 </w:t>
      </w:r>
    </w:p>
    <w:p w14:paraId="41220090" w14:textId="0E74E067" w:rsidR="00C83033" w:rsidRDefault="00947CC9">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本次公司章程修订相关议案已经公</w:t>
      </w:r>
      <w:r w:rsidRPr="0041261E">
        <w:rPr>
          <w:rFonts w:asciiTheme="minorEastAsia" w:eastAsiaTheme="minorEastAsia" w:hAnsiTheme="minorEastAsia" w:cs="宋体"/>
          <w:sz w:val="24"/>
          <w:szCs w:val="24"/>
        </w:rPr>
        <w:t>司第九届董事会第</w:t>
      </w:r>
      <w:r w:rsidR="00737A8C" w:rsidRPr="0041261E">
        <w:rPr>
          <w:rFonts w:asciiTheme="minorEastAsia" w:eastAsiaTheme="minorEastAsia" w:hAnsiTheme="minorEastAsia" w:cs="宋体"/>
          <w:sz w:val="24"/>
          <w:szCs w:val="24"/>
        </w:rPr>
        <w:t>二次会议审议通过，</w:t>
      </w:r>
      <w:r w:rsidRPr="0041261E">
        <w:rPr>
          <w:rFonts w:asciiTheme="minorEastAsia" w:eastAsiaTheme="minorEastAsia" w:hAnsiTheme="minorEastAsia" w:cs="宋体"/>
          <w:sz w:val="24"/>
          <w:szCs w:val="24"/>
        </w:rPr>
        <w:t>尚</w:t>
      </w:r>
      <w:r w:rsidR="00631F1F">
        <w:rPr>
          <w:rFonts w:asciiTheme="minorEastAsia" w:eastAsiaTheme="minorEastAsia" w:hAnsiTheme="minorEastAsia" w:cs="宋体"/>
          <w:sz w:val="24"/>
          <w:szCs w:val="24"/>
        </w:rPr>
        <w:t>需</w:t>
      </w:r>
      <w:r>
        <w:rPr>
          <w:rFonts w:asciiTheme="minorEastAsia" w:eastAsiaTheme="minorEastAsia" w:hAnsiTheme="minorEastAsia" w:cs="宋体"/>
          <w:sz w:val="24"/>
          <w:szCs w:val="24"/>
        </w:rPr>
        <w:t>提交公司202</w:t>
      </w:r>
      <w:r>
        <w:rPr>
          <w:rFonts w:asciiTheme="minorEastAsia" w:eastAsiaTheme="minorEastAsia" w:hAnsiTheme="minorEastAsia" w:cs="宋体" w:hint="eastAsia"/>
          <w:sz w:val="24"/>
          <w:szCs w:val="24"/>
        </w:rPr>
        <w:t>3</w:t>
      </w:r>
      <w:r>
        <w:rPr>
          <w:rFonts w:asciiTheme="minorEastAsia" w:eastAsiaTheme="minorEastAsia" w:hAnsiTheme="minorEastAsia" w:cs="宋体"/>
          <w:sz w:val="24"/>
          <w:szCs w:val="24"/>
        </w:rPr>
        <w:t>年度股东大会审议。</w:t>
      </w:r>
    </w:p>
    <w:p w14:paraId="507C7618" w14:textId="07CFE0D3" w:rsidR="00C83033" w:rsidRDefault="00947CC9">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上述修订及备案最终以登记机关核准的内容为准。</w:t>
      </w:r>
    </w:p>
    <w:p w14:paraId="51CB5221" w14:textId="77777777" w:rsidR="00C83033" w:rsidRDefault="00C83033">
      <w:pPr>
        <w:adjustRightInd w:val="0"/>
        <w:snapToGrid w:val="0"/>
        <w:spacing w:line="360" w:lineRule="auto"/>
        <w:ind w:firstLineChars="200" w:firstLine="480"/>
        <w:jc w:val="left"/>
        <w:rPr>
          <w:rFonts w:asciiTheme="minorEastAsia" w:eastAsiaTheme="minorEastAsia" w:hAnsiTheme="minorEastAsia" w:cs="宋体"/>
          <w:sz w:val="24"/>
          <w:szCs w:val="24"/>
        </w:rPr>
      </w:pPr>
      <w:bookmarkStart w:id="0" w:name="_GoBack"/>
      <w:bookmarkEnd w:id="0"/>
    </w:p>
    <w:p w14:paraId="001AACE9" w14:textId="77777777" w:rsidR="00C83033" w:rsidRDefault="00947CC9">
      <w:pPr>
        <w:adjustRightInd w:val="0"/>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t>特此公告。</w:t>
      </w:r>
    </w:p>
    <w:p w14:paraId="687B39A5" w14:textId="77777777" w:rsidR="00C83033" w:rsidRDefault="00947CC9">
      <w:pPr>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江苏华西村股份有限公司董事会</w:t>
      </w:r>
    </w:p>
    <w:p w14:paraId="5A5F61F5" w14:textId="6BB487F0" w:rsidR="00C83033" w:rsidRPr="0041261E" w:rsidRDefault="00947CC9">
      <w:pPr>
        <w:snapToGrid w:val="0"/>
        <w:spacing w:line="360" w:lineRule="auto"/>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sidRPr="0041261E">
        <w:rPr>
          <w:rFonts w:asciiTheme="minorEastAsia" w:eastAsiaTheme="minorEastAsia" w:hAnsiTheme="minorEastAsia" w:cs="宋体" w:hint="eastAsia"/>
          <w:sz w:val="24"/>
          <w:szCs w:val="24"/>
        </w:rPr>
        <w:t xml:space="preserve">         2024年4月</w:t>
      </w:r>
      <w:r w:rsidR="00556B74">
        <w:rPr>
          <w:rFonts w:asciiTheme="minorEastAsia" w:eastAsiaTheme="minorEastAsia" w:hAnsiTheme="minorEastAsia" w:cs="宋体" w:hint="eastAsia"/>
          <w:sz w:val="24"/>
          <w:szCs w:val="24"/>
        </w:rPr>
        <w:t>30</w:t>
      </w:r>
      <w:r w:rsidRPr="0041261E">
        <w:rPr>
          <w:rFonts w:asciiTheme="minorEastAsia" w:eastAsiaTheme="minorEastAsia" w:hAnsiTheme="minorEastAsia" w:cs="宋体" w:hint="eastAsia"/>
          <w:sz w:val="24"/>
          <w:szCs w:val="24"/>
        </w:rPr>
        <w:t>日</w:t>
      </w:r>
    </w:p>
    <w:sectPr w:rsidR="00C83033" w:rsidRPr="0041261E">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7D3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72AC78" w16cex:dateUtc="2023-12-19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7D313E" w16cid:durableId="7472AC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67F1D" w14:textId="77777777" w:rsidR="009041C0" w:rsidRDefault="009041C0">
      <w:r>
        <w:separator/>
      </w:r>
    </w:p>
  </w:endnote>
  <w:endnote w:type="continuationSeparator" w:id="0">
    <w:p w14:paraId="6E34D74C" w14:textId="77777777" w:rsidR="009041C0" w:rsidRDefault="0090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8844"/>
    </w:sdtPr>
    <w:sdtEndPr/>
    <w:sdtContent>
      <w:p w14:paraId="4EC5B140" w14:textId="77777777" w:rsidR="00C83033" w:rsidRDefault="00947CC9">
        <w:pPr>
          <w:pStyle w:val="a6"/>
          <w:jc w:val="center"/>
        </w:pPr>
        <w:r>
          <w:fldChar w:fldCharType="begin"/>
        </w:r>
        <w:r>
          <w:instrText xml:space="preserve"> PAGE   \* MERGEFORMAT </w:instrText>
        </w:r>
        <w:r>
          <w:fldChar w:fldCharType="separate"/>
        </w:r>
        <w:r w:rsidR="00631F1F" w:rsidRPr="00631F1F">
          <w:rPr>
            <w:noProof/>
            <w:lang w:val="zh-CN"/>
          </w:rPr>
          <w:t>12</w:t>
        </w:r>
        <w:r>
          <w:rPr>
            <w:lang w:val="zh-CN"/>
          </w:rPr>
          <w:fldChar w:fldCharType="end"/>
        </w:r>
      </w:p>
    </w:sdtContent>
  </w:sdt>
  <w:p w14:paraId="112DC49C" w14:textId="77777777" w:rsidR="00C83033" w:rsidRDefault="00C830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4503D" w14:textId="77777777" w:rsidR="009041C0" w:rsidRDefault="009041C0">
      <w:r>
        <w:separator/>
      </w:r>
    </w:p>
  </w:footnote>
  <w:footnote w:type="continuationSeparator" w:id="0">
    <w:p w14:paraId="126527E1" w14:textId="77777777" w:rsidR="009041C0" w:rsidRDefault="009041C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CEB"/>
    <w:rsid w:val="8ED61F57"/>
    <w:rsid w:val="9E7F8985"/>
    <w:rsid w:val="B5DD558D"/>
    <w:rsid w:val="CD7DB5F4"/>
    <w:rsid w:val="CFDEBEE4"/>
    <w:rsid w:val="CFDF2D7E"/>
    <w:rsid w:val="DD7F5C78"/>
    <w:rsid w:val="ED6F44C5"/>
    <w:rsid w:val="F5D7AA46"/>
    <w:rsid w:val="FCFD7C90"/>
    <w:rsid w:val="FDF7FA40"/>
    <w:rsid w:val="FE3F85ED"/>
    <w:rsid w:val="FEF7A513"/>
    <w:rsid w:val="FFF74E33"/>
    <w:rsid w:val="FFF9971C"/>
    <w:rsid w:val="000037C9"/>
    <w:rsid w:val="00016A7A"/>
    <w:rsid w:val="0002414C"/>
    <w:rsid w:val="00062581"/>
    <w:rsid w:val="0007261E"/>
    <w:rsid w:val="000A0406"/>
    <w:rsid w:val="000A0619"/>
    <w:rsid w:val="000A5716"/>
    <w:rsid w:val="000F3200"/>
    <w:rsid w:val="000F3881"/>
    <w:rsid w:val="00124058"/>
    <w:rsid w:val="00133FE5"/>
    <w:rsid w:val="0014037C"/>
    <w:rsid w:val="001573C5"/>
    <w:rsid w:val="00161BD2"/>
    <w:rsid w:val="001747DF"/>
    <w:rsid w:val="001752EC"/>
    <w:rsid w:val="00175CF4"/>
    <w:rsid w:val="00190EAA"/>
    <w:rsid w:val="00196F68"/>
    <w:rsid w:val="001A4D9F"/>
    <w:rsid w:val="001E6247"/>
    <w:rsid w:val="001F095E"/>
    <w:rsid w:val="001F155A"/>
    <w:rsid w:val="001F3CEA"/>
    <w:rsid w:val="001F66F0"/>
    <w:rsid w:val="00202ADF"/>
    <w:rsid w:val="00222AD3"/>
    <w:rsid w:val="00233751"/>
    <w:rsid w:val="002513BC"/>
    <w:rsid w:val="00286FB6"/>
    <w:rsid w:val="00297DD3"/>
    <w:rsid w:val="002A1950"/>
    <w:rsid w:val="002A517C"/>
    <w:rsid w:val="002B3A5A"/>
    <w:rsid w:val="002E440E"/>
    <w:rsid w:val="0030110F"/>
    <w:rsid w:val="00301830"/>
    <w:rsid w:val="003022AE"/>
    <w:rsid w:val="0036141C"/>
    <w:rsid w:val="00365EA8"/>
    <w:rsid w:val="00394C0B"/>
    <w:rsid w:val="003C12D2"/>
    <w:rsid w:val="003F03DC"/>
    <w:rsid w:val="0041261E"/>
    <w:rsid w:val="00421353"/>
    <w:rsid w:val="00426C5A"/>
    <w:rsid w:val="0042799D"/>
    <w:rsid w:val="0046217F"/>
    <w:rsid w:val="004632AA"/>
    <w:rsid w:val="00471440"/>
    <w:rsid w:val="00484377"/>
    <w:rsid w:val="00490A89"/>
    <w:rsid w:val="004A17BB"/>
    <w:rsid w:val="004A19DC"/>
    <w:rsid w:val="004B0A2B"/>
    <w:rsid w:val="004B2EC0"/>
    <w:rsid w:val="004E71A2"/>
    <w:rsid w:val="004E7530"/>
    <w:rsid w:val="004F59F3"/>
    <w:rsid w:val="00506A9B"/>
    <w:rsid w:val="00523922"/>
    <w:rsid w:val="0052420E"/>
    <w:rsid w:val="0052431D"/>
    <w:rsid w:val="005276B1"/>
    <w:rsid w:val="005467B0"/>
    <w:rsid w:val="005471EB"/>
    <w:rsid w:val="00556B74"/>
    <w:rsid w:val="0056334A"/>
    <w:rsid w:val="0056787B"/>
    <w:rsid w:val="005703BB"/>
    <w:rsid w:val="00572AC4"/>
    <w:rsid w:val="00593F95"/>
    <w:rsid w:val="005B7DCA"/>
    <w:rsid w:val="005C3AB6"/>
    <w:rsid w:val="005C555E"/>
    <w:rsid w:val="005D1625"/>
    <w:rsid w:val="005E6425"/>
    <w:rsid w:val="005F2C17"/>
    <w:rsid w:val="005F2DA3"/>
    <w:rsid w:val="0060764E"/>
    <w:rsid w:val="0062299A"/>
    <w:rsid w:val="00622F81"/>
    <w:rsid w:val="00631F1F"/>
    <w:rsid w:val="00636751"/>
    <w:rsid w:val="0064353A"/>
    <w:rsid w:val="006454AF"/>
    <w:rsid w:val="00661AED"/>
    <w:rsid w:val="00692C99"/>
    <w:rsid w:val="00696DB7"/>
    <w:rsid w:val="006E1AF7"/>
    <w:rsid w:val="006F0B2E"/>
    <w:rsid w:val="006F34BE"/>
    <w:rsid w:val="00700611"/>
    <w:rsid w:val="00737A8C"/>
    <w:rsid w:val="00757636"/>
    <w:rsid w:val="00763A0B"/>
    <w:rsid w:val="0077138B"/>
    <w:rsid w:val="00791DF7"/>
    <w:rsid w:val="007B15AB"/>
    <w:rsid w:val="007C274F"/>
    <w:rsid w:val="007C735D"/>
    <w:rsid w:val="008049DF"/>
    <w:rsid w:val="0081006E"/>
    <w:rsid w:val="0082018B"/>
    <w:rsid w:val="00852854"/>
    <w:rsid w:val="008653AF"/>
    <w:rsid w:val="00873A75"/>
    <w:rsid w:val="008828EF"/>
    <w:rsid w:val="00891052"/>
    <w:rsid w:val="008A3F47"/>
    <w:rsid w:val="008C0AA1"/>
    <w:rsid w:val="008C35C3"/>
    <w:rsid w:val="008D664B"/>
    <w:rsid w:val="008D6758"/>
    <w:rsid w:val="008F3A05"/>
    <w:rsid w:val="009041C0"/>
    <w:rsid w:val="00904238"/>
    <w:rsid w:val="00904625"/>
    <w:rsid w:val="0093246B"/>
    <w:rsid w:val="00947CC9"/>
    <w:rsid w:val="00955649"/>
    <w:rsid w:val="009761E6"/>
    <w:rsid w:val="009A246A"/>
    <w:rsid w:val="009B1984"/>
    <w:rsid w:val="00A16C0B"/>
    <w:rsid w:val="00A204A9"/>
    <w:rsid w:val="00A61DC0"/>
    <w:rsid w:val="00A70BBB"/>
    <w:rsid w:val="00A71BF1"/>
    <w:rsid w:val="00A8192C"/>
    <w:rsid w:val="00A86651"/>
    <w:rsid w:val="00AA5BF6"/>
    <w:rsid w:val="00AB45B0"/>
    <w:rsid w:val="00AC31AB"/>
    <w:rsid w:val="00AE4B29"/>
    <w:rsid w:val="00AE5F49"/>
    <w:rsid w:val="00AE6868"/>
    <w:rsid w:val="00B15888"/>
    <w:rsid w:val="00B365CF"/>
    <w:rsid w:val="00B40928"/>
    <w:rsid w:val="00BC1951"/>
    <w:rsid w:val="00BC1A98"/>
    <w:rsid w:val="00BC6D8B"/>
    <w:rsid w:val="00BC74E5"/>
    <w:rsid w:val="00BD0B09"/>
    <w:rsid w:val="00BD465E"/>
    <w:rsid w:val="00BD58EB"/>
    <w:rsid w:val="00BE3922"/>
    <w:rsid w:val="00C5234A"/>
    <w:rsid w:val="00C55F81"/>
    <w:rsid w:val="00C6070A"/>
    <w:rsid w:val="00C64710"/>
    <w:rsid w:val="00C83033"/>
    <w:rsid w:val="00C876CD"/>
    <w:rsid w:val="00C929D1"/>
    <w:rsid w:val="00C95DCC"/>
    <w:rsid w:val="00CC1E52"/>
    <w:rsid w:val="00CC2DB8"/>
    <w:rsid w:val="00CC4D7C"/>
    <w:rsid w:val="00CC6424"/>
    <w:rsid w:val="00CE1308"/>
    <w:rsid w:val="00CE3809"/>
    <w:rsid w:val="00CE6EDD"/>
    <w:rsid w:val="00CF10DD"/>
    <w:rsid w:val="00D46171"/>
    <w:rsid w:val="00D66744"/>
    <w:rsid w:val="00D734F1"/>
    <w:rsid w:val="00D911F3"/>
    <w:rsid w:val="00DA6067"/>
    <w:rsid w:val="00DC3CEB"/>
    <w:rsid w:val="00DC3F82"/>
    <w:rsid w:val="00DF0E0F"/>
    <w:rsid w:val="00DF6732"/>
    <w:rsid w:val="00E3635E"/>
    <w:rsid w:val="00E37A3F"/>
    <w:rsid w:val="00E40ADC"/>
    <w:rsid w:val="00E458CD"/>
    <w:rsid w:val="00E5285B"/>
    <w:rsid w:val="00EA0592"/>
    <w:rsid w:val="00EA48B1"/>
    <w:rsid w:val="00EA598A"/>
    <w:rsid w:val="00EA7AAC"/>
    <w:rsid w:val="00EC0F37"/>
    <w:rsid w:val="00EC682F"/>
    <w:rsid w:val="00ED472C"/>
    <w:rsid w:val="00EF1400"/>
    <w:rsid w:val="00EF4D09"/>
    <w:rsid w:val="00F13D4D"/>
    <w:rsid w:val="00F17B65"/>
    <w:rsid w:val="00F23043"/>
    <w:rsid w:val="00F33C34"/>
    <w:rsid w:val="00F51C78"/>
    <w:rsid w:val="00FB032F"/>
    <w:rsid w:val="00FB5BBD"/>
    <w:rsid w:val="00FC1A4C"/>
    <w:rsid w:val="00FD15B9"/>
    <w:rsid w:val="00FF7379"/>
    <w:rsid w:val="05DB3CF9"/>
    <w:rsid w:val="26DF434B"/>
    <w:rsid w:val="4AFFD1B7"/>
    <w:rsid w:val="4DD5A7A1"/>
    <w:rsid w:val="4DFE4306"/>
    <w:rsid w:val="59FF7536"/>
    <w:rsid w:val="67FFC196"/>
    <w:rsid w:val="77F56BCB"/>
    <w:rsid w:val="77FD9F7D"/>
    <w:rsid w:val="7BBFE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Arial" w:eastAsia="宋体" w:hAnsi="Arial" w:cs="Arial"/>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lock Text"/>
    <w:basedOn w:val="a"/>
    <w:qFormat/>
    <w:pPr>
      <w:spacing w:after="120" w:line="360" w:lineRule="auto"/>
      <w:ind w:left="435" w:right="58"/>
    </w:pPr>
    <w:rPr>
      <w:rFonts w:ascii="宋体" w:hAnsi="Times New Roman" w:cs="Times New Roman"/>
      <w:sz w:val="28"/>
      <w:szCs w:val="20"/>
    </w:rPr>
  </w:style>
  <w:style w:type="paragraph" w:styleId="a5">
    <w:name w:val="Balloon Text"/>
    <w:basedOn w:val="a"/>
    <w:link w:val="Char0"/>
    <w:uiPriority w:val="99"/>
    <w:semiHidden/>
    <w:unhideWhenUsed/>
    <w:qFormat/>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rPr>
  </w:style>
  <w:style w:type="paragraph" w:styleId="a7">
    <w:name w:val="header"/>
    <w:basedOn w:val="a"/>
    <w:link w:val="Char2"/>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qFormat/>
    <w:rPr>
      <w:sz w:val="18"/>
      <w:szCs w:val="18"/>
    </w:rPr>
  </w:style>
  <w:style w:type="character" w:customStyle="1" w:styleId="tiao">
    <w:name w:val="tiao"/>
    <w:basedOn w:val="a0"/>
    <w:qFormat/>
  </w:style>
  <w:style w:type="paragraph" w:customStyle="1" w:styleId="rule-tiao">
    <w:name w:val="rule-tiao"/>
    <w:basedOn w:val="a"/>
    <w:qFormat/>
    <w:pPr>
      <w:widowControl/>
      <w:spacing w:before="100" w:beforeAutospacing="1" w:after="100" w:afterAutospacing="1"/>
      <w:jc w:val="left"/>
    </w:pPr>
    <w:rPr>
      <w:rFonts w:ascii="宋体" w:hAnsi="宋体" w:cs="宋体"/>
      <w:kern w:val="0"/>
      <w:sz w:val="24"/>
      <w:szCs w:val="24"/>
    </w:rPr>
  </w:style>
  <w:style w:type="paragraph" w:customStyle="1" w:styleId="rule-kuan">
    <w:name w:val="rule-kuan"/>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0"/>
    <w:link w:val="a3"/>
    <w:uiPriority w:val="99"/>
    <w:semiHidden/>
    <w:qFormat/>
    <w:rPr>
      <w:rFonts w:ascii="Arial" w:eastAsia="宋体" w:hAnsi="Arial" w:cs="Arial"/>
      <w:sz w:val="18"/>
      <w:szCs w:val="18"/>
    </w:rPr>
  </w:style>
  <w:style w:type="character" w:customStyle="1" w:styleId="Char3">
    <w:name w:val="批注主题 Char"/>
    <w:basedOn w:val="Char"/>
    <w:link w:val="a8"/>
    <w:uiPriority w:val="99"/>
    <w:semiHidden/>
    <w:qFormat/>
    <w:rPr>
      <w:rFonts w:ascii="Arial" w:eastAsia="宋体" w:hAnsi="Arial" w:cs="Arial"/>
      <w:b/>
      <w:bCs/>
      <w:sz w:val="18"/>
      <w:szCs w:val="18"/>
    </w:rPr>
  </w:style>
  <w:style w:type="character" w:customStyle="1" w:styleId="Char0">
    <w:name w:val="批注框文本 Char"/>
    <w:basedOn w:val="a0"/>
    <w:link w:val="a5"/>
    <w:uiPriority w:val="99"/>
    <w:semiHidden/>
    <w:qFormat/>
    <w:rPr>
      <w:rFonts w:ascii="Arial" w:eastAsia="宋体" w:hAnsi="Arial" w:cs="Arial"/>
      <w:sz w:val="18"/>
      <w:szCs w:val="18"/>
    </w:rPr>
  </w:style>
  <w:style w:type="paragraph" w:styleId="ab">
    <w:name w:val="Revision"/>
    <w:hidden/>
    <w:uiPriority w:val="99"/>
    <w:unhideWhenUsed/>
    <w:rsid w:val="00696DB7"/>
    <w:rPr>
      <w:rFonts w:ascii="Arial" w:eastAsia="宋体"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12</Pages>
  <Words>1430</Words>
  <Characters>8152</Characters>
  <Application>Microsoft Office Word</Application>
  <DocSecurity>0</DocSecurity>
  <Lines>67</Lines>
  <Paragraphs>19</Paragraphs>
  <ScaleCrop>false</ScaleCrop>
  <Company>微软中国</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116</cp:revision>
  <dcterms:created xsi:type="dcterms:W3CDTF">2019-03-01T18:19:00Z</dcterms:created>
  <dcterms:modified xsi:type="dcterms:W3CDTF">2024-04-26T07:41:00Z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C02BE90823862E24003D8065B1DC55D4_42</vt:lpwstr>
  </property>
</Properties>
</file>