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FF4" w:rsidRPr="003F218D" w:rsidRDefault="00D52FF4" w:rsidP="00D52FF4">
      <w:pPr>
        <w:snapToGrid w:val="0"/>
        <w:spacing w:line="372" w:lineRule="auto"/>
        <w:rPr>
          <w:rFonts w:asciiTheme="minorEastAsia" w:eastAsiaTheme="minorEastAsia" w:hAnsiTheme="minorEastAsia"/>
          <w:sz w:val="24"/>
          <w:szCs w:val="24"/>
        </w:rPr>
      </w:pPr>
      <w:r w:rsidRPr="003F218D">
        <w:rPr>
          <w:rFonts w:asciiTheme="minorEastAsia" w:eastAsiaTheme="minorEastAsia" w:hAnsiTheme="minorEastAsia" w:hint="eastAsia"/>
          <w:sz w:val="24"/>
          <w:szCs w:val="24"/>
        </w:rPr>
        <w:t>证券代码：000936          证券简称：华西股份        公告编号：2024-006</w:t>
      </w:r>
    </w:p>
    <w:p w:rsidR="00D52FF4" w:rsidRDefault="00D52FF4">
      <w:pPr>
        <w:snapToGrid w:val="0"/>
        <w:spacing w:line="360" w:lineRule="auto"/>
        <w:jc w:val="center"/>
        <w:rPr>
          <w:rFonts w:ascii="黑体" w:eastAsia="黑体" w:hAnsi="宋体"/>
          <w:b/>
          <w:sz w:val="30"/>
          <w:szCs w:val="30"/>
        </w:rPr>
      </w:pPr>
    </w:p>
    <w:p w:rsidR="00B041EC" w:rsidRPr="00CF09F8" w:rsidRDefault="002D04A5" w:rsidP="00D52FF4">
      <w:pPr>
        <w:adjustRightInd w:val="0"/>
        <w:snapToGrid w:val="0"/>
        <w:spacing w:line="360" w:lineRule="auto"/>
        <w:jc w:val="center"/>
        <w:rPr>
          <w:rFonts w:ascii="黑体" w:eastAsia="黑体" w:hAnsi="宋体"/>
          <w:b/>
          <w:sz w:val="30"/>
          <w:szCs w:val="30"/>
        </w:rPr>
      </w:pPr>
      <w:r w:rsidRPr="00CF09F8">
        <w:rPr>
          <w:rFonts w:ascii="黑体" w:eastAsia="黑体" w:hAnsi="宋体" w:hint="eastAsia"/>
          <w:b/>
          <w:sz w:val="30"/>
          <w:szCs w:val="30"/>
        </w:rPr>
        <w:t>江苏华西村股份有限公司</w:t>
      </w:r>
    </w:p>
    <w:p w:rsidR="00B041EC" w:rsidRPr="00CF09F8" w:rsidRDefault="002D04A5" w:rsidP="00D52FF4">
      <w:pPr>
        <w:adjustRightInd w:val="0"/>
        <w:snapToGrid w:val="0"/>
        <w:spacing w:line="360" w:lineRule="auto"/>
        <w:jc w:val="center"/>
        <w:rPr>
          <w:rFonts w:ascii="黑体" w:eastAsia="黑体" w:hAnsi="宋体"/>
          <w:b/>
          <w:sz w:val="30"/>
          <w:szCs w:val="30"/>
        </w:rPr>
      </w:pPr>
      <w:r w:rsidRPr="00CF09F8">
        <w:rPr>
          <w:rFonts w:ascii="黑体" w:eastAsia="黑体" w:hAnsi="宋体" w:hint="eastAsia"/>
          <w:b/>
          <w:sz w:val="30"/>
          <w:szCs w:val="30"/>
        </w:rPr>
        <w:t>202</w:t>
      </w:r>
      <w:r w:rsidR="00321BA0">
        <w:rPr>
          <w:rFonts w:ascii="黑体" w:eastAsia="黑体" w:hAnsi="宋体" w:hint="eastAsia"/>
          <w:b/>
          <w:sz w:val="30"/>
          <w:szCs w:val="30"/>
        </w:rPr>
        <w:t>3</w:t>
      </w:r>
      <w:r w:rsidRPr="00CF09F8">
        <w:rPr>
          <w:rFonts w:ascii="黑体" w:eastAsia="黑体" w:hAnsi="宋体" w:hint="eastAsia"/>
          <w:b/>
          <w:sz w:val="30"/>
          <w:szCs w:val="30"/>
        </w:rPr>
        <w:t>年度财务决算报告</w:t>
      </w:r>
    </w:p>
    <w:p w:rsidR="00D52FF4" w:rsidRDefault="00D52FF4" w:rsidP="00D52FF4">
      <w:pPr>
        <w:adjustRightInd w:val="0"/>
        <w:snapToGrid w:val="0"/>
        <w:spacing w:line="372" w:lineRule="auto"/>
        <w:ind w:firstLineChars="200" w:firstLine="480"/>
        <w:rPr>
          <w:rFonts w:asciiTheme="minorEastAsia" w:eastAsiaTheme="minorEastAsia" w:hAnsiTheme="minorEastAsia"/>
          <w:color w:val="000000"/>
          <w:kern w:val="0"/>
          <w:sz w:val="24"/>
          <w:szCs w:val="24"/>
        </w:rPr>
      </w:pPr>
    </w:p>
    <w:p w:rsidR="00D52FF4" w:rsidRDefault="00D52FF4" w:rsidP="00D52FF4">
      <w:pPr>
        <w:adjustRightInd w:val="0"/>
        <w:snapToGrid w:val="0"/>
        <w:spacing w:line="372" w:lineRule="auto"/>
        <w:ind w:firstLineChars="200" w:firstLine="480"/>
        <w:rPr>
          <w:rFonts w:asciiTheme="minorEastAsia" w:eastAsiaTheme="minorEastAsia" w:hAnsiTheme="minorEastAsia"/>
          <w:color w:val="000000"/>
          <w:kern w:val="0"/>
          <w:sz w:val="24"/>
          <w:szCs w:val="24"/>
        </w:rPr>
      </w:pPr>
      <w:r>
        <w:rPr>
          <w:rFonts w:asciiTheme="minorEastAsia" w:eastAsiaTheme="minorEastAsia" w:hAnsiTheme="minorEastAsia"/>
          <w:color w:val="000000"/>
          <w:kern w:val="0"/>
          <w:sz w:val="24"/>
          <w:szCs w:val="24"/>
        </w:rPr>
        <w:t>本公司及董事会全体成员保证信息披露内容的真实、准确和完整，没有虚假记载、误导性陈述或重大遗漏。</w:t>
      </w:r>
    </w:p>
    <w:p w:rsidR="00D52FF4" w:rsidRDefault="00D52FF4" w:rsidP="00D52FF4">
      <w:pPr>
        <w:adjustRightInd w:val="0"/>
        <w:snapToGrid w:val="0"/>
        <w:spacing w:line="360" w:lineRule="auto"/>
        <w:ind w:firstLineChars="200" w:firstLine="480"/>
        <w:rPr>
          <w:rFonts w:ascii="宋体" w:hAnsi="宋体"/>
          <w:sz w:val="24"/>
          <w:szCs w:val="24"/>
        </w:rPr>
      </w:pPr>
    </w:p>
    <w:p w:rsidR="00B041EC" w:rsidRDefault="002C0A0E">
      <w:pPr>
        <w:snapToGrid w:val="0"/>
        <w:spacing w:line="360" w:lineRule="auto"/>
        <w:ind w:firstLineChars="200" w:firstLine="480"/>
        <w:rPr>
          <w:rFonts w:ascii="宋体" w:hAnsi="宋体"/>
          <w:sz w:val="24"/>
          <w:szCs w:val="24"/>
        </w:rPr>
      </w:pPr>
      <w:r>
        <w:rPr>
          <w:rFonts w:ascii="宋体" w:hAnsi="宋体" w:hint="eastAsia"/>
          <w:sz w:val="24"/>
          <w:szCs w:val="24"/>
        </w:rPr>
        <w:t>江苏华西村股份有限</w:t>
      </w:r>
      <w:r w:rsidR="002D04A5">
        <w:rPr>
          <w:rFonts w:ascii="宋体" w:hAnsi="宋体" w:hint="eastAsia"/>
          <w:sz w:val="24"/>
          <w:szCs w:val="24"/>
        </w:rPr>
        <w:t>公司</w:t>
      </w:r>
      <w:r>
        <w:rPr>
          <w:rFonts w:ascii="宋体" w:hAnsi="宋体" w:hint="eastAsia"/>
          <w:sz w:val="24"/>
          <w:szCs w:val="24"/>
        </w:rPr>
        <w:t>（以下简称“公司”）</w:t>
      </w:r>
      <w:r w:rsidR="00321BA0">
        <w:rPr>
          <w:rFonts w:ascii="宋体" w:hAnsi="宋体" w:hint="eastAsia"/>
          <w:sz w:val="24"/>
          <w:szCs w:val="24"/>
        </w:rPr>
        <w:t>2023年</w:t>
      </w:r>
      <w:r w:rsidR="002D04A5">
        <w:rPr>
          <w:rFonts w:ascii="宋体" w:hAnsi="宋体" w:hint="eastAsia"/>
          <w:sz w:val="24"/>
          <w:szCs w:val="24"/>
        </w:rPr>
        <w:t>度财务报告的编制基础是以持续经营假设为基础，根据实际发生的交易和事项，按照财政部颁布的《企业会计准则-基本准则》和具体会计准则、其后颁布的应用指南、解释以及其他相关规定编制。公司编制的</w:t>
      </w:r>
      <w:r w:rsidR="00321BA0">
        <w:rPr>
          <w:rFonts w:ascii="宋体" w:hAnsi="宋体" w:hint="eastAsia"/>
          <w:sz w:val="24"/>
          <w:szCs w:val="24"/>
        </w:rPr>
        <w:t>2023年</w:t>
      </w:r>
      <w:r w:rsidR="002D04A5">
        <w:rPr>
          <w:rFonts w:ascii="宋体" w:hAnsi="宋体" w:hint="eastAsia"/>
          <w:sz w:val="24"/>
          <w:szCs w:val="24"/>
        </w:rPr>
        <w:t>12月31日的合并及母公司资产负债表、</w:t>
      </w:r>
      <w:r w:rsidR="00321BA0">
        <w:rPr>
          <w:rFonts w:ascii="宋体" w:hAnsi="宋体" w:hint="eastAsia"/>
          <w:sz w:val="24"/>
          <w:szCs w:val="24"/>
        </w:rPr>
        <w:t>2023年</w:t>
      </w:r>
      <w:r w:rsidR="000E68D7">
        <w:rPr>
          <w:rFonts w:ascii="宋体" w:hAnsi="宋体" w:hint="eastAsia"/>
          <w:sz w:val="24"/>
          <w:szCs w:val="24"/>
        </w:rPr>
        <w:t>度的合并及母公司利润表、</w:t>
      </w:r>
      <w:r w:rsidR="00CC3C8C">
        <w:rPr>
          <w:rFonts w:ascii="宋体" w:hAnsi="宋体" w:hint="eastAsia"/>
          <w:sz w:val="24"/>
          <w:szCs w:val="24"/>
        </w:rPr>
        <w:t>合并及母公司现金流量表、</w:t>
      </w:r>
      <w:r w:rsidR="000E68D7">
        <w:rPr>
          <w:rFonts w:ascii="宋体" w:hAnsi="宋体" w:hint="eastAsia"/>
          <w:sz w:val="24"/>
          <w:szCs w:val="24"/>
        </w:rPr>
        <w:t>合并及母公司</w:t>
      </w:r>
      <w:r w:rsidR="00CC3C8C">
        <w:rPr>
          <w:rFonts w:ascii="宋体" w:hAnsi="宋体" w:hint="eastAsia"/>
          <w:sz w:val="24"/>
          <w:szCs w:val="24"/>
        </w:rPr>
        <w:t>股东</w:t>
      </w:r>
      <w:r w:rsidR="000E68D7">
        <w:rPr>
          <w:rFonts w:ascii="宋体" w:hAnsi="宋体" w:hint="eastAsia"/>
          <w:sz w:val="24"/>
          <w:szCs w:val="24"/>
        </w:rPr>
        <w:t>权益变动表</w:t>
      </w:r>
      <w:r w:rsidR="002D04A5">
        <w:rPr>
          <w:rFonts w:ascii="宋体" w:hAnsi="宋体" w:hint="eastAsia"/>
          <w:sz w:val="24"/>
          <w:szCs w:val="24"/>
        </w:rPr>
        <w:t>以及财务报表附注，已经</w:t>
      </w:r>
      <w:r w:rsidR="00724DDB">
        <w:rPr>
          <w:rFonts w:ascii="宋体" w:hAnsi="宋体" w:hint="eastAsia"/>
          <w:sz w:val="24"/>
          <w:szCs w:val="24"/>
        </w:rPr>
        <w:t>中兴华</w:t>
      </w:r>
      <w:r w:rsidR="002D04A5">
        <w:rPr>
          <w:rFonts w:ascii="宋体" w:hAnsi="宋体" w:hint="eastAsia"/>
          <w:sz w:val="24"/>
          <w:szCs w:val="24"/>
        </w:rPr>
        <w:t>会计师事务所（特殊普通合伙）审计，出具了标准无保留意见审计报告，认为上述财务报表在所有重大方面公允地反映了公司</w:t>
      </w:r>
      <w:r w:rsidR="00321BA0">
        <w:rPr>
          <w:rFonts w:ascii="宋体" w:hAnsi="宋体" w:hint="eastAsia"/>
          <w:sz w:val="24"/>
          <w:szCs w:val="24"/>
        </w:rPr>
        <w:t>2023年</w:t>
      </w:r>
      <w:r w:rsidR="002D04A5">
        <w:rPr>
          <w:rFonts w:ascii="宋体" w:hAnsi="宋体" w:hint="eastAsia"/>
          <w:sz w:val="24"/>
          <w:szCs w:val="24"/>
        </w:rPr>
        <w:t>12月31日的财务状况及</w:t>
      </w:r>
      <w:r w:rsidR="00321BA0">
        <w:rPr>
          <w:rFonts w:ascii="宋体" w:hAnsi="宋体" w:hint="eastAsia"/>
          <w:sz w:val="24"/>
          <w:szCs w:val="24"/>
        </w:rPr>
        <w:t>2023年</w:t>
      </w:r>
      <w:r w:rsidR="002D04A5">
        <w:rPr>
          <w:rFonts w:ascii="宋体" w:hAnsi="宋体" w:hint="eastAsia"/>
          <w:sz w:val="24"/>
          <w:szCs w:val="24"/>
        </w:rPr>
        <w:t>度的经营成果和现金流量情况。</w:t>
      </w:r>
    </w:p>
    <w:p w:rsidR="00B041EC" w:rsidRDefault="00665620">
      <w:pPr>
        <w:snapToGrid w:val="0"/>
        <w:spacing w:line="360" w:lineRule="auto"/>
        <w:ind w:firstLineChars="200" w:firstLine="480"/>
        <w:rPr>
          <w:rFonts w:ascii="宋体" w:hAnsi="宋体"/>
          <w:sz w:val="24"/>
          <w:szCs w:val="24"/>
        </w:rPr>
      </w:pPr>
      <w:r>
        <w:rPr>
          <w:rFonts w:ascii="宋体" w:hAnsi="宋体" w:hint="eastAsia"/>
          <w:sz w:val="24"/>
          <w:szCs w:val="24"/>
        </w:rPr>
        <w:t>按照《企业内部控制基本规范》</w:t>
      </w:r>
      <w:r w:rsidR="002D04A5">
        <w:rPr>
          <w:rFonts w:ascii="宋体" w:hAnsi="宋体" w:hint="eastAsia"/>
          <w:sz w:val="24"/>
          <w:szCs w:val="24"/>
        </w:rPr>
        <w:t xml:space="preserve">《企业内部控制应用指引》以及《企业内部控制评价指引》的要求, </w:t>
      </w:r>
      <w:r w:rsidR="00642FAB">
        <w:rPr>
          <w:rFonts w:ascii="宋体" w:hAnsi="宋体" w:hint="eastAsia"/>
          <w:sz w:val="24"/>
          <w:szCs w:val="24"/>
        </w:rPr>
        <w:t>中兴华</w:t>
      </w:r>
      <w:r w:rsidR="002D04A5">
        <w:rPr>
          <w:rFonts w:ascii="宋体" w:hAnsi="宋体" w:hint="eastAsia"/>
          <w:sz w:val="24"/>
          <w:szCs w:val="24"/>
        </w:rPr>
        <w:t>会计师事务所（特殊普通合伙）对公司</w:t>
      </w:r>
      <w:r w:rsidR="00B12490">
        <w:rPr>
          <w:rFonts w:ascii="宋体" w:hAnsi="宋体" w:hint="eastAsia"/>
          <w:sz w:val="24"/>
          <w:szCs w:val="24"/>
        </w:rPr>
        <w:t xml:space="preserve"> 202</w:t>
      </w:r>
      <w:r w:rsidR="00321BA0">
        <w:rPr>
          <w:rFonts w:ascii="宋体" w:hAnsi="宋体" w:hint="eastAsia"/>
          <w:sz w:val="24"/>
          <w:szCs w:val="24"/>
        </w:rPr>
        <w:t>3</w:t>
      </w:r>
      <w:r w:rsidR="002D04A5">
        <w:rPr>
          <w:rFonts w:ascii="宋体" w:hAnsi="宋体" w:hint="eastAsia"/>
          <w:sz w:val="24"/>
          <w:szCs w:val="24"/>
        </w:rPr>
        <w:t>年</w:t>
      </w:r>
      <w:r w:rsidR="00321BA0">
        <w:rPr>
          <w:rFonts w:ascii="宋体" w:hAnsi="宋体" w:hint="eastAsia"/>
          <w:sz w:val="24"/>
          <w:szCs w:val="24"/>
        </w:rPr>
        <w:t>12</w:t>
      </w:r>
      <w:r w:rsidR="002D04A5">
        <w:rPr>
          <w:rFonts w:ascii="宋体" w:hAnsi="宋体" w:hint="eastAsia"/>
          <w:sz w:val="24"/>
          <w:szCs w:val="24"/>
        </w:rPr>
        <w:t>月</w:t>
      </w:r>
      <w:r w:rsidR="00321BA0">
        <w:rPr>
          <w:rFonts w:ascii="宋体" w:hAnsi="宋体" w:hint="eastAsia"/>
          <w:sz w:val="24"/>
          <w:szCs w:val="24"/>
        </w:rPr>
        <w:t>31</w:t>
      </w:r>
      <w:r w:rsidR="002D04A5">
        <w:rPr>
          <w:rFonts w:ascii="宋体" w:hAnsi="宋体" w:hint="eastAsia"/>
          <w:sz w:val="24"/>
          <w:szCs w:val="24"/>
        </w:rPr>
        <w:t>日的财务报告内部控制的有效性进行了审计，认为公司已按照《企业内部控制基本规范》和相关规定在所有重大方面保持了有效的财务报告内部控制。</w:t>
      </w:r>
    </w:p>
    <w:p w:rsidR="00B041EC" w:rsidRDefault="00B041EC">
      <w:pPr>
        <w:snapToGrid w:val="0"/>
        <w:spacing w:line="360" w:lineRule="auto"/>
        <w:ind w:firstLineChars="200" w:firstLine="480"/>
        <w:rPr>
          <w:rFonts w:ascii="宋体" w:hAnsi="宋体"/>
          <w:sz w:val="24"/>
          <w:szCs w:val="24"/>
        </w:rPr>
      </w:pPr>
    </w:p>
    <w:p w:rsidR="00B041EC" w:rsidRPr="00A83795" w:rsidRDefault="002D04A5" w:rsidP="00A83795">
      <w:pPr>
        <w:snapToGrid w:val="0"/>
        <w:spacing w:line="360" w:lineRule="auto"/>
        <w:jc w:val="left"/>
        <w:rPr>
          <w:rFonts w:ascii="宋体" w:hAnsi="宋体"/>
          <w:b/>
          <w:sz w:val="24"/>
          <w:szCs w:val="24"/>
        </w:rPr>
      </w:pPr>
      <w:r w:rsidRPr="00A83795">
        <w:rPr>
          <w:rFonts w:ascii="宋体" w:hAnsi="宋体" w:hint="eastAsia"/>
          <w:b/>
          <w:sz w:val="24"/>
          <w:szCs w:val="24"/>
        </w:rPr>
        <w:t>一、盈利能力情况</w:t>
      </w:r>
    </w:p>
    <w:p w:rsidR="00EF1F69" w:rsidRDefault="00321BA0" w:rsidP="00D52FF4">
      <w:pPr>
        <w:snapToGrid w:val="0"/>
        <w:spacing w:line="360" w:lineRule="auto"/>
        <w:ind w:firstLineChars="200" w:firstLine="480"/>
        <w:rPr>
          <w:rFonts w:ascii="宋体" w:hAnsi="宋体"/>
          <w:sz w:val="24"/>
          <w:szCs w:val="24"/>
        </w:rPr>
      </w:pPr>
      <w:r w:rsidRPr="00AE08A6">
        <w:rPr>
          <w:rFonts w:ascii="宋体" w:hAnsi="宋体"/>
          <w:sz w:val="24"/>
          <w:szCs w:val="24"/>
        </w:rPr>
        <w:t>2023年</w:t>
      </w:r>
      <w:r w:rsidR="002D04A5" w:rsidRPr="00AE08A6">
        <w:rPr>
          <w:rFonts w:ascii="宋体" w:hAnsi="宋体"/>
          <w:sz w:val="24"/>
          <w:szCs w:val="24"/>
        </w:rPr>
        <w:t>度</w:t>
      </w:r>
      <w:r w:rsidR="002D04A5" w:rsidRPr="00AE08A6">
        <w:rPr>
          <w:rFonts w:ascii="宋体" w:hAnsi="宋体" w:hint="eastAsia"/>
          <w:sz w:val="24"/>
          <w:szCs w:val="24"/>
        </w:rPr>
        <w:t>公司共实现营业收入2</w:t>
      </w:r>
      <w:r w:rsidR="00130BCA" w:rsidRPr="00AE08A6">
        <w:rPr>
          <w:rFonts w:ascii="宋体" w:hAnsi="宋体" w:hint="eastAsia"/>
          <w:sz w:val="24"/>
          <w:szCs w:val="24"/>
        </w:rPr>
        <w:t>85</w:t>
      </w:r>
      <w:r w:rsidR="002D04A5" w:rsidRPr="00AE08A6">
        <w:rPr>
          <w:rFonts w:ascii="宋体" w:hAnsi="宋体"/>
          <w:sz w:val="24"/>
          <w:szCs w:val="24"/>
        </w:rPr>
        <w:t>,</w:t>
      </w:r>
      <w:r w:rsidR="00130BCA" w:rsidRPr="00AE08A6">
        <w:rPr>
          <w:rFonts w:ascii="宋体" w:hAnsi="宋体" w:hint="eastAsia"/>
          <w:sz w:val="24"/>
          <w:szCs w:val="24"/>
        </w:rPr>
        <w:t>814</w:t>
      </w:r>
      <w:r w:rsidR="002D04A5" w:rsidRPr="00AE08A6">
        <w:rPr>
          <w:rFonts w:ascii="宋体" w:hAnsi="宋体"/>
          <w:sz w:val="24"/>
          <w:szCs w:val="24"/>
        </w:rPr>
        <w:t>.</w:t>
      </w:r>
      <w:r w:rsidR="00130BCA" w:rsidRPr="00AE08A6">
        <w:rPr>
          <w:rFonts w:ascii="宋体" w:hAnsi="宋体" w:hint="eastAsia"/>
          <w:sz w:val="24"/>
          <w:szCs w:val="24"/>
        </w:rPr>
        <w:t>67万元，较上年度减少</w:t>
      </w:r>
      <w:r w:rsidR="002D04A5" w:rsidRPr="00AE08A6">
        <w:rPr>
          <w:rFonts w:ascii="宋体" w:hAnsi="宋体" w:hint="eastAsia"/>
          <w:sz w:val="24"/>
          <w:szCs w:val="24"/>
        </w:rPr>
        <w:t>了2</w:t>
      </w:r>
      <w:r w:rsidR="002D04A5" w:rsidRPr="00AE08A6">
        <w:rPr>
          <w:rFonts w:ascii="宋体" w:hAnsi="宋体"/>
          <w:sz w:val="24"/>
          <w:szCs w:val="24"/>
        </w:rPr>
        <w:t>.</w:t>
      </w:r>
      <w:r w:rsidR="00130BCA" w:rsidRPr="00AE08A6">
        <w:rPr>
          <w:rFonts w:ascii="宋体" w:hAnsi="宋体" w:hint="eastAsia"/>
          <w:sz w:val="24"/>
          <w:szCs w:val="24"/>
        </w:rPr>
        <w:t>3</w:t>
      </w:r>
      <w:r w:rsidR="005A6F3C" w:rsidRPr="00AE08A6">
        <w:rPr>
          <w:rFonts w:ascii="宋体" w:hAnsi="宋体" w:hint="eastAsia"/>
          <w:sz w:val="24"/>
          <w:szCs w:val="24"/>
        </w:rPr>
        <w:t>7</w:t>
      </w:r>
      <w:r w:rsidR="002D04A5" w:rsidRPr="00AE08A6">
        <w:rPr>
          <w:rFonts w:ascii="宋体" w:hAnsi="宋体"/>
          <w:sz w:val="24"/>
          <w:szCs w:val="24"/>
        </w:rPr>
        <w:t>%</w:t>
      </w:r>
      <w:r w:rsidR="002D04A5" w:rsidRPr="00AE08A6">
        <w:rPr>
          <w:rFonts w:ascii="宋体" w:hAnsi="宋体" w:hint="eastAsia"/>
          <w:sz w:val="24"/>
          <w:szCs w:val="24"/>
        </w:rPr>
        <w:t>；实现营业利润</w:t>
      </w:r>
      <w:r w:rsidR="00AE08A6" w:rsidRPr="00AE08A6">
        <w:rPr>
          <w:rFonts w:ascii="宋体" w:hAnsi="宋体" w:hint="eastAsia"/>
          <w:sz w:val="24"/>
          <w:szCs w:val="24"/>
        </w:rPr>
        <w:t>7</w:t>
      </w:r>
      <w:r w:rsidR="002D04A5" w:rsidRPr="00AE08A6">
        <w:rPr>
          <w:rFonts w:ascii="宋体" w:hAnsi="宋体"/>
          <w:sz w:val="24"/>
          <w:szCs w:val="24"/>
        </w:rPr>
        <w:t>,</w:t>
      </w:r>
      <w:r w:rsidR="002D04A5" w:rsidRPr="00AE08A6">
        <w:rPr>
          <w:rFonts w:ascii="宋体" w:hAnsi="宋体" w:hint="eastAsia"/>
          <w:sz w:val="24"/>
          <w:szCs w:val="24"/>
        </w:rPr>
        <w:t>9</w:t>
      </w:r>
      <w:r w:rsidR="00AE08A6" w:rsidRPr="00AE08A6">
        <w:rPr>
          <w:rFonts w:ascii="宋体" w:hAnsi="宋体" w:hint="eastAsia"/>
          <w:sz w:val="24"/>
          <w:szCs w:val="24"/>
        </w:rPr>
        <w:t>39</w:t>
      </w:r>
      <w:r w:rsidR="002D04A5" w:rsidRPr="00AE08A6">
        <w:rPr>
          <w:rFonts w:ascii="宋体" w:hAnsi="宋体"/>
          <w:sz w:val="24"/>
          <w:szCs w:val="24"/>
        </w:rPr>
        <w:t>.</w:t>
      </w:r>
      <w:r w:rsidR="005A6F3C" w:rsidRPr="00AE08A6">
        <w:rPr>
          <w:rFonts w:ascii="宋体" w:hAnsi="宋体" w:hint="eastAsia"/>
          <w:sz w:val="24"/>
          <w:szCs w:val="24"/>
        </w:rPr>
        <w:t>0</w:t>
      </w:r>
      <w:r w:rsidR="00AE08A6" w:rsidRPr="00AE08A6">
        <w:rPr>
          <w:rFonts w:ascii="宋体" w:hAnsi="宋体" w:hint="eastAsia"/>
          <w:sz w:val="24"/>
          <w:szCs w:val="24"/>
        </w:rPr>
        <w:t>0</w:t>
      </w:r>
      <w:r w:rsidR="005A6F3C" w:rsidRPr="00AE08A6">
        <w:rPr>
          <w:rFonts w:ascii="宋体" w:hAnsi="宋体" w:hint="eastAsia"/>
          <w:sz w:val="24"/>
          <w:szCs w:val="24"/>
        </w:rPr>
        <w:t>万元，较上年度减少</w:t>
      </w:r>
      <w:r w:rsidR="002D04A5" w:rsidRPr="00AE08A6">
        <w:rPr>
          <w:rFonts w:ascii="宋体" w:hAnsi="宋体" w:hint="eastAsia"/>
          <w:sz w:val="24"/>
          <w:szCs w:val="24"/>
        </w:rPr>
        <w:t>了</w:t>
      </w:r>
      <w:r w:rsidR="00AE08A6" w:rsidRPr="00AE08A6">
        <w:rPr>
          <w:rFonts w:ascii="宋体" w:hAnsi="宋体" w:hint="eastAsia"/>
          <w:sz w:val="24"/>
          <w:szCs w:val="24"/>
        </w:rPr>
        <w:t>66</w:t>
      </w:r>
      <w:r w:rsidR="002D04A5" w:rsidRPr="00AE08A6">
        <w:rPr>
          <w:rFonts w:ascii="宋体" w:hAnsi="宋体" w:hint="eastAsia"/>
          <w:sz w:val="24"/>
          <w:szCs w:val="24"/>
        </w:rPr>
        <w:t>.</w:t>
      </w:r>
      <w:r w:rsidR="00AE08A6" w:rsidRPr="00AE08A6">
        <w:rPr>
          <w:rFonts w:ascii="宋体" w:hAnsi="宋体" w:hint="eastAsia"/>
          <w:sz w:val="24"/>
          <w:szCs w:val="24"/>
        </w:rPr>
        <w:t>51</w:t>
      </w:r>
      <w:r w:rsidR="002D04A5" w:rsidRPr="00AE08A6">
        <w:rPr>
          <w:rFonts w:ascii="宋体" w:hAnsi="宋体"/>
          <w:sz w:val="24"/>
          <w:szCs w:val="24"/>
        </w:rPr>
        <w:t>%</w:t>
      </w:r>
      <w:r w:rsidR="002D04A5" w:rsidRPr="00AE08A6">
        <w:rPr>
          <w:rFonts w:ascii="宋体" w:hAnsi="宋体" w:hint="eastAsia"/>
          <w:sz w:val="24"/>
          <w:szCs w:val="24"/>
        </w:rPr>
        <w:t>；实现归属于母公司</w:t>
      </w:r>
      <w:r w:rsidR="0021535F">
        <w:rPr>
          <w:rFonts w:ascii="宋体" w:hAnsi="宋体" w:hint="eastAsia"/>
          <w:sz w:val="24"/>
          <w:szCs w:val="24"/>
        </w:rPr>
        <w:t>股东</w:t>
      </w:r>
      <w:r w:rsidR="00D87942">
        <w:rPr>
          <w:rFonts w:ascii="宋体" w:hAnsi="宋体" w:hint="eastAsia"/>
          <w:sz w:val="24"/>
          <w:szCs w:val="24"/>
        </w:rPr>
        <w:t>的</w:t>
      </w:r>
      <w:bookmarkStart w:id="0" w:name="_GoBack"/>
      <w:bookmarkEnd w:id="0"/>
      <w:r w:rsidR="002D04A5" w:rsidRPr="00AE08A6">
        <w:rPr>
          <w:rFonts w:ascii="宋体" w:hAnsi="宋体" w:hint="eastAsia"/>
          <w:sz w:val="24"/>
          <w:szCs w:val="24"/>
        </w:rPr>
        <w:t>净利润</w:t>
      </w:r>
      <w:r w:rsidR="00AE08A6" w:rsidRPr="00AE08A6">
        <w:rPr>
          <w:rFonts w:ascii="宋体" w:hAnsi="宋体" w:hint="eastAsia"/>
          <w:sz w:val="24"/>
          <w:szCs w:val="24"/>
        </w:rPr>
        <w:t>7</w:t>
      </w:r>
      <w:r w:rsidR="002D04A5" w:rsidRPr="00AE08A6">
        <w:rPr>
          <w:rFonts w:ascii="宋体" w:hAnsi="宋体"/>
          <w:sz w:val="24"/>
          <w:szCs w:val="24"/>
        </w:rPr>
        <w:t>,</w:t>
      </w:r>
      <w:r w:rsidR="00AE08A6" w:rsidRPr="00AE08A6">
        <w:rPr>
          <w:rFonts w:ascii="宋体" w:hAnsi="宋体" w:hint="eastAsia"/>
          <w:sz w:val="24"/>
          <w:szCs w:val="24"/>
        </w:rPr>
        <w:t>239</w:t>
      </w:r>
      <w:r w:rsidR="002D04A5" w:rsidRPr="00AE08A6">
        <w:rPr>
          <w:rFonts w:ascii="宋体" w:hAnsi="宋体" w:hint="eastAsia"/>
          <w:sz w:val="24"/>
          <w:szCs w:val="24"/>
        </w:rPr>
        <w:t>.</w:t>
      </w:r>
      <w:r w:rsidR="00AE08A6" w:rsidRPr="00AE08A6">
        <w:rPr>
          <w:rFonts w:ascii="宋体" w:hAnsi="宋体" w:hint="eastAsia"/>
          <w:sz w:val="24"/>
          <w:szCs w:val="24"/>
        </w:rPr>
        <w:t>31</w:t>
      </w:r>
      <w:r w:rsidR="005A6F3C" w:rsidRPr="00AE08A6">
        <w:rPr>
          <w:rFonts w:ascii="宋体" w:hAnsi="宋体" w:hint="eastAsia"/>
          <w:sz w:val="24"/>
          <w:szCs w:val="24"/>
        </w:rPr>
        <w:t>万元，较上年度减少</w:t>
      </w:r>
      <w:r w:rsidR="002D04A5" w:rsidRPr="00AE08A6">
        <w:rPr>
          <w:rFonts w:ascii="宋体" w:hAnsi="宋体" w:hint="eastAsia"/>
          <w:sz w:val="24"/>
          <w:szCs w:val="24"/>
        </w:rPr>
        <w:t>了</w:t>
      </w:r>
      <w:r w:rsidR="00AE08A6" w:rsidRPr="00AE08A6">
        <w:rPr>
          <w:rFonts w:ascii="宋体" w:hAnsi="宋体" w:hint="eastAsia"/>
          <w:sz w:val="24"/>
          <w:szCs w:val="24"/>
        </w:rPr>
        <w:t>63</w:t>
      </w:r>
      <w:r w:rsidR="002D04A5" w:rsidRPr="00AE08A6">
        <w:rPr>
          <w:rFonts w:ascii="宋体" w:hAnsi="宋体"/>
          <w:sz w:val="24"/>
          <w:szCs w:val="24"/>
        </w:rPr>
        <w:t>.</w:t>
      </w:r>
      <w:r w:rsidR="00AE08A6" w:rsidRPr="00AE08A6">
        <w:rPr>
          <w:rFonts w:ascii="宋体" w:hAnsi="宋体" w:hint="eastAsia"/>
          <w:sz w:val="24"/>
          <w:szCs w:val="24"/>
        </w:rPr>
        <w:t>22</w:t>
      </w:r>
      <w:r w:rsidR="002D04A5" w:rsidRPr="00AE08A6">
        <w:rPr>
          <w:rFonts w:ascii="宋体" w:hAnsi="宋体"/>
          <w:sz w:val="24"/>
          <w:szCs w:val="24"/>
        </w:rPr>
        <w:t>%</w:t>
      </w:r>
      <w:r w:rsidR="002D04A5" w:rsidRPr="00AE08A6">
        <w:rPr>
          <w:rFonts w:ascii="宋体" w:hAnsi="宋体" w:hint="eastAsia"/>
          <w:sz w:val="24"/>
          <w:szCs w:val="24"/>
        </w:rPr>
        <w:t>；</w:t>
      </w:r>
      <w:r w:rsidR="00C17A38" w:rsidRPr="00AE08A6">
        <w:rPr>
          <w:rFonts w:ascii="宋体" w:hAnsi="宋体" w:hint="eastAsia"/>
          <w:sz w:val="24"/>
          <w:szCs w:val="24"/>
        </w:rPr>
        <w:t>经营活动产生的现金流量净额为</w:t>
      </w:r>
      <w:r w:rsidR="00256C39" w:rsidRPr="00AE08A6">
        <w:rPr>
          <w:rFonts w:ascii="宋体" w:hAnsi="宋体" w:hint="eastAsia"/>
          <w:sz w:val="24"/>
          <w:szCs w:val="24"/>
        </w:rPr>
        <w:t>-7</w:t>
      </w:r>
      <w:r w:rsidR="00C17A38" w:rsidRPr="00AE08A6">
        <w:rPr>
          <w:rFonts w:ascii="宋体" w:hAnsi="宋体" w:hint="eastAsia"/>
          <w:sz w:val="24"/>
          <w:szCs w:val="24"/>
        </w:rPr>
        <w:t>,</w:t>
      </w:r>
      <w:r w:rsidR="00256C39" w:rsidRPr="00AE08A6">
        <w:rPr>
          <w:rFonts w:ascii="宋体" w:hAnsi="宋体" w:hint="eastAsia"/>
          <w:sz w:val="24"/>
          <w:szCs w:val="24"/>
        </w:rPr>
        <w:t>138</w:t>
      </w:r>
      <w:r w:rsidR="00C17A38" w:rsidRPr="00AE08A6">
        <w:rPr>
          <w:rFonts w:ascii="宋体" w:hAnsi="宋体" w:hint="eastAsia"/>
          <w:sz w:val="24"/>
          <w:szCs w:val="24"/>
        </w:rPr>
        <w:t>.</w:t>
      </w:r>
      <w:r w:rsidR="00256C39" w:rsidRPr="00AE08A6">
        <w:rPr>
          <w:rFonts w:ascii="宋体" w:hAnsi="宋体" w:hint="eastAsia"/>
          <w:sz w:val="24"/>
          <w:szCs w:val="24"/>
        </w:rPr>
        <w:t>03万元，较上年度减少</w:t>
      </w:r>
      <w:r w:rsidR="00C17A38" w:rsidRPr="00AE08A6">
        <w:rPr>
          <w:rFonts w:ascii="宋体" w:hAnsi="宋体" w:hint="eastAsia"/>
          <w:sz w:val="24"/>
          <w:szCs w:val="24"/>
        </w:rPr>
        <w:t>了</w:t>
      </w:r>
      <w:r w:rsidR="00256C39" w:rsidRPr="00AE08A6">
        <w:rPr>
          <w:rFonts w:ascii="宋体" w:hAnsi="宋体" w:hint="eastAsia"/>
          <w:sz w:val="24"/>
          <w:szCs w:val="24"/>
        </w:rPr>
        <w:t>624</w:t>
      </w:r>
      <w:r w:rsidR="00C17A38" w:rsidRPr="00AE08A6">
        <w:rPr>
          <w:rFonts w:ascii="宋体" w:hAnsi="宋体" w:hint="eastAsia"/>
          <w:sz w:val="24"/>
          <w:szCs w:val="24"/>
        </w:rPr>
        <w:t>.</w:t>
      </w:r>
      <w:r w:rsidR="00256C39" w:rsidRPr="00AE08A6">
        <w:rPr>
          <w:rFonts w:ascii="宋体" w:hAnsi="宋体" w:hint="eastAsia"/>
          <w:sz w:val="24"/>
          <w:szCs w:val="24"/>
        </w:rPr>
        <w:t>1</w:t>
      </w:r>
      <w:r w:rsidR="00C17A38" w:rsidRPr="00AE08A6">
        <w:rPr>
          <w:rFonts w:ascii="宋体" w:hAnsi="宋体" w:hint="eastAsia"/>
          <w:sz w:val="24"/>
          <w:szCs w:val="24"/>
        </w:rPr>
        <w:t>5</w:t>
      </w:r>
      <w:r w:rsidR="00C17A38" w:rsidRPr="00AE08A6">
        <w:rPr>
          <w:rFonts w:ascii="宋体" w:hAnsi="宋体"/>
          <w:sz w:val="24"/>
          <w:szCs w:val="24"/>
        </w:rPr>
        <w:t>%</w:t>
      </w:r>
      <w:r w:rsidR="00C17A38" w:rsidRPr="00AE08A6">
        <w:rPr>
          <w:rFonts w:ascii="宋体" w:hAnsi="宋体" w:hint="eastAsia"/>
          <w:sz w:val="24"/>
          <w:szCs w:val="24"/>
        </w:rPr>
        <w:t>；</w:t>
      </w:r>
      <w:r w:rsidR="002D04A5" w:rsidRPr="00AE08A6">
        <w:rPr>
          <w:rFonts w:ascii="宋体" w:hAnsi="宋体" w:hint="eastAsia"/>
          <w:sz w:val="24"/>
          <w:szCs w:val="24"/>
        </w:rPr>
        <w:t>每股收益0.</w:t>
      </w:r>
      <w:r w:rsidR="00AE08A6" w:rsidRPr="00AE08A6">
        <w:rPr>
          <w:rFonts w:ascii="宋体" w:hAnsi="宋体" w:hint="eastAsia"/>
          <w:sz w:val="24"/>
          <w:szCs w:val="24"/>
        </w:rPr>
        <w:t>08</w:t>
      </w:r>
      <w:r w:rsidR="005A6F3C" w:rsidRPr="00AE08A6">
        <w:rPr>
          <w:rFonts w:ascii="宋体" w:hAnsi="宋体" w:hint="eastAsia"/>
          <w:sz w:val="24"/>
          <w:szCs w:val="24"/>
        </w:rPr>
        <w:t>元，较上年度减少</w:t>
      </w:r>
      <w:r w:rsidR="002D04A5" w:rsidRPr="00AE08A6">
        <w:rPr>
          <w:rFonts w:ascii="宋体" w:hAnsi="宋体" w:hint="eastAsia"/>
          <w:sz w:val="24"/>
          <w:szCs w:val="24"/>
        </w:rPr>
        <w:t>了</w:t>
      </w:r>
      <w:r w:rsidR="00AE08A6" w:rsidRPr="00AE08A6">
        <w:rPr>
          <w:rFonts w:ascii="宋体" w:hAnsi="宋体" w:hint="eastAsia"/>
          <w:sz w:val="24"/>
          <w:szCs w:val="24"/>
        </w:rPr>
        <w:t>63</w:t>
      </w:r>
      <w:r w:rsidR="002D04A5" w:rsidRPr="00AE08A6">
        <w:rPr>
          <w:rFonts w:ascii="宋体" w:hAnsi="宋体" w:hint="eastAsia"/>
          <w:sz w:val="24"/>
          <w:szCs w:val="24"/>
        </w:rPr>
        <w:t>.</w:t>
      </w:r>
      <w:r w:rsidR="00AE08A6" w:rsidRPr="00AE08A6">
        <w:rPr>
          <w:rFonts w:ascii="宋体" w:hAnsi="宋体" w:hint="eastAsia"/>
          <w:sz w:val="24"/>
          <w:szCs w:val="24"/>
        </w:rPr>
        <w:t>64</w:t>
      </w:r>
      <w:r w:rsidR="002D04A5" w:rsidRPr="00AE08A6">
        <w:rPr>
          <w:rFonts w:ascii="宋体" w:hAnsi="宋体" w:hint="eastAsia"/>
          <w:sz w:val="24"/>
          <w:szCs w:val="24"/>
        </w:rPr>
        <w:t>%；每股净资产5.</w:t>
      </w:r>
      <w:r w:rsidR="005A6F3C" w:rsidRPr="00AE08A6">
        <w:rPr>
          <w:rFonts w:ascii="宋体" w:hAnsi="宋体" w:hint="eastAsia"/>
          <w:sz w:val="24"/>
          <w:szCs w:val="24"/>
        </w:rPr>
        <w:t>7</w:t>
      </w:r>
      <w:r w:rsidR="00AE08A6" w:rsidRPr="00AE08A6">
        <w:rPr>
          <w:rFonts w:ascii="宋体" w:hAnsi="宋体" w:hint="eastAsia"/>
          <w:sz w:val="24"/>
          <w:szCs w:val="24"/>
        </w:rPr>
        <w:t>7</w:t>
      </w:r>
      <w:r w:rsidR="002D04A5" w:rsidRPr="00AE08A6">
        <w:rPr>
          <w:rFonts w:ascii="宋体" w:hAnsi="宋体" w:hint="eastAsia"/>
          <w:sz w:val="24"/>
          <w:szCs w:val="24"/>
        </w:rPr>
        <w:t>元，较年初增加了</w:t>
      </w:r>
      <w:r w:rsidR="00AE08A6" w:rsidRPr="00AE08A6">
        <w:rPr>
          <w:rFonts w:ascii="宋体" w:hAnsi="宋体" w:hint="eastAsia"/>
          <w:sz w:val="24"/>
          <w:szCs w:val="24"/>
        </w:rPr>
        <w:t>1</w:t>
      </w:r>
      <w:r w:rsidR="002D04A5" w:rsidRPr="00AE08A6">
        <w:rPr>
          <w:rFonts w:ascii="宋体" w:hAnsi="宋体" w:hint="eastAsia"/>
          <w:sz w:val="24"/>
          <w:szCs w:val="24"/>
        </w:rPr>
        <w:t>.</w:t>
      </w:r>
      <w:r w:rsidR="00AE08A6" w:rsidRPr="00AE08A6">
        <w:rPr>
          <w:rFonts w:ascii="宋体" w:hAnsi="宋体" w:hint="eastAsia"/>
          <w:sz w:val="24"/>
          <w:szCs w:val="24"/>
        </w:rPr>
        <w:t>23</w:t>
      </w:r>
      <w:r w:rsidR="002D04A5" w:rsidRPr="00AE08A6">
        <w:rPr>
          <w:rFonts w:ascii="宋体" w:hAnsi="宋体"/>
          <w:sz w:val="24"/>
          <w:szCs w:val="24"/>
        </w:rPr>
        <w:t>%</w:t>
      </w:r>
      <w:r w:rsidR="002D04A5" w:rsidRPr="00AE08A6">
        <w:rPr>
          <w:rFonts w:ascii="宋体" w:hAnsi="宋体" w:hint="eastAsia"/>
          <w:sz w:val="24"/>
          <w:szCs w:val="24"/>
        </w:rPr>
        <w:t>；</w:t>
      </w:r>
      <w:r w:rsidR="002D04A5" w:rsidRPr="005669BD">
        <w:rPr>
          <w:rFonts w:ascii="宋体" w:hAnsi="宋体" w:hint="eastAsia"/>
          <w:sz w:val="24"/>
          <w:szCs w:val="24"/>
        </w:rPr>
        <w:t>实现加权平均净资产收益率</w:t>
      </w:r>
      <w:r w:rsidR="00AE08A6" w:rsidRPr="005669BD">
        <w:rPr>
          <w:rFonts w:ascii="宋体" w:hAnsi="宋体" w:hint="eastAsia"/>
          <w:sz w:val="24"/>
          <w:szCs w:val="24"/>
        </w:rPr>
        <w:t>1</w:t>
      </w:r>
      <w:r w:rsidR="002D04A5" w:rsidRPr="005669BD">
        <w:rPr>
          <w:rFonts w:ascii="宋体" w:hAnsi="宋体" w:hint="eastAsia"/>
          <w:sz w:val="24"/>
          <w:szCs w:val="24"/>
        </w:rPr>
        <w:t>.</w:t>
      </w:r>
      <w:r w:rsidR="00AE08A6" w:rsidRPr="005669BD">
        <w:rPr>
          <w:rFonts w:ascii="宋体" w:hAnsi="宋体" w:hint="eastAsia"/>
          <w:sz w:val="24"/>
          <w:szCs w:val="24"/>
        </w:rPr>
        <w:t>42</w:t>
      </w:r>
      <w:r w:rsidR="002D04A5" w:rsidRPr="005669BD">
        <w:rPr>
          <w:rFonts w:ascii="宋体" w:hAnsi="宋体" w:hint="eastAsia"/>
          <w:sz w:val="24"/>
          <w:szCs w:val="24"/>
        </w:rPr>
        <w:t>%</w:t>
      </w:r>
      <w:r w:rsidR="00C437CD" w:rsidRPr="005669BD">
        <w:rPr>
          <w:rFonts w:ascii="宋体" w:hAnsi="宋体" w:hint="eastAsia"/>
          <w:sz w:val="24"/>
          <w:szCs w:val="24"/>
        </w:rPr>
        <w:t>，较上年度减少</w:t>
      </w:r>
      <w:r w:rsidR="002D04A5" w:rsidRPr="005669BD">
        <w:rPr>
          <w:rFonts w:ascii="宋体" w:hAnsi="宋体" w:hint="eastAsia"/>
          <w:sz w:val="24"/>
          <w:szCs w:val="24"/>
        </w:rPr>
        <w:t>了</w:t>
      </w:r>
      <w:r w:rsidR="00C437CD" w:rsidRPr="005669BD">
        <w:rPr>
          <w:rFonts w:ascii="宋体" w:hAnsi="宋体" w:hint="eastAsia"/>
          <w:sz w:val="24"/>
          <w:szCs w:val="24"/>
        </w:rPr>
        <w:t>2</w:t>
      </w:r>
      <w:r w:rsidR="002D04A5" w:rsidRPr="005669BD">
        <w:rPr>
          <w:rFonts w:ascii="宋体" w:hAnsi="宋体" w:hint="eastAsia"/>
          <w:sz w:val="24"/>
          <w:szCs w:val="24"/>
        </w:rPr>
        <w:t>.</w:t>
      </w:r>
      <w:r w:rsidR="005669BD" w:rsidRPr="005669BD">
        <w:rPr>
          <w:rFonts w:ascii="宋体" w:hAnsi="宋体" w:hint="eastAsia"/>
          <w:sz w:val="24"/>
          <w:szCs w:val="24"/>
        </w:rPr>
        <w:t>4</w:t>
      </w:r>
      <w:r w:rsidR="002E4FD6">
        <w:rPr>
          <w:rFonts w:ascii="宋体" w:hAnsi="宋体" w:hint="eastAsia"/>
          <w:sz w:val="24"/>
          <w:szCs w:val="24"/>
        </w:rPr>
        <w:t>4</w:t>
      </w:r>
      <w:r w:rsidR="002D04A5" w:rsidRPr="005669BD">
        <w:rPr>
          <w:rFonts w:ascii="宋体" w:hAnsi="宋体" w:hint="eastAsia"/>
          <w:sz w:val="24"/>
          <w:szCs w:val="24"/>
        </w:rPr>
        <w:t>个百分点。</w:t>
      </w:r>
      <w:r w:rsidRPr="005669BD">
        <w:rPr>
          <w:rFonts w:ascii="宋体" w:hAnsi="宋体" w:hint="eastAsia"/>
          <w:sz w:val="24"/>
          <w:szCs w:val="24"/>
        </w:rPr>
        <w:t>2023年</w:t>
      </w:r>
      <w:r w:rsidR="00C437CD" w:rsidRPr="005669BD">
        <w:rPr>
          <w:rFonts w:ascii="宋体" w:hAnsi="宋体" w:hint="eastAsia"/>
          <w:sz w:val="24"/>
          <w:szCs w:val="24"/>
        </w:rPr>
        <w:t>度利润较上年同</w:t>
      </w:r>
      <w:r w:rsidR="00C437CD">
        <w:rPr>
          <w:rFonts w:ascii="宋体" w:hAnsi="宋体" w:hint="eastAsia"/>
          <w:sz w:val="24"/>
          <w:szCs w:val="24"/>
        </w:rPr>
        <w:t>期减少</w:t>
      </w:r>
      <w:r w:rsidR="002D04A5">
        <w:rPr>
          <w:rFonts w:ascii="宋体" w:hAnsi="宋体" w:hint="eastAsia"/>
          <w:sz w:val="24"/>
          <w:szCs w:val="24"/>
        </w:rPr>
        <w:lastRenderedPageBreak/>
        <w:t>的主要原因：</w:t>
      </w:r>
      <w:r w:rsidR="009E09B3">
        <w:rPr>
          <w:rFonts w:ascii="宋体" w:hAnsi="宋体"/>
          <w:sz w:val="24"/>
          <w:szCs w:val="24"/>
        </w:rPr>
        <w:fldChar w:fldCharType="begin"/>
      </w:r>
      <w:r w:rsidR="00BF5518">
        <w:rPr>
          <w:rFonts w:ascii="宋体" w:hAnsi="宋体"/>
          <w:sz w:val="24"/>
          <w:szCs w:val="24"/>
        </w:rPr>
        <w:instrText xml:space="preserve"> </w:instrText>
      </w:r>
      <w:r w:rsidR="00BF5518">
        <w:rPr>
          <w:rFonts w:ascii="宋体" w:hAnsi="宋体" w:hint="eastAsia"/>
          <w:sz w:val="24"/>
          <w:szCs w:val="24"/>
        </w:rPr>
        <w:instrText>= 1 \* GB3</w:instrText>
      </w:r>
      <w:r w:rsidR="00BF5518">
        <w:rPr>
          <w:rFonts w:ascii="宋体" w:hAnsi="宋体"/>
          <w:sz w:val="24"/>
          <w:szCs w:val="24"/>
        </w:rPr>
        <w:instrText xml:space="preserve"> </w:instrText>
      </w:r>
      <w:r w:rsidR="009E09B3">
        <w:rPr>
          <w:rFonts w:ascii="宋体" w:hAnsi="宋体"/>
          <w:sz w:val="24"/>
          <w:szCs w:val="24"/>
        </w:rPr>
        <w:fldChar w:fldCharType="separate"/>
      </w:r>
      <w:r w:rsidR="00BF5518">
        <w:rPr>
          <w:rFonts w:ascii="宋体" w:hAnsi="宋体" w:hint="eastAsia"/>
          <w:sz w:val="24"/>
          <w:szCs w:val="24"/>
        </w:rPr>
        <w:t>①</w:t>
      </w:r>
      <w:r w:rsidR="009E09B3">
        <w:rPr>
          <w:rFonts w:ascii="宋体" w:hAnsi="宋体"/>
          <w:sz w:val="24"/>
          <w:szCs w:val="24"/>
        </w:rPr>
        <w:fldChar w:fldCharType="end"/>
      </w:r>
      <w:r w:rsidR="00F97FEA" w:rsidRPr="00F97FEA">
        <w:rPr>
          <w:rFonts w:ascii="宋体" w:hAnsi="宋体"/>
          <w:sz w:val="24"/>
          <w:szCs w:val="24"/>
        </w:rPr>
        <w:t>报告期内，化纤业务受终端开工率不足等因素影响，产品毛利率下降；</w:t>
      </w:r>
      <w:r w:rsidR="009E09B3">
        <w:rPr>
          <w:rFonts w:ascii="宋体" w:hAnsi="宋体"/>
          <w:sz w:val="24"/>
          <w:szCs w:val="24"/>
        </w:rPr>
        <w:fldChar w:fldCharType="begin"/>
      </w:r>
      <w:r w:rsidR="00BF5518">
        <w:rPr>
          <w:rFonts w:ascii="宋体" w:hAnsi="宋体"/>
          <w:sz w:val="24"/>
          <w:szCs w:val="24"/>
        </w:rPr>
        <w:instrText xml:space="preserve"> </w:instrText>
      </w:r>
      <w:r w:rsidR="00BF5518">
        <w:rPr>
          <w:rFonts w:ascii="宋体" w:hAnsi="宋体" w:hint="eastAsia"/>
          <w:sz w:val="24"/>
          <w:szCs w:val="24"/>
        </w:rPr>
        <w:instrText>= 2 \* GB3</w:instrText>
      </w:r>
      <w:r w:rsidR="00BF5518">
        <w:rPr>
          <w:rFonts w:ascii="宋体" w:hAnsi="宋体"/>
          <w:sz w:val="24"/>
          <w:szCs w:val="24"/>
        </w:rPr>
        <w:instrText xml:space="preserve"> </w:instrText>
      </w:r>
      <w:r w:rsidR="009E09B3">
        <w:rPr>
          <w:rFonts w:ascii="宋体" w:hAnsi="宋体"/>
          <w:sz w:val="24"/>
          <w:szCs w:val="24"/>
        </w:rPr>
        <w:fldChar w:fldCharType="separate"/>
      </w:r>
      <w:r w:rsidR="00BF5518">
        <w:rPr>
          <w:rFonts w:ascii="宋体" w:hAnsi="宋体" w:hint="eastAsia"/>
          <w:sz w:val="24"/>
          <w:szCs w:val="24"/>
        </w:rPr>
        <w:t>②</w:t>
      </w:r>
      <w:r w:rsidR="009E09B3">
        <w:rPr>
          <w:rFonts w:ascii="宋体" w:hAnsi="宋体"/>
          <w:sz w:val="24"/>
          <w:szCs w:val="24"/>
        </w:rPr>
        <w:fldChar w:fldCharType="end"/>
      </w:r>
      <w:r w:rsidR="006E2644">
        <w:rPr>
          <w:rFonts w:ascii="宋体" w:hAnsi="宋体"/>
          <w:sz w:val="24"/>
          <w:szCs w:val="24"/>
        </w:rPr>
        <w:t>本期</w:t>
      </w:r>
      <w:r w:rsidR="00F97FEA" w:rsidRPr="00F97FEA">
        <w:rPr>
          <w:rFonts w:ascii="宋体" w:hAnsi="宋体"/>
          <w:sz w:val="24"/>
          <w:szCs w:val="24"/>
        </w:rPr>
        <w:t>权益法核算的长期股权投资收益同比减少。</w:t>
      </w:r>
    </w:p>
    <w:p w:rsidR="00B041EC" w:rsidRDefault="00321BA0">
      <w:pPr>
        <w:snapToGrid w:val="0"/>
        <w:spacing w:line="360" w:lineRule="auto"/>
        <w:ind w:firstLineChars="200" w:firstLine="480"/>
        <w:rPr>
          <w:rFonts w:ascii="宋体" w:hAnsi="宋体"/>
          <w:sz w:val="24"/>
          <w:szCs w:val="24"/>
        </w:rPr>
      </w:pPr>
      <w:r>
        <w:rPr>
          <w:rFonts w:ascii="宋体" w:hAnsi="宋体" w:hint="eastAsia"/>
          <w:sz w:val="24"/>
          <w:szCs w:val="24"/>
        </w:rPr>
        <w:t>2023年</w:t>
      </w:r>
      <w:r w:rsidR="002D04A5">
        <w:rPr>
          <w:rFonts w:ascii="宋体" w:hAnsi="宋体" w:hint="eastAsia"/>
          <w:sz w:val="24"/>
          <w:szCs w:val="24"/>
        </w:rPr>
        <w:t>公司主营产品涤纶短纤维销售量为3</w:t>
      </w:r>
      <w:r w:rsidR="0043562E">
        <w:rPr>
          <w:rFonts w:ascii="宋体" w:hAnsi="宋体" w:hint="eastAsia"/>
          <w:sz w:val="24"/>
          <w:szCs w:val="24"/>
        </w:rPr>
        <w:t>7</w:t>
      </w:r>
      <w:r w:rsidR="00CB4DAD">
        <w:rPr>
          <w:rFonts w:ascii="宋体" w:hAnsi="宋体" w:hint="eastAsia"/>
          <w:sz w:val="24"/>
          <w:szCs w:val="24"/>
        </w:rPr>
        <w:t>5</w:t>
      </w:r>
      <w:r w:rsidR="002D04A5">
        <w:rPr>
          <w:rFonts w:ascii="宋体" w:hAnsi="宋体" w:hint="eastAsia"/>
          <w:sz w:val="24"/>
          <w:szCs w:val="24"/>
        </w:rPr>
        <w:t>,</w:t>
      </w:r>
      <w:r w:rsidR="00CB4DAD">
        <w:rPr>
          <w:rFonts w:ascii="宋体" w:hAnsi="宋体" w:hint="eastAsia"/>
          <w:sz w:val="24"/>
          <w:szCs w:val="24"/>
        </w:rPr>
        <w:t>992吨，较上年度减少</w:t>
      </w:r>
      <w:r w:rsidR="002D04A5">
        <w:rPr>
          <w:rFonts w:ascii="宋体" w:hAnsi="宋体" w:hint="eastAsia"/>
          <w:sz w:val="24"/>
          <w:szCs w:val="24"/>
        </w:rPr>
        <w:t>了</w:t>
      </w:r>
      <w:r w:rsidR="00CB4DAD">
        <w:rPr>
          <w:rFonts w:ascii="宋体" w:hAnsi="宋体" w:hint="eastAsia"/>
          <w:sz w:val="24"/>
          <w:szCs w:val="24"/>
        </w:rPr>
        <w:t>0</w:t>
      </w:r>
      <w:r w:rsidR="002D04A5">
        <w:rPr>
          <w:rFonts w:ascii="宋体" w:hAnsi="宋体"/>
          <w:sz w:val="24"/>
          <w:szCs w:val="24"/>
        </w:rPr>
        <w:t>.</w:t>
      </w:r>
      <w:r w:rsidR="00CB4DAD">
        <w:rPr>
          <w:rFonts w:ascii="宋体" w:hAnsi="宋体" w:hint="eastAsia"/>
          <w:sz w:val="24"/>
          <w:szCs w:val="24"/>
        </w:rPr>
        <w:t>62</w:t>
      </w:r>
      <w:r w:rsidR="002D04A5">
        <w:rPr>
          <w:rFonts w:ascii="宋体" w:hAnsi="宋体"/>
          <w:sz w:val="24"/>
          <w:szCs w:val="24"/>
        </w:rPr>
        <w:t>%</w:t>
      </w:r>
      <w:r w:rsidR="00CB4DAD">
        <w:rPr>
          <w:rFonts w:ascii="宋体" w:hAnsi="宋体" w:hint="eastAsia"/>
          <w:sz w:val="24"/>
          <w:szCs w:val="24"/>
        </w:rPr>
        <w:t>；</w:t>
      </w:r>
      <w:r w:rsidR="002D04A5">
        <w:rPr>
          <w:rFonts w:ascii="宋体" w:hAnsi="宋体" w:hint="eastAsia"/>
          <w:sz w:val="24"/>
          <w:szCs w:val="24"/>
        </w:rPr>
        <w:t>生产量3</w:t>
      </w:r>
      <w:r w:rsidR="00CB4DAD">
        <w:rPr>
          <w:rFonts w:ascii="宋体" w:hAnsi="宋体" w:hint="eastAsia"/>
          <w:sz w:val="24"/>
          <w:szCs w:val="24"/>
        </w:rPr>
        <w:t>85</w:t>
      </w:r>
      <w:r w:rsidR="002D04A5">
        <w:rPr>
          <w:rFonts w:ascii="宋体" w:hAnsi="宋体" w:hint="eastAsia"/>
          <w:sz w:val="24"/>
          <w:szCs w:val="24"/>
        </w:rPr>
        <w:t>,</w:t>
      </w:r>
      <w:r w:rsidR="00CB4DAD">
        <w:rPr>
          <w:rFonts w:ascii="宋体" w:hAnsi="宋体" w:hint="eastAsia"/>
          <w:sz w:val="24"/>
          <w:szCs w:val="24"/>
        </w:rPr>
        <w:t>312</w:t>
      </w:r>
      <w:r w:rsidR="00DF0957">
        <w:rPr>
          <w:rFonts w:ascii="宋体" w:hAnsi="宋体" w:hint="eastAsia"/>
          <w:sz w:val="24"/>
          <w:szCs w:val="24"/>
        </w:rPr>
        <w:t>吨，较上年度增加</w:t>
      </w:r>
      <w:r w:rsidR="002D04A5">
        <w:rPr>
          <w:rFonts w:ascii="宋体" w:hAnsi="宋体" w:hint="eastAsia"/>
          <w:sz w:val="24"/>
          <w:szCs w:val="24"/>
        </w:rPr>
        <w:t>了</w:t>
      </w:r>
      <w:r w:rsidR="00CB4DAD">
        <w:rPr>
          <w:rFonts w:ascii="宋体" w:hAnsi="宋体" w:hint="eastAsia"/>
          <w:sz w:val="24"/>
          <w:szCs w:val="24"/>
        </w:rPr>
        <w:t>2</w:t>
      </w:r>
      <w:r w:rsidR="002D04A5">
        <w:rPr>
          <w:rFonts w:ascii="宋体" w:hAnsi="宋体"/>
          <w:sz w:val="24"/>
          <w:szCs w:val="24"/>
        </w:rPr>
        <w:t>.</w:t>
      </w:r>
      <w:r w:rsidR="00CB4DAD">
        <w:rPr>
          <w:rFonts w:ascii="宋体" w:hAnsi="宋体" w:hint="eastAsia"/>
          <w:sz w:val="24"/>
          <w:szCs w:val="24"/>
        </w:rPr>
        <w:t>21</w:t>
      </w:r>
      <w:r w:rsidR="002D04A5">
        <w:rPr>
          <w:rFonts w:ascii="宋体" w:hAnsi="宋体"/>
          <w:sz w:val="24"/>
          <w:szCs w:val="24"/>
        </w:rPr>
        <w:t>%</w:t>
      </w:r>
      <w:r w:rsidR="00CB4DAD">
        <w:rPr>
          <w:rFonts w:ascii="宋体" w:hAnsi="宋体" w:hint="eastAsia"/>
          <w:sz w:val="24"/>
          <w:szCs w:val="24"/>
        </w:rPr>
        <w:t>；</w:t>
      </w:r>
      <w:r w:rsidR="002D04A5">
        <w:rPr>
          <w:rFonts w:ascii="宋体" w:hAnsi="宋体" w:hint="eastAsia"/>
          <w:sz w:val="24"/>
          <w:szCs w:val="24"/>
        </w:rPr>
        <w:t>库存量为</w:t>
      </w:r>
      <w:r w:rsidR="00CB4DAD">
        <w:rPr>
          <w:rFonts w:ascii="宋体" w:hAnsi="宋体" w:hint="eastAsia"/>
          <w:sz w:val="24"/>
          <w:szCs w:val="24"/>
        </w:rPr>
        <w:t>2</w:t>
      </w:r>
      <w:r w:rsidR="00DF0957">
        <w:rPr>
          <w:rFonts w:ascii="宋体" w:hAnsi="宋体" w:hint="eastAsia"/>
          <w:sz w:val="24"/>
          <w:szCs w:val="24"/>
        </w:rPr>
        <w:t>1</w:t>
      </w:r>
      <w:r w:rsidR="002D04A5">
        <w:rPr>
          <w:rFonts w:ascii="宋体" w:hAnsi="宋体" w:hint="eastAsia"/>
          <w:sz w:val="24"/>
          <w:szCs w:val="24"/>
        </w:rPr>
        <w:t>,</w:t>
      </w:r>
      <w:r w:rsidR="00CB4DAD">
        <w:rPr>
          <w:rFonts w:ascii="宋体" w:hAnsi="宋体" w:hint="eastAsia"/>
          <w:sz w:val="24"/>
          <w:szCs w:val="24"/>
        </w:rPr>
        <w:t>30</w:t>
      </w:r>
      <w:r w:rsidR="00DF0957">
        <w:rPr>
          <w:rFonts w:ascii="宋体" w:hAnsi="宋体" w:hint="eastAsia"/>
          <w:sz w:val="24"/>
          <w:szCs w:val="24"/>
        </w:rPr>
        <w:t>8吨，较年</w:t>
      </w:r>
      <w:r w:rsidR="00CB4DAD">
        <w:rPr>
          <w:rFonts w:ascii="宋体" w:hAnsi="宋体" w:hint="eastAsia"/>
          <w:sz w:val="24"/>
          <w:szCs w:val="24"/>
        </w:rPr>
        <w:t>初增加</w:t>
      </w:r>
      <w:r w:rsidR="002D04A5">
        <w:rPr>
          <w:rFonts w:ascii="宋体" w:hAnsi="宋体" w:hint="eastAsia"/>
          <w:sz w:val="24"/>
          <w:szCs w:val="24"/>
        </w:rPr>
        <w:t>了</w:t>
      </w:r>
      <w:r w:rsidR="00CB4DAD">
        <w:rPr>
          <w:rFonts w:ascii="宋体" w:hAnsi="宋体" w:hint="eastAsia"/>
          <w:sz w:val="24"/>
          <w:szCs w:val="24"/>
        </w:rPr>
        <w:t>77</w:t>
      </w:r>
      <w:r w:rsidR="002D04A5">
        <w:rPr>
          <w:rFonts w:ascii="宋体" w:hAnsi="宋体" w:hint="eastAsia"/>
          <w:sz w:val="24"/>
          <w:szCs w:val="24"/>
        </w:rPr>
        <w:t>.</w:t>
      </w:r>
      <w:r w:rsidR="00CB4DAD">
        <w:rPr>
          <w:rFonts w:ascii="宋体" w:hAnsi="宋体" w:hint="eastAsia"/>
          <w:sz w:val="24"/>
          <w:szCs w:val="24"/>
        </w:rPr>
        <w:t>74</w:t>
      </w:r>
      <w:r w:rsidR="002D04A5">
        <w:rPr>
          <w:rFonts w:ascii="宋体" w:hAnsi="宋体" w:hint="eastAsia"/>
          <w:sz w:val="24"/>
          <w:szCs w:val="24"/>
        </w:rPr>
        <w:t>%；涤纶短纤维销售收入2</w:t>
      </w:r>
      <w:r w:rsidR="00CB4DAD">
        <w:rPr>
          <w:rFonts w:ascii="宋体" w:hAnsi="宋体" w:hint="eastAsia"/>
          <w:sz w:val="24"/>
          <w:szCs w:val="24"/>
        </w:rPr>
        <w:t>5</w:t>
      </w:r>
      <w:r w:rsidR="00DA0392">
        <w:rPr>
          <w:rFonts w:ascii="宋体" w:hAnsi="宋体" w:hint="eastAsia"/>
          <w:sz w:val="24"/>
          <w:szCs w:val="24"/>
        </w:rPr>
        <w:t>2,380.35万</w:t>
      </w:r>
      <w:r w:rsidR="00CB4DAD">
        <w:rPr>
          <w:rFonts w:ascii="宋体" w:hAnsi="宋体" w:hint="eastAsia"/>
          <w:sz w:val="24"/>
          <w:szCs w:val="24"/>
        </w:rPr>
        <w:t>元，较上年度减少</w:t>
      </w:r>
      <w:r w:rsidR="002D04A5">
        <w:rPr>
          <w:rFonts w:ascii="宋体" w:hAnsi="宋体" w:hint="eastAsia"/>
          <w:sz w:val="24"/>
          <w:szCs w:val="24"/>
        </w:rPr>
        <w:t>了</w:t>
      </w:r>
      <w:r w:rsidR="00CB4DAD">
        <w:rPr>
          <w:rFonts w:ascii="宋体" w:hAnsi="宋体" w:hint="eastAsia"/>
          <w:sz w:val="24"/>
          <w:szCs w:val="24"/>
        </w:rPr>
        <w:t>5</w:t>
      </w:r>
      <w:r w:rsidR="002D04A5">
        <w:rPr>
          <w:rFonts w:ascii="宋体" w:hAnsi="宋体" w:hint="eastAsia"/>
          <w:sz w:val="24"/>
          <w:szCs w:val="24"/>
        </w:rPr>
        <w:t>.</w:t>
      </w:r>
      <w:r w:rsidR="00CB4DAD">
        <w:rPr>
          <w:rFonts w:ascii="宋体" w:hAnsi="宋体" w:hint="eastAsia"/>
          <w:sz w:val="24"/>
          <w:szCs w:val="24"/>
        </w:rPr>
        <w:t>52</w:t>
      </w:r>
      <w:r w:rsidR="002D04A5">
        <w:rPr>
          <w:rFonts w:ascii="宋体" w:hAnsi="宋体"/>
          <w:sz w:val="24"/>
          <w:szCs w:val="24"/>
        </w:rPr>
        <w:t>%</w:t>
      </w:r>
      <w:r w:rsidR="00CB4DAD">
        <w:rPr>
          <w:rFonts w:ascii="宋体" w:hAnsi="宋体"/>
          <w:sz w:val="24"/>
          <w:szCs w:val="24"/>
        </w:rPr>
        <w:t>；</w:t>
      </w:r>
      <w:r w:rsidR="002D04A5">
        <w:rPr>
          <w:rFonts w:ascii="宋体" w:hAnsi="宋体" w:hint="eastAsia"/>
          <w:sz w:val="24"/>
          <w:szCs w:val="24"/>
        </w:rPr>
        <w:t>涤纶短纤维产品全年实现毛利</w:t>
      </w:r>
      <w:r w:rsidR="00DA0392">
        <w:rPr>
          <w:rFonts w:ascii="宋体" w:hAnsi="宋体" w:hint="eastAsia"/>
          <w:sz w:val="24"/>
          <w:szCs w:val="24"/>
        </w:rPr>
        <w:t>4,556.06万</w:t>
      </w:r>
      <w:r w:rsidR="002D04A5">
        <w:rPr>
          <w:rFonts w:ascii="宋体" w:hAnsi="宋体" w:hint="eastAsia"/>
          <w:sz w:val="24"/>
          <w:szCs w:val="24"/>
        </w:rPr>
        <w:t>元，较上年度减少了</w:t>
      </w:r>
      <w:r w:rsidR="00CB4DAD">
        <w:rPr>
          <w:rFonts w:ascii="宋体" w:hAnsi="宋体" w:hint="eastAsia"/>
          <w:sz w:val="24"/>
          <w:szCs w:val="24"/>
        </w:rPr>
        <w:t>32</w:t>
      </w:r>
      <w:r w:rsidR="002D04A5">
        <w:rPr>
          <w:rFonts w:ascii="宋体" w:hAnsi="宋体" w:hint="eastAsia"/>
          <w:sz w:val="24"/>
          <w:szCs w:val="24"/>
        </w:rPr>
        <w:t>.</w:t>
      </w:r>
      <w:r w:rsidR="00CB4DAD">
        <w:rPr>
          <w:rFonts w:ascii="宋体" w:hAnsi="宋体" w:hint="eastAsia"/>
          <w:sz w:val="24"/>
          <w:szCs w:val="24"/>
        </w:rPr>
        <w:t>29</w:t>
      </w:r>
      <w:r w:rsidR="002D04A5">
        <w:rPr>
          <w:rFonts w:ascii="宋体" w:hAnsi="宋体" w:hint="eastAsia"/>
          <w:sz w:val="24"/>
          <w:szCs w:val="24"/>
        </w:rPr>
        <w:t>%</w:t>
      </w:r>
      <w:r w:rsidR="00CB4DAD">
        <w:rPr>
          <w:rFonts w:ascii="宋体" w:hAnsi="宋体" w:hint="eastAsia"/>
          <w:sz w:val="24"/>
          <w:szCs w:val="24"/>
        </w:rPr>
        <w:t>；</w:t>
      </w:r>
      <w:r w:rsidR="002D04A5">
        <w:rPr>
          <w:rFonts w:ascii="宋体" w:hAnsi="宋体" w:hint="eastAsia"/>
          <w:sz w:val="24"/>
          <w:szCs w:val="24"/>
        </w:rPr>
        <w:t>涤纶短纤维</w:t>
      </w:r>
      <w:r w:rsidR="00CB4DAD">
        <w:rPr>
          <w:rFonts w:ascii="宋体" w:hAnsi="宋体" w:hint="eastAsia"/>
          <w:sz w:val="24"/>
          <w:szCs w:val="24"/>
        </w:rPr>
        <w:t>产品</w:t>
      </w:r>
      <w:r w:rsidR="002D04A5">
        <w:rPr>
          <w:rFonts w:ascii="宋体" w:hAnsi="宋体" w:hint="eastAsia"/>
          <w:sz w:val="24"/>
          <w:szCs w:val="24"/>
        </w:rPr>
        <w:t>毛利率为</w:t>
      </w:r>
      <w:r w:rsidR="00CB4DAD">
        <w:rPr>
          <w:rFonts w:ascii="宋体" w:hAnsi="宋体" w:hint="eastAsia"/>
          <w:sz w:val="24"/>
          <w:szCs w:val="24"/>
        </w:rPr>
        <w:t>1</w:t>
      </w:r>
      <w:r w:rsidR="002D04A5">
        <w:rPr>
          <w:rFonts w:ascii="宋体" w:hAnsi="宋体" w:hint="eastAsia"/>
          <w:sz w:val="24"/>
          <w:szCs w:val="24"/>
        </w:rPr>
        <w:t>.</w:t>
      </w:r>
      <w:r w:rsidR="00CB4DAD">
        <w:rPr>
          <w:rFonts w:ascii="宋体" w:hAnsi="宋体" w:hint="eastAsia"/>
          <w:sz w:val="24"/>
          <w:szCs w:val="24"/>
        </w:rPr>
        <w:t>81</w:t>
      </w:r>
      <w:r w:rsidR="002D04A5">
        <w:rPr>
          <w:rFonts w:ascii="宋体" w:hAnsi="宋体" w:hint="eastAsia"/>
          <w:sz w:val="24"/>
          <w:szCs w:val="24"/>
        </w:rPr>
        <w:t>%，较上年度减少了</w:t>
      </w:r>
      <w:r w:rsidR="00CB4DAD">
        <w:rPr>
          <w:rFonts w:ascii="宋体" w:hAnsi="宋体" w:hint="eastAsia"/>
          <w:sz w:val="24"/>
          <w:szCs w:val="24"/>
        </w:rPr>
        <w:t>0</w:t>
      </w:r>
      <w:r w:rsidR="002D04A5">
        <w:rPr>
          <w:rFonts w:ascii="宋体" w:hAnsi="宋体" w:hint="eastAsia"/>
          <w:sz w:val="24"/>
          <w:szCs w:val="24"/>
        </w:rPr>
        <w:t>.7</w:t>
      </w:r>
      <w:r w:rsidR="00CB4DAD">
        <w:rPr>
          <w:rFonts w:ascii="宋体" w:hAnsi="宋体" w:hint="eastAsia"/>
          <w:sz w:val="24"/>
          <w:szCs w:val="24"/>
        </w:rPr>
        <w:t>1个百分点，主要原因是</w:t>
      </w:r>
      <w:r w:rsidR="00CB4DAD" w:rsidRPr="00F97FEA">
        <w:rPr>
          <w:rFonts w:ascii="宋体" w:hAnsi="宋体"/>
          <w:sz w:val="24"/>
          <w:szCs w:val="24"/>
        </w:rPr>
        <w:t>受终端开工率不足等因素影响，产品毛利率</w:t>
      </w:r>
      <w:r w:rsidR="00CB4DAD">
        <w:rPr>
          <w:rFonts w:ascii="宋体" w:hAnsi="宋体"/>
          <w:sz w:val="24"/>
          <w:szCs w:val="24"/>
        </w:rPr>
        <w:t>比上年同期减少</w:t>
      </w:r>
      <w:r w:rsidR="002D04A5">
        <w:rPr>
          <w:rFonts w:ascii="宋体" w:hAnsi="宋体" w:hint="eastAsia"/>
          <w:sz w:val="24"/>
          <w:szCs w:val="24"/>
        </w:rPr>
        <w:t>。</w:t>
      </w:r>
    </w:p>
    <w:p w:rsidR="00B041EC" w:rsidRDefault="00321BA0">
      <w:pPr>
        <w:snapToGrid w:val="0"/>
        <w:spacing w:line="360" w:lineRule="auto"/>
        <w:ind w:firstLineChars="200" w:firstLine="480"/>
        <w:rPr>
          <w:rFonts w:ascii="宋体" w:hAnsi="宋体"/>
          <w:sz w:val="24"/>
          <w:szCs w:val="24"/>
        </w:rPr>
      </w:pPr>
      <w:r w:rsidRPr="00976630">
        <w:rPr>
          <w:rFonts w:ascii="宋体" w:hAnsi="宋体" w:hint="eastAsia"/>
          <w:sz w:val="24"/>
          <w:szCs w:val="24"/>
        </w:rPr>
        <w:t>2023年</w:t>
      </w:r>
      <w:r w:rsidR="002D04A5" w:rsidRPr="00976630">
        <w:rPr>
          <w:rFonts w:ascii="宋体" w:hAnsi="宋体" w:hint="eastAsia"/>
          <w:sz w:val="24"/>
          <w:szCs w:val="24"/>
        </w:rPr>
        <w:t>实现投资收益及公允价值变动收益</w:t>
      </w:r>
      <w:r w:rsidR="008B23E3" w:rsidRPr="00976630">
        <w:rPr>
          <w:rFonts w:ascii="宋体" w:hAnsi="宋体" w:hint="eastAsia"/>
          <w:sz w:val="24"/>
          <w:szCs w:val="24"/>
        </w:rPr>
        <w:t>2</w:t>
      </w:r>
      <w:r w:rsidR="002D04A5" w:rsidRPr="00976630">
        <w:rPr>
          <w:rFonts w:ascii="宋体" w:hAnsi="宋体" w:hint="eastAsia"/>
          <w:sz w:val="24"/>
          <w:szCs w:val="24"/>
        </w:rPr>
        <w:t>,</w:t>
      </w:r>
      <w:r w:rsidR="00AE08A6" w:rsidRPr="00976630">
        <w:rPr>
          <w:rFonts w:ascii="宋体" w:hAnsi="宋体" w:hint="eastAsia"/>
          <w:sz w:val="24"/>
          <w:szCs w:val="24"/>
        </w:rPr>
        <w:t>417</w:t>
      </w:r>
      <w:r w:rsidR="002D04A5" w:rsidRPr="00976630">
        <w:rPr>
          <w:rFonts w:ascii="宋体" w:hAnsi="宋体" w:hint="eastAsia"/>
          <w:sz w:val="24"/>
          <w:szCs w:val="24"/>
        </w:rPr>
        <w:t>.</w:t>
      </w:r>
      <w:r w:rsidR="00AE08A6" w:rsidRPr="00976630">
        <w:rPr>
          <w:rFonts w:ascii="宋体" w:hAnsi="宋体" w:hint="eastAsia"/>
          <w:sz w:val="24"/>
          <w:szCs w:val="24"/>
        </w:rPr>
        <w:t>68</w:t>
      </w:r>
      <w:r w:rsidR="002D04A5" w:rsidRPr="00976630">
        <w:rPr>
          <w:rFonts w:ascii="宋体" w:hAnsi="宋体" w:hint="eastAsia"/>
          <w:sz w:val="24"/>
          <w:szCs w:val="24"/>
        </w:rPr>
        <w:t>万元，占利润总额的</w:t>
      </w:r>
      <w:r w:rsidR="00AE08A6" w:rsidRPr="00976630">
        <w:rPr>
          <w:rFonts w:ascii="宋体" w:hAnsi="宋体" w:hint="eastAsia"/>
          <w:sz w:val="24"/>
          <w:szCs w:val="24"/>
        </w:rPr>
        <w:t>29</w:t>
      </w:r>
      <w:r w:rsidR="002D04A5" w:rsidRPr="00976630">
        <w:rPr>
          <w:rFonts w:ascii="宋体" w:hAnsi="宋体" w:hint="eastAsia"/>
          <w:sz w:val="24"/>
          <w:szCs w:val="24"/>
        </w:rPr>
        <w:t>.</w:t>
      </w:r>
      <w:r w:rsidR="00AE08A6" w:rsidRPr="00976630">
        <w:rPr>
          <w:rFonts w:ascii="宋体" w:hAnsi="宋体" w:hint="eastAsia"/>
          <w:sz w:val="24"/>
          <w:szCs w:val="24"/>
        </w:rPr>
        <w:t>9</w:t>
      </w:r>
      <w:r w:rsidR="008B23E3" w:rsidRPr="00976630">
        <w:rPr>
          <w:rFonts w:ascii="宋体" w:hAnsi="宋体" w:hint="eastAsia"/>
          <w:sz w:val="24"/>
          <w:szCs w:val="24"/>
        </w:rPr>
        <w:t>8</w:t>
      </w:r>
      <w:r w:rsidR="002D04A5" w:rsidRPr="00976630">
        <w:rPr>
          <w:rFonts w:ascii="宋体" w:hAnsi="宋体" w:hint="eastAsia"/>
          <w:sz w:val="24"/>
          <w:szCs w:val="24"/>
        </w:rPr>
        <w:t>%。其中：</w:t>
      </w:r>
      <w:r w:rsidR="00665620">
        <w:rPr>
          <w:rFonts w:ascii="宋体" w:hAnsi="宋体" w:hint="eastAsia"/>
          <w:sz w:val="24"/>
          <w:szCs w:val="24"/>
        </w:rPr>
        <w:t>（</w:t>
      </w:r>
      <w:r w:rsidR="002D04A5" w:rsidRPr="00976630">
        <w:rPr>
          <w:rFonts w:ascii="宋体" w:hAnsi="宋体" w:hint="eastAsia"/>
          <w:sz w:val="24"/>
          <w:szCs w:val="24"/>
        </w:rPr>
        <w:t>1）交易性金融资产在持有期间的投资收益</w:t>
      </w:r>
      <w:r w:rsidR="002C0A0E" w:rsidRPr="00976630">
        <w:rPr>
          <w:rFonts w:ascii="宋体" w:hAnsi="宋体" w:hint="eastAsia"/>
          <w:sz w:val="24"/>
          <w:szCs w:val="24"/>
        </w:rPr>
        <w:t>为</w:t>
      </w:r>
      <w:r w:rsidR="00A94A27" w:rsidRPr="00976630">
        <w:rPr>
          <w:rFonts w:ascii="宋体" w:hAnsi="宋体" w:hint="eastAsia"/>
          <w:sz w:val="24"/>
          <w:szCs w:val="24"/>
        </w:rPr>
        <w:t>1</w:t>
      </w:r>
      <w:r w:rsidR="002D04A5" w:rsidRPr="00976630">
        <w:rPr>
          <w:rFonts w:ascii="宋体" w:hAnsi="宋体" w:hint="eastAsia"/>
          <w:sz w:val="24"/>
          <w:szCs w:val="24"/>
        </w:rPr>
        <w:t>,</w:t>
      </w:r>
      <w:r w:rsidR="00A94A27" w:rsidRPr="00976630">
        <w:rPr>
          <w:rFonts w:ascii="宋体" w:hAnsi="宋体" w:hint="eastAsia"/>
          <w:sz w:val="24"/>
          <w:szCs w:val="24"/>
        </w:rPr>
        <w:t>678</w:t>
      </w:r>
      <w:r w:rsidR="002D04A5" w:rsidRPr="00976630">
        <w:rPr>
          <w:rFonts w:ascii="宋体" w:hAnsi="宋体" w:hint="eastAsia"/>
          <w:sz w:val="24"/>
          <w:szCs w:val="24"/>
        </w:rPr>
        <w:t>.</w:t>
      </w:r>
      <w:r w:rsidR="00A94A27" w:rsidRPr="00976630">
        <w:rPr>
          <w:rFonts w:ascii="宋体" w:hAnsi="宋体" w:hint="eastAsia"/>
          <w:sz w:val="24"/>
          <w:szCs w:val="24"/>
        </w:rPr>
        <w:t>32</w:t>
      </w:r>
      <w:r w:rsidR="002D04A5" w:rsidRPr="00976630">
        <w:rPr>
          <w:rFonts w:ascii="宋体" w:hAnsi="宋体" w:hint="eastAsia"/>
          <w:sz w:val="24"/>
          <w:szCs w:val="24"/>
        </w:rPr>
        <w:t>万元；（2）</w:t>
      </w:r>
      <w:r w:rsidR="00443E7B" w:rsidRPr="00976630">
        <w:rPr>
          <w:rFonts w:ascii="宋体" w:hAnsi="宋体" w:hint="eastAsia"/>
          <w:sz w:val="24"/>
          <w:szCs w:val="24"/>
        </w:rPr>
        <w:t>一村资本有限公司、</w:t>
      </w:r>
      <w:r w:rsidR="002D04A5" w:rsidRPr="00976630">
        <w:rPr>
          <w:rFonts w:ascii="宋体" w:hAnsi="宋体" w:hint="eastAsia"/>
          <w:sz w:val="24"/>
          <w:szCs w:val="24"/>
        </w:rPr>
        <w:t>联储证券</w:t>
      </w:r>
      <w:r w:rsidR="005E3C93" w:rsidRPr="00976630">
        <w:rPr>
          <w:rFonts w:ascii="宋体" w:hAnsi="宋体" w:hint="eastAsia"/>
          <w:sz w:val="24"/>
          <w:szCs w:val="24"/>
        </w:rPr>
        <w:t>股份有限</w:t>
      </w:r>
      <w:r w:rsidR="002D04A5" w:rsidRPr="00976630">
        <w:rPr>
          <w:rFonts w:ascii="宋体" w:hAnsi="宋体" w:hint="eastAsia"/>
          <w:sz w:val="24"/>
          <w:szCs w:val="24"/>
        </w:rPr>
        <w:t>公司</w:t>
      </w:r>
      <w:r w:rsidR="00AD4D9F" w:rsidRPr="00976630">
        <w:rPr>
          <w:rFonts w:ascii="宋体" w:hAnsi="宋体" w:hint="eastAsia"/>
          <w:sz w:val="24"/>
          <w:szCs w:val="24"/>
        </w:rPr>
        <w:t>、</w:t>
      </w:r>
      <w:r w:rsidR="00665620" w:rsidRPr="00DA0392">
        <w:rPr>
          <w:rFonts w:ascii="宋体" w:hAnsi="宋体" w:hint="eastAsia"/>
          <w:sz w:val="24"/>
          <w:szCs w:val="24"/>
        </w:rPr>
        <w:t>Source Photonics Holdings (Cayman) Limited（以下简称“索尔思光电”）</w:t>
      </w:r>
      <w:r w:rsidR="002D04A5" w:rsidRPr="00976630">
        <w:rPr>
          <w:rFonts w:ascii="宋体" w:hAnsi="宋体" w:hint="eastAsia"/>
          <w:sz w:val="24"/>
          <w:szCs w:val="24"/>
        </w:rPr>
        <w:t>等按权益法核算的</w:t>
      </w:r>
      <w:r w:rsidR="00AD4D9F" w:rsidRPr="00976630">
        <w:rPr>
          <w:rFonts w:ascii="宋体" w:hAnsi="宋体" w:hint="eastAsia"/>
          <w:sz w:val="24"/>
          <w:szCs w:val="24"/>
        </w:rPr>
        <w:t>联营企业</w:t>
      </w:r>
      <w:r w:rsidR="002D04A5" w:rsidRPr="00976630">
        <w:rPr>
          <w:rFonts w:ascii="宋体" w:hAnsi="宋体" w:hint="eastAsia"/>
          <w:sz w:val="24"/>
          <w:szCs w:val="24"/>
        </w:rPr>
        <w:t>本期确认</w:t>
      </w:r>
      <w:r w:rsidR="002C0A0E" w:rsidRPr="00976630">
        <w:rPr>
          <w:rFonts w:ascii="宋体" w:hAnsi="宋体" w:hint="eastAsia"/>
          <w:sz w:val="24"/>
          <w:szCs w:val="24"/>
        </w:rPr>
        <w:t>投资</w:t>
      </w:r>
      <w:r w:rsidR="002D04A5" w:rsidRPr="00976630">
        <w:rPr>
          <w:rFonts w:ascii="宋体" w:hAnsi="宋体" w:hint="eastAsia"/>
          <w:sz w:val="24"/>
          <w:szCs w:val="24"/>
        </w:rPr>
        <w:t>收益为</w:t>
      </w:r>
      <w:r w:rsidR="00AE08A6" w:rsidRPr="00976630">
        <w:rPr>
          <w:rFonts w:ascii="宋体" w:hAnsi="宋体" w:hint="eastAsia"/>
          <w:sz w:val="24"/>
          <w:szCs w:val="24"/>
        </w:rPr>
        <w:t>-1</w:t>
      </w:r>
      <w:r w:rsidR="002D04A5" w:rsidRPr="00976630">
        <w:rPr>
          <w:rFonts w:ascii="宋体" w:hAnsi="宋体" w:hint="eastAsia"/>
          <w:sz w:val="24"/>
          <w:szCs w:val="24"/>
        </w:rPr>
        <w:t>,</w:t>
      </w:r>
      <w:r w:rsidR="00AE08A6" w:rsidRPr="00976630">
        <w:rPr>
          <w:rFonts w:ascii="宋体" w:hAnsi="宋体" w:hint="eastAsia"/>
          <w:sz w:val="24"/>
          <w:szCs w:val="24"/>
        </w:rPr>
        <w:t>320</w:t>
      </w:r>
      <w:r w:rsidR="002D04A5" w:rsidRPr="00976630">
        <w:rPr>
          <w:rFonts w:ascii="宋体" w:hAnsi="宋体" w:hint="eastAsia"/>
          <w:sz w:val="24"/>
          <w:szCs w:val="24"/>
        </w:rPr>
        <w:t>.</w:t>
      </w:r>
      <w:r w:rsidR="00AE08A6" w:rsidRPr="00976630">
        <w:rPr>
          <w:rFonts w:ascii="宋体" w:hAnsi="宋体" w:hint="eastAsia"/>
          <w:sz w:val="24"/>
          <w:szCs w:val="24"/>
        </w:rPr>
        <w:t>14</w:t>
      </w:r>
      <w:r w:rsidR="002D04A5" w:rsidRPr="00976630">
        <w:rPr>
          <w:rFonts w:ascii="宋体" w:hAnsi="宋体" w:hint="eastAsia"/>
          <w:sz w:val="24"/>
          <w:szCs w:val="24"/>
        </w:rPr>
        <w:t>万元；（3）公允价值变动</w:t>
      </w:r>
      <w:r w:rsidR="002D04A5">
        <w:rPr>
          <w:rFonts w:ascii="宋体" w:hAnsi="宋体" w:hint="eastAsia"/>
          <w:sz w:val="24"/>
          <w:szCs w:val="24"/>
        </w:rPr>
        <w:t>收益和处置交易性金融资产实现的收益为</w:t>
      </w:r>
      <w:r w:rsidR="00256C39">
        <w:rPr>
          <w:rFonts w:ascii="宋体" w:hAnsi="宋体" w:hint="eastAsia"/>
          <w:sz w:val="24"/>
          <w:szCs w:val="24"/>
        </w:rPr>
        <w:t>2</w:t>
      </w:r>
      <w:r w:rsidR="002D04A5">
        <w:rPr>
          <w:rFonts w:ascii="宋体" w:hAnsi="宋体" w:hint="eastAsia"/>
          <w:sz w:val="24"/>
          <w:szCs w:val="24"/>
        </w:rPr>
        <w:t>,</w:t>
      </w:r>
      <w:r w:rsidR="00256C39">
        <w:rPr>
          <w:rFonts w:ascii="宋体" w:hAnsi="宋体" w:hint="eastAsia"/>
          <w:sz w:val="24"/>
          <w:szCs w:val="24"/>
        </w:rPr>
        <w:t>059</w:t>
      </w:r>
      <w:r w:rsidR="002D04A5">
        <w:rPr>
          <w:rFonts w:ascii="宋体" w:hAnsi="宋体" w:hint="eastAsia"/>
          <w:sz w:val="24"/>
          <w:szCs w:val="24"/>
        </w:rPr>
        <w:t>.</w:t>
      </w:r>
      <w:r w:rsidR="00256C39">
        <w:rPr>
          <w:rFonts w:ascii="宋体" w:hAnsi="宋体" w:hint="eastAsia"/>
          <w:sz w:val="24"/>
          <w:szCs w:val="24"/>
        </w:rPr>
        <w:t>5</w:t>
      </w:r>
      <w:r w:rsidR="00976630">
        <w:rPr>
          <w:rFonts w:ascii="宋体" w:hAnsi="宋体" w:hint="eastAsia"/>
          <w:sz w:val="24"/>
          <w:szCs w:val="24"/>
        </w:rPr>
        <w:t>0</w:t>
      </w:r>
      <w:r w:rsidR="002D04A5">
        <w:rPr>
          <w:rFonts w:ascii="宋体" w:hAnsi="宋体" w:hint="eastAsia"/>
          <w:sz w:val="24"/>
          <w:szCs w:val="24"/>
        </w:rPr>
        <w:t>万元。</w:t>
      </w:r>
    </w:p>
    <w:p w:rsidR="00B041EC" w:rsidRDefault="00321BA0">
      <w:pPr>
        <w:snapToGrid w:val="0"/>
        <w:spacing w:line="360" w:lineRule="auto"/>
        <w:ind w:firstLineChars="200" w:firstLine="480"/>
        <w:rPr>
          <w:rFonts w:ascii="宋体" w:hAnsi="宋体"/>
          <w:sz w:val="24"/>
          <w:szCs w:val="24"/>
        </w:rPr>
      </w:pPr>
      <w:r>
        <w:rPr>
          <w:rFonts w:ascii="宋体" w:hAnsi="宋体" w:hint="eastAsia"/>
          <w:sz w:val="24"/>
          <w:szCs w:val="24"/>
        </w:rPr>
        <w:t>2023年</w:t>
      </w:r>
      <w:r w:rsidR="002D04A5">
        <w:rPr>
          <w:rFonts w:ascii="宋体" w:hAnsi="宋体" w:hint="eastAsia"/>
          <w:sz w:val="24"/>
          <w:szCs w:val="24"/>
        </w:rPr>
        <w:t>三项费用总额为</w:t>
      </w:r>
      <w:r w:rsidR="00256C39">
        <w:rPr>
          <w:rFonts w:ascii="宋体" w:hAnsi="宋体" w:hint="eastAsia"/>
          <w:sz w:val="24"/>
          <w:szCs w:val="24"/>
        </w:rPr>
        <w:t>8</w:t>
      </w:r>
      <w:r w:rsidR="008476B1">
        <w:rPr>
          <w:rFonts w:ascii="宋体" w:hAnsi="宋体" w:hint="eastAsia"/>
          <w:sz w:val="24"/>
          <w:szCs w:val="24"/>
        </w:rPr>
        <w:t>,</w:t>
      </w:r>
      <w:r w:rsidR="00256C39">
        <w:rPr>
          <w:rFonts w:ascii="宋体" w:hAnsi="宋体" w:hint="eastAsia"/>
          <w:sz w:val="24"/>
          <w:szCs w:val="24"/>
        </w:rPr>
        <w:t>137</w:t>
      </w:r>
      <w:r w:rsidR="003163EE">
        <w:rPr>
          <w:rFonts w:ascii="宋体" w:hAnsi="宋体" w:hint="eastAsia"/>
          <w:sz w:val="24"/>
          <w:szCs w:val="24"/>
        </w:rPr>
        <w:t>.</w:t>
      </w:r>
      <w:r w:rsidR="00256C39">
        <w:rPr>
          <w:rFonts w:ascii="宋体" w:hAnsi="宋体" w:hint="eastAsia"/>
          <w:sz w:val="24"/>
          <w:szCs w:val="24"/>
        </w:rPr>
        <w:t>11万元，较上年度增加</w:t>
      </w:r>
      <w:r w:rsidR="002D04A5">
        <w:rPr>
          <w:rFonts w:ascii="宋体" w:hAnsi="宋体" w:hint="eastAsia"/>
          <w:sz w:val="24"/>
          <w:szCs w:val="24"/>
        </w:rPr>
        <w:t>了</w:t>
      </w:r>
      <w:r w:rsidR="00256C39">
        <w:rPr>
          <w:rFonts w:ascii="宋体" w:hAnsi="宋体" w:hint="eastAsia"/>
          <w:sz w:val="24"/>
          <w:szCs w:val="24"/>
        </w:rPr>
        <w:t>5</w:t>
      </w:r>
      <w:r w:rsidR="002D04A5">
        <w:rPr>
          <w:rFonts w:ascii="宋体" w:hAnsi="宋体" w:hint="eastAsia"/>
          <w:sz w:val="24"/>
          <w:szCs w:val="24"/>
        </w:rPr>
        <w:t>.</w:t>
      </w:r>
      <w:r w:rsidR="00256C39">
        <w:rPr>
          <w:rFonts w:ascii="宋体" w:hAnsi="宋体" w:hint="eastAsia"/>
          <w:sz w:val="24"/>
          <w:szCs w:val="24"/>
        </w:rPr>
        <w:t>15</w:t>
      </w:r>
      <w:r w:rsidR="002D04A5">
        <w:rPr>
          <w:rFonts w:ascii="宋体" w:hAnsi="宋体" w:hint="eastAsia"/>
          <w:sz w:val="24"/>
          <w:szCs w:val="24"/>
        </w:rPr>
        <w:t>%，主要来自</w:t>
      </w:r>
      <w:r w:rsidR="00256C39">
        <w:rPr>
          <w:rFonts w:ascii="宋体" w:hAnsi="宋体" w:hint="eastAsia"/>
          <w:sz w:val="24"/>
          <w:szCs w:val="24"/>
        </w:rPr>
        <w:t>销售</w:t>
      </w:r>
      <w:r w:rsidR="002D04A5">
        <w:rPr>
          <w:rFonts w:ascii="宋体" w:hAnsi="宋体" w:hint="eastAsia"/>
          <w:sz w:val="24"/>
          <w:szCs w:val="24"/>
        </w:rPr>
        <w:t>费用的</w:t>
      </w:r>
      <w:r w:rsidR="00256C39">
        <w:rPr>
          <w:rFonts w:ascii="宋体" w:hAnsi="宋体" w:hint="eastAsia"/>
          <w:sz w:val="24"/>
          <w:szCs w:val="24"/>
        </w:rPr>
        <w:t>增加</w:t>
      </w:r>
      <w:r w:rsidR="002D04A5">
        <w:rPr>
          <w:rFonts w:ascii="宋体" w:hAnsi="宋体" w:hint="eastAsia"/>
          <w:sz w:val="24"/>
          <w:szCs w:val="24"/>
        </w:rPr>
        <w:t>，</w:t>
      </w:r>
      <w:r w:rsidR="001A712F">
        <w:rPr>
          <w:rFonts w:ascii="宋体" w:hAnsi="宋体" w:hint="eastAsia"/>
          <w:sz w:val="24"/>
          <w:szCs w:val="24"/>
        </w:rPr>
        <w:t>本年度销售费用802.36万元，较上年同期增加了123.11%，主要原因是本期发生的销售业务费比上年同期增加。</w:t>
      </w:r>
      <w:r w:rsidR="002D04A5">
        <w:rPr>
          <w:rFonts w:ascii="宋体" w:hAnsi="宋体" w:hint="eastAsia"/>
          <w:sz w:val="24"/>
          <w:szCs w:val="24"/>
        </w:rPr>
        <w:t>本年度财务费用</w:t>
      </w:r>
      <w:r w:rsidR="00C42DBB">
        <w:rPr>
          <w:rFonts w:ascii="宋体" w:hAnsi="宋体" w:hint="eastAsia"/>
          <w:sz w:val="24"/>
          <w:szCs w:val="24"/>
        </w:rPr>
        <w:t>2</w:t>
      </w:r>
      <w:r w:rsidR="002D04A5">
        <w:rPr>
          <w:rFonts w:ascii="宋体" w:hAnsi="宋体" w:hint="eastAsia"/>
          <w:sz w:val="24"/>
          <w:szCs w:val="24"/>
        </w:rPr>
        <w:t>,</w:t>
      </w:r>
      <w:r w:rsidR="00256C39">
        <w:rPr>
          <w:rFonts w:ascii="宋体" w:hAnsi="宋体" w:hint="eastAsia"/>
          <w:sz w:val="24"/>
          <w:szCs w:val="24"/>
        </w:rPr>
        <w:t>180</w:t>
      </w:r>
      <w:r w:rsidR="002D04A5">
        <w:rPr>
          <w:rFonts w:ascii="宋体" w:hAnsi="宋体" w:hint="eastAsia"/>
          <w:sz w:val="24"/>
          <w:szCs w:val="24"/>
        </w:rPr>
        <w:t>.</w:t>
      </w:r>
      <w:r w:rsidR="00256C39">
        <w:rPr>
          <w:rFonts w:ascii="宋体" w:hAnsi="宋体" w:hint="eastAsia"/>
          <w:sz w:val="24"/>
          <w:szCs w:val="24"/>
        </w:rPr>
        <w:t>67</w:t>
      </w:r>
      <w:r w:rsidR="001A712F">
        <w:rPr>
          <w:rFonts w:ascii="宋体" w:hAnsi="宋体" w:hint="eastAsia"/>
          <w:sz w:val="24"/>
          <w:szCs w:val="24"/>
        </w:rPr>
        <w:t>万元，较上年度增加</w:t>
      </w:r>
      <w:r w:rsidR="002D04A5">
        <w:rPr>
          <w:rFonts w:ascii="宋体" w:hAnsi="宋体" w:hint="eastAsia"/>
          <w:sz w:val="24"/>
          <w:szCs w:val="24"/>
        </w:rPr>
        <w:t>了</w:t>
      </w:r>
      <w:r w:rsidR="00256C39">
        <w:rPr>
          <w:rFonts w:ascii="宋体" w:hAnsi="宋体" w:hint="eastAsia"/>
          <w:sz w:val="24"/>
          <w:szCs w:val="24"/>
        </w:rPr>
        <w:t>7</w:t>
      </w:r>
      <w:r w:rsidR="002D04A5">
        <w:rPr>
          <w:rFonts w:ascii="宋体" w:hAnsi="宋体" w:hint="eastAsia"/>
          <w:sz w:val="24"/>
          <w:szCs w:val="24"/>
        </w:rPr>
        <w:t>.</w:t>
      </w:r>
      <w:r w:rsidR="00256C39">
        <w:rPr>
          <w:rFonts w:ascii="宋体" w:hAnsi="宋体" w:hint="eastAsia"/>
          <w:sz w:val="24"/>
          <w:szCs w:val="24"/>
        </w:rPr>
        <w:t>15</w:t>
      </w:r>
      <w:r w:rsidR="002D04A5">
        <w:rPr>
          <w:rFonts w:ascii="宋体" w:hAnsi="宋体" w:hint="eastAsia"/>
          <w:sz w:val="24"/>
          <w:szCs w:val="24"/>
        </w:rPr>
        <w:t>%</w:t>
      </w:r>
      <w:r w:rsidR="00256C39">
        <w:rPr>
          <w:rFonts w:ascii="宋体" w:hAnsi="宋体" w:hint="eastAsia"/>
          <w:sz w:val="24"/>
          <w:szCs w:val="24"/>
        </w:rPr>
        <w:t>。</w:t>
      </w:r>
      <w:r w:rsidR="002D04A5">
        <w:rPr>
          <w:rFonts w:ascii="宋体" w:hAnsi="宋体" w:hint="eastAsia"/>
          <w:sz w:val="24"/>
          <w:szCs w:val="24"/>
        </w:rPr>
        <w:t>本年度管理费用</w:t>
      </w:r>
      <w:r w:rsidR="00C42DBB">
        <w:rPr>
          <w:rFonts w:ascii="宋体" w:hAnsi="宋体" w:hint="eastAsia"/>
          <w:sz w:val="24"/>
          <w:szCs w:val="24"/>
        </w:rPr>
        <w:t>5</w:t>
      </w:r>
      <w:r w:rsidR="002D04A5">
        <w:rPr>
          <w:rFonts w:ascii="宋体" w:hAnsi="宋体" w:hint="eastAsia"/>
          <w:sz w:val="24"/>
          <w:szCs w:val="24"/>
        </w:rPr>
        <w:t>,</w:t>
      </w:r>
      <w:r w:rsidR="00256C39">
        <w:rPr>
          <w:rFonts w:ascii="宋体" w:hAnsi="宋体" w:hint="eastAsia"/>
          <w:sz w:val="24"/>
          <w:szCs w:val="24"/>
        </w:rPr>
        <w:t>154</w:t>
      </w:r>
      <w:r w:rsidR="002D04A5">
        <w:rPr>
          <w:rFonts w:ascii="宋体" w:hAnsi="宋体" w:hint="eastAsia"/>
          <w:sz w:val="24"/>
          <w:szCs w:val="24"/>
        </w:rPr>
        <w:t>.</w:t>
      </w:r>
      <w:r w:rsidR="00256C39">
        <w:rPr>
          <w:rFonts w:ascii="宋体" w:hAnsi="宋体" w:hint="eastAsia"/>
          <w:sz w:val="24"/>
          <w:szCs w:val="24"/>
        </w:rPr>
        <w:t>09万元，较上年度减少</w:t>
      </w:r>
      <w:r w:rsidR="002D04A5">
        <w:rPr>
          <w:rFonts w:ascii="宋体" w:hAnsi="宋体" w:hint="eastAsia"/>
          <w:sz w:val="24"/>
          <w:szCs w:val="24"/>
        </w:rPr>
        <w:t>了</w:t>
      </w:r>
      <w:r w:rsidR="00256C39">
        <w:rPr>
          <w:rFonts w:ascii="宋体" w:hAnsi="宋体" w:hint="eastAsia"/>
          <w:sz w:val="24"/>
          <w:szCs w:val="24"/>
        </w:rPr>
        <w:t>3</w:t>
      </w:r>
      <w:r w:rsidR="002D04A5">
        <w:rPr>
          <w:rFonts w:ascii="宋体" w:hAnsi="宋体" w:hint="eastAsia"/>
          <w:sz w:val="24"/>
          <w:szCs w:val="24"/>
        </w:rPr>
        <w:t>.</w:t>
      </w:r>
      <w:r w:rsidR="00256C39">
        <w:rPr>
          <w:rFonts w:ascii="宋体" w:hAnsi="宋体" w:hint="eastAsia"/>
          <w:sz w:val="24"/>
          <w:szCs w:val="24"/>
        </w:rPr>
        <w:t>56</w:t>
      </w:r>
      <w:r w:rsidR="002D04A5">
        <w:rPr>
          <w:rFonts w:ascii="宋体" w:hAnsi="宋体" w:hint="eastAsia"/>
          <w:sz w:val="24"/>
          <w:szCs w:val="24"/>
        </w:rPr>
        <w:t>%。</w:t>
      </w:r>
    </w:p>
    <w:p w:rsidR="001A712F" w:rsidRDefault="001A712F">
      <w:pPr>
        <w:snapToGrid w:val="0"/>
        <w:spacing w:line="360" w:lineRule="auto"/>
        <w:ind w:firstLineChars="200" w:firstLine="480"/>
        <w:rPr>
          <w:rFonts w:ascii="宋体" w:hAnsi="宋体"/>
          <w:sz w:val="24"/>
          <w:szCs w:val="24"/>
        </w:rPr>
      </w:pPr>
    </w:p>
    <w:p w:rsidR="00B041EC" w:rsidRDefault="002D04A5">
      <w:pPr>
        <w:snapToGrid w:val="0"/>
        <w:spacing w:line="360" w:lineRule="auto"/>
        <w:rPr>
          <w:rFonts w:ascii="宋体" w:hAnsi="宋体"/>
          <w:b/>
          <w:sz w:val="24"/>
          <w:szCs w:val="24"/>
        </w:rPr>
      </w:pPr>
      <w:r>
        <w:rPr>
          <w:rFonts w:ascii="宋体" w:hAnsi="宋体" w:hint="eastAsia"/>
          <w:b/>
          <w:sz w:val="24"/>
          <w:szCs w:val="24"/>
        </w:rPr>
        <w:t>二、资产负债权益情况</w:t>
      </w:r>
    </w:p>
    <w:p w:rsidR="00B041EC" w:rsidRDefault="00321BA0">
      <w:pPr>
        <w:snapToGrid w:val="0"/>
        <w:spacing w:line="360" w:lineRule="auto"/>
        <w:ind w:firstLineChars="250" w:firstLine="600"/>
        <w:rPr>
          <w:rFonts w:ascii="宋体" w:hAnsi="宋体"/>
          <w:sz w:val="24"/>
          <w:szCs w:val="24"/>
        </w:rPr>
      </w:pPr>
      <w:r>
        <w:rPr>
          <w:rFonts w:ascii="宋体" w:hAnsi="宋体" w:hint="eastAsia"/>
          <w:sz w:val="24"/>
          <w:szCs w:val="24"/>
        </w:rPr>
        <w:t>2023年</w:t>
      </w:r>
      <w:r w:rsidR="002D04A5">
        <w:rPr>
          <w:rFonts w:ascii="宋体" w:hAnsi="宋体" w:hint="eastAsia"/>
          <w:sz w:val="24"/>
          <w:szCs w:val="24"/>
        </w:rPr>
        <w:t>期末公司资产总额为6</w:t>
      </w:r>
      <w:r w:rsidR="00976630">
        <w:rPr>
          <w:rFonts w:ascii="宋体" w:hAnsi="宋体" w:hint="eastAsia"/>
          <w:sz w:val="24"/>
          <w:szCs w:val="24"/>
        </w:rPr>
        <w:t>4</w:t>
      </w:r>
      <w:r w:rsidR="002D04A5">
        <w:rPr>
          <w:rFonts w:ascii="宋体" w:hAnsi="宋体" w:hint="eastAsia"/>
          <w:sz w:val="24"/>
          <w:szCs w:val="24"/>
        </w:rPr>
        <w:t>.</w:t>
      </w:r>
      <w:r w:rsidR="00976630">
        <w:rPr>
          <w:rFonts w:ascii="宋体" w:hAnsi="宋体" w:hint="eastAsia"/>
          <w:sz w:val="24"/>
          <w:szCs w:val="24"/>
        </w:rPr>
        <w:t>57亿元，较年初增加</w:t>
      </w:r>
      <w:r w:rsidR="002D04A5">
        <w:rPr>
          <w:rFonts w:ascii="宋体" w:hAnsi="宋体" w:hint="eastAsia"/>
          <w:sz w:val="24"/>
          <w:szCs w:val="24"/>
        </w:rPr>
        <w:t>了</w:t>
      </w:r>
      <w:r w:rsidR="00976630">
        <w:rPr>
          <w:rFonts w:ascii="宋体" w:hAnsi="宋体" w:hint="eastAsia"/>
          <w:sz w:val="24"/>
          <w:szCs w:val="24"/>
        </w:rPr>
        <w:t>0</w:t>
      </w:r>
      <w:r w:rsidR="002D04A5">
        <w:rPr>
          <w:rFonts w:ascii="宋体" w:hAnsi="宋体" w:hint="eastAsia"/>
          <w:sz w:val="24"/>
          <w:szCs w:val="24"/>
        </w:rPr>
        <w:t>.</w:t>
      </w:r>
      <w:r w:rsidR="005125DD">
        <w:rPr>
          <w:rFonts w:ascii="宋体" w:hAnsi="宋体" w:hint="eastAsia"/>
          <w:sz w:val="24"/>
          <w:szCs w:val="24"/>
        </w:rPr>
        <w:t>9</w:t>
      </w:r>
      <w:r w:rsidR="00976630">
        <w:rPr>
          <w:rFonts w:ascii="宋体" w:hAnsi="宋体" w:hint="eastAsia"/>
          <w:sz w:val="24"/>
          <w:szCs w:val="24"/>
        </w:rPr>
        <w:t>8</w:t>
      </w:r>
      <w:r w:rsidR="002D04A5">
        <w:rPr>
          <w:rFonts w:ascii="宋体" w:hAnsi="宋体" w:hint="eastAsia"/>
          <w:sz w:val="24"/>
          <w:szCs w:val="24"/>
        </w:rPr>
        <w:t>%，负债总额为1</w:t>
      </w:r>
      <w:r w:rsidR="005125DD">
        <w:rPr>
          <w:rFonts w:ascii="宋体" w:hAnsi="宋体" w:hint="eastAsia"/>
          <w:sz w:val="24"/>
          <w:szCs w:val="24"/>
        </w:rPr>
        <w:t>3</w:t>
      </w:r>
      <w:r w:rsidR="002D04A5">
        <w:rPr>
          <w:rFonts w:ascii="宋体" w:hAnsi="宋体" w:hint="eastAsia"/>
          <w:sz w:val="24"/>
          <w:szCs w:val="24"/>
        </w:rPr>
        <w:t>.</w:t>
      </w:r>
      <w:r w:rsidR="005125DD">
        <w:rPr>
          <w:rFonts w:ascii="宋体" w:hAnsi="宋体" w:hint="eastAsia"/>
          <w:sz w:val="24"/>
          <w:szCs w:val="24"/>
        </w:rPr>
        <w:t>4</w:t>
      </w:r>
      <w:r w:rsidR="00976630">
        <w:rPr>
          <w:rFonts w:ascii="宋体" w:hAnsi="宋体" w:hint="eastAsia"/>
          <w:sz w:val="24"/>
          <w:szCs w:val="24"/>
        </w:rPr>
        <w:t>1亿元，较年初增加</w:t>
      </w:r>
      <w:r w:rsidR="002D04A5">
        <w:rPr>
          <w:rFonts w:ascii="宋体" w:hAnsi="宋体" w:hint="eastAsia"/>
          <w:sz w:val="24"/>
          <w:szCs w:val="24"/>
        </w:rPr>
        <w:t>了</w:t>
      </w:r>
      <w:r w:rsidR="00976630">
        <w:rPr>
          <w:rFonts w:ascii="宋体" w:hAnsi="宋体" w:hint="eastAsia"/>
          <w:sz w:val="24"/>
          <w:szCs w:val="24"/>
        </w:rPr>
        <w:t>0</w:t>
      </w:r>
      <w:r w:rsidR="002D04A5">
        <w:rPr>
          <w:rFonts w:ascii="宋体" w:hAnsi="宋体" w:hint="eastAsia"/>
          <w:sz w:val="24"/>
          <w:szCs w:val="24"/>
        </w:rPr>
        <w:t>.</w:t>
      </w:r>
      <w:r w:rsidR="00976630">
        <w:rPr>
          <w:rFonts w:ascii="宋体" w:hAnsi="宋体" w:hint="eastAsia"/>
          <w:sz w:val="24"/>
          <w:szCs w:val="24"/>
        </w:rPr>
        <w:t>07</w:t>
      </w:r>
      <w:r w:rsidR="002D04A5">
        <w:rPr>
          <w:rFonts w:ascii="宋体" w:hAnsi="宋体" w:hint="eastAsia"/>
          <w:sz w:val="24"/>
          <w:szCs w:val="24"/>
        </w:rPr>
        <w:t>%，归属于母公司</w:t>
      </w:r>
      <w:r w:rsidR="0021535F">
        <w:rPr>
          <w:rFonts w:ascii="宋体" w:hAnsi="宋体" w:hint="eastAsia"/>
          <w:sz w:val="24"/>
          <w:szCs w:val="24"/>
        </w:rPr>
        <w:t>股东</w:t>
      </w:r>
      <w:r w:rsidR="00755879">
        <w:rPr>
          <w:rFonts w:ascii="宋体" w:hAnsi="宋体" w:hint="eastAsia"/>
          <w:sz w:val="24"/>
          <w:szCs w:val="24"/>
        </w:rPr>
        <w:t>权益总额</w:t>
      </w:r>
      <w:r w:rsidR="002D04A5">
        <w:rPr>
          <w:rFonts w:ascii="宋体" w:hAnsi="宋体" w:hint="eastAsia"/>
          <w:sz w:val="24"/>
          <w:szCs w:val="24"/>
        </w:rPr>
        <w:t>为5</w:t>
      </w:r>
      <w:r w:rsidR="00976630">
        <w:rPr>
          <w:rFonts w:ascii="宋体" w:hAnsi="宋体" w:hint="eastAsia"/>
          <w:sz w:val="24"/>
          <w:szCs w:val="24"/>
        </w:rPr>
        <w:t>1</w:t>
      </w:r>
      <w:r w:rsidR="002D04A5">
        <w:rPr>
          <w:rFonts w:ascii="宋体" w:hAnsi="宋体" w:hint="eastAsia"/>
          <w:sz w:val="24"/>
          <w:szCs w:val="24"/>
        </w:rPr>
        <w:t>.</w:t>
      </w:r>
      <w:r w:rsidR="00976630">
        <w:rPr>
          <w:rFonts w:ascii="宋体" w:hAnsi="宋体" w:hint="eastAsia"/>
          <w:sz w:val="24"/>
          <w:szCs w:val="24"/>
        </w:rPr>
        <w:t>16</w:t>
      </w:r>
      <w:r w:rsidR="002D04A5">
        <w:rPr>
          <w:rFonts w:ascii="宋体" w:hAnsi="宋体" w:hint="eastAsia"/>
          <w:sz w:val="24"/>
          <w:szCs w:val="24"/>
        </w:rPr>
        <w:t>亿元，较年初增加了</w:t>
      </w:r>
      <w:r w:rsidR="00976630">
        <w:rPr>
          <w:rFonts w:ascii="宋体" w:hAnsi="宋体" w:hint="eastAsia"/>
          <w:sz w:val="24"/>
          <w:szCs w:val="24"/>
        </w:rPr>
        <w:t>1</w:t>
      </w:r>
      <w:r w:rsidR="002D04A5">
        <w:rPr>
          <w:rFonts w:ascii="宋体" w:hAnsi="宋体" w:hint="eastAsia"/>
          <w:sz w:val="24"/>
          <w:szCs w:val="24"/>
        </w:rPr>
        <w:t>.</w:t>
      </w:r>
      <w:r w:rsidR="00976630">
        <w:rPr>
          <w:rFonts w:ascii="宋体" w:hAnsi="宋体" w:hint="eastAsia"/>
          <w:sz w:val="24"/>
          <w:szCs w:val="24"/>
        </w:rPr>
        <w:t>22</w:t>
      </w:r>
      <w:r w:rsidR="002D04A5">
        <w:rPr>
          <w:rFonts w:ascii="宋体" w:hAnsi="宋体" w:hint="eastAsia"/>
          <w:sz w:val="24"/>
          <w:szCs w:val="24"/>
        </w:rPr>
        <w:t>%，资产负债率2</w:t>
      </w:r>
      <w:r w:rsidR="005125DD">
        <w:rPr>
          <w:rFonts w:ascii="宋体" w:hAnsi="宋体" w:hint="eastAsia"/>
          <w:sz w:val="24"/>
          <w:szCs w:val="24"/>
        </w:rPr>
        <w:t>0</w:t>
      </w:r>
      <w:r w:rsidR="002D04A5">
        <w:rPr>
          <w:rFonts w:ascii="宋体" w:hAnsi="宋体" w:hint="eastAsia"/>
          <w:sz w:val="24"/>
          <w:szCs w:val="24"/>
        </w:rPr>
        <w:t>.</w:t>
      </w:r>
      <w:r w:rsidR="00976630">
        <w:rPr>
          <w:rFonts w:ascii="宋体" w:hAnsi="宋体" w:hint="eastAsia"/>
          <w:sz w:val="24"/>
          <w:szCs w:val="24"/>
        </w:rPr>
        <w:t>77</w:t>
      </w:r>
      <w:r w:rsidR="002D04A5">
        <w:rPr>
          <w:rFonts w:ascii="宋体" w:hAnsi="宋体" w:hint="eastAsia"/>
          <w:sz w:val="24"/>
          <w:szCs w:val="24"/>
        </w:rPr>
        <w:t>%，较年初减少了</w:t>
      </w:r>
      <w:r w:rsidR="00976630">
        <w:rPr>
          <w:rFonts w:ascii="宋体" w:hAnsi="宋体" w:hint="eastAsia"/>
          <w:sz w:val="24"/>
          <w:szCs w:val="24"/>
        </w:rPr>
        <w:t>0</w:t>
      </w:r>
      <w:r w:rsidR="002D04A5">
        <w:rPr>
          <w:rFonts w:ascii="宋体" w:hAnsi="宋体" w:hint="eastAsia"/>
          <w:sz w:val="24"/>
          <w:szCs w:val="24"/>
        </w:rPr>
        <w:t>.</w:t>
      </w:r>
      <w:r w:rsidR="00976630">
        <w:rPr>
          <w:rFonts w:ascii="宋体" w:hAnsi="宋体" w:hint="eastAsia"/>
          <w:sz w:val="24"/>
          <w:szCs w:val="24"/>
        </w:rPr>
        <w:t>19</w:t>
      </w:r>
      <w:r w:rsidR="002D04A5">
        <w:rPr>
          <w:rFonts w:ascii="宋体" w:hAnsi="宋体" w:hint="eastAsia"/>
          <w:sz w:val="24"/>
          <w:szCs w:val="24"/>
        </w:rPr>
        <w:t>个百分点。报表项目重大变动情况如下：</w:t>
      </w:r>
    </w:p>
    <w:p w:rsidR="0053064A" w:rsidRPr="00141C7D" w:rsidRDefault="0053064A" w:rsidP="00141C7D">
      <w:pPr>
        <w:widowControl/>
        <w:jc w:val="right"/>
        <w:rPr>
          <w:rFonts w:ascii="宋体" w:hAnsi="宋体" w:cs="宋体"/>
          <w:color w:val="000000"/>
          <w:kern w:val="0"/>
          <w:szCs w:val="21"/>
        </w:rPr>
      </w:pPr>
      <w:r w:rsidRPr="00141C7D">
        <w:rPr>
          <w:rFonts w:ascii="宋体" w:hAnsi="宋体" w:cs="宋体"/>
          <w:color w:val="000000"/>
          <w:kern w:val="0"/>
          <w:szCs w:val="21"/>
        </w:rPr>
        <w:t>单位：</w:t>
      </w:r>
      <w:r w:rsidRPr="00141C7D">
        <w:rPr>
          <w:rFonts w:ascii="宋体" w:hAnsi="宋体" w:cs="宋体" w:hint="eastAsia"/>
          <w:color w:val="000000"/>
          <w:kern w:val="0"/>
          <w:szCs w:val="21"/>
        </w:rPr>
        <w:t>万</w:t>
      </w:r>
      <w:r w:rsidRPr="00141C7D">
        <w:rPr>
          <w:rFonts w:ascii="宋体" w:hAnsi="宋体" w:cs="宋体"/>
          <w:color w:val="000000"/>
          <w:kern w:val="0"/>
          <w:szCs w:val="21"/>
        </w:rPr>
        <w:t>元</w:t>
      </w:r>
    </w:p>
    <w:tbl>
      <w:tblPr>
        <w:tblW w:w="8801" w:type="dxa"/>
        <w:tblInd w:w="96" w:type="dxa"/>
        <w:tblLook w:val="04A0" w:firstRow="1" w:lastRow="0" w:firstColumn="1" w:lastColumn="0" w:noHBand="0" w:noVBand="1"/>
      </w:tblPr>
      <w:tblGrid>
        <w:gridCol w:w="2220"/>
        <w:gridCol w:w="1392"/>
        <w:gridCol w:w="1220"/>
        <w:gridCol w:w="1639"/>
        <w:gridCol w:w="1196"/>
        <w:gridCol w:w="1134"/>
      </w:tblGrid>
      <w:tr w:rsidR="005D1B3C" w:rsidRPr="00665620" w:rsidTr="005D1B3C">
        <w:trPr>
          <w:trHeight w:val="315"/>
        </w:trPr>
        <w:tc>
          <w:tcPr>
            <w:tcW w:w="2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1B3C" w:rsidRPr="00665620" w:rsidRDefault="005D1B3C" w:rsidP="005D1B3C">
            <w:pPr>
              <w:widowControl/>
              <w:jc w:val="center"/>
              <w:rPr>
                <w:rFonts w:ascii="宋体" w:hAnsi="宋体" w:cs="宋体"/>
                <w:color w:val="000000"/>
                <w:kern w:val="0"/>
                <w:szCs w:val="21"/>
              </w:rPr>
            </w:pPr>
            <w:r w:rsidRPr="00665620">
              <w:rPr>
                <w:rFonts w:ascii="Times New Roman" w:hAnsi="宋体" w:hint="eastAsia"/>
                <w:szCs w:val="21"/>
              </w:rPr>
              <w:t xml:space="preserve"> </w:t>
            </w:r>
            <w:r w:rsidRPr="00665620">
              <w:rPr>
                <w:rFonts w:ascii="宋体" w:hAnsi="宋体" w:cs="宋体" w:hint="eastAsia"/>
                <w:color w:val="000000"/>
                <w:kern w:val="0"/>
                <w:szCs w:val="21"/>
              </w:rPr>
              <w:t>项目</w:t>
            </w:r>
          </w:p>
        </w:tc>
        <w:tc>
          <w:tcPr>
            <w:tcW w:w="2612" w:type="dxa"/>
            <w:gridSpan w:val="2"/>
            <w:tcBorders>
              <w:top w:val="single" w:sz="4" w:space="0" w:color="auto"/>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center"/>
              <w:rPr>
                <w:rFonts w:ascii="宋体" w:hAnsi="宋体" w:cs="宋体"/>
                <w:color w:val="000000"/>
                <w:kern w:val="0"/>
                <w:szCs w:val="21"/>
              </w:rPr>
            </w:pPr>
            <w:r w:rsidRPr="00665620">
              <w:rPr>
                <w:rFonts w:ascii="宋体" w:hAnsi="宋体" w:cs="宋体" w:hint="eastAsia"/>
                <w:color w:val="000000"/>
                <w:kern w:val="0"/>
                <w:szCs w:val="21"/>
              </w:rPr>
              <w:t>期末</w:t>
            </w:r>
          </w:p>
        </w:tc>
        <w:tc>
          <w:tcPr>
            <w:tcW w:w="2835" w:type="dxa"/>
            <w:gridSpan w:val="2"/>
            <w:tcBorders>
              <w:top w:val="single" w:sz="4" w:space="0" w:color="auto"/>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center"/>
              <w:rPr>
                <w:rFonts w:ascii="宋体" w:hAnsi="宋体" w:cs="宋体"/>
                <w:color w:val="000000"/>
                <w:kern w:val="0"/>
                <w:szCs w:val="21"/>
              </w:rPr>
            </w:pPr>
            <w:r w:rsidRPr="00665620">
              <w:rPr>
                <w:rFonts w:ascii="宋体" w:hAnsi="宋体" w:cs="宋体" w:hint="eastAsia"/>
                <w:color w:val="000000"/>
                <w:kern w:val="0"/>
                <w:szCs w:val="21"/>
              </w:rPr>
              <w:t>年初</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1B3C" w:rsidRPr="00665620" w:rsidRDefault="005D1B3C" w:rsidP="005D1B3C">
            <w:pPr>
              <w:widowControl/>
              <w:jc w:val="center"/>
              <w:rPr>
                <w:rFonts w:ascii="宋体" w:hAnsi="宋体" w:cs="宋体"/>
                <w:color w:val="000000"/>
                <w:kern w:val="0"/>
                <w:szCs w:val="21"/>
              </w:rPr>
            </w:pPr>
            <w:r w:rsidRPr="00665620">
              <w:rPr>
                <w:rFonts w:ascii="宋体" w:hAnsi="宋体" w:cs="宋体" w:hint="eastAsia"/>
                <w:color w:val="000000"/>
                <w:kern w:val="0"/>
                <w:szCs w:val="21"/>
              </w:rPr>
              <w:t>增减幅度</w:t>
            </w:r>
          </w:p>
        </w:tc>
      </w:tr>
      <w:tr w:rsidR="005D1B3C" w:rsidRPr="00665620" w:rsidTr="005D1B3C">
        <w:trPr>
          <w:trHeight w:val="315"/>
        </w:trPr>
        <w:tc>
          <w:tcPr>
            <w:tcW w:w="2220" w:type="dxa"/>
            <w:vMerge/>
            <w:tcBorders>
              <w:top w:val="single" w:sz="4" w:space="0" w:color="auto"/>
              <w:left w:val="single" w:sz="4" w:space="0" w:color="auto"/>
              <w:bottom w:val="single" w:sz="4" w:space="0" w:color="auto"/>
              <w:right w:val="single" w:sz="4" w:space="0" w:color="auto"/>
            </w:tcBorders>
            <w:vAlign w:val="center"/>
            <w:hideMark/>
          </w:tcPr>
          <w:p w:rsidR="005D1B3C" w:rsidRPr="00665620" w:rsidRDefault="005D1B3C" w:rsidP="005D1B3C">
            <w:pPr>
              <w:widowControl/>
              <w:jc w:val="left"/>
              <w:rPr>
                <w:rFonts w:ascii="宋体" w:hAnsi="宋体" w:cs="宋体"/>
                <w:color w:val="000000"/>
                <w:kern w:val="0"/>
                <w:szCs w:val="21"/>
              </w:rPr>
            </w:pPr>
          </w:p>
        </w:tc>
        <w:tc>
          <w:tcPr>
            <w:tcW w:w="1392"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center"/>
              <w:rPr>
                <w:rFonts w:ascii="宋体" w:hAnsi="宋体" w:cs="宋体"/>
                <w:color w:val="000000"/>
                <w:kern w:val="0"/>
                <w:szCs w:val="21"/>
              </w:rPr>
            </w:pPr>
            <w:r w:rsidRPr="00665620">
              <w:rPr>
                <w:rFonts w:ascii="宋体" w:hAnsi="宋体" w:cs="宋体" w:hint="eastAsia"/>
                <w:color w:val="000000"/>
                <w:kern w:val="0"/>
                <w:szCs w:val="21"/>
              </w:rPr>
              <w:t xml:space="preserve"> 金额 </w:t>
            </w:r>
          </w:p>
        </w:tc>
        <w:tc>
          <w:tcPr>
            <w:tcW w:w="1220"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center"/>
              <w:rPr>
                <w:rFonts w:ascii="宋体" w:hAnsi="宋体" w:cs="宋体"/>
                <w:color w:val="000000"/>
                <w:kern w:val="0"/>
                <w:szCs w:val="21"/>
              </w:rPr>
            </w:pPr>
            <w:r w:rsidRPr="00665620">
              <w:rPr>
                <w:rFonts w:ascii="宋体" w:hAnsi="宋体" w:cs="宋体" w:hint="eastAsia"/>
                <w:color w:val="000000"/>
                <w:kern w:val="0"/>
                <w:szCs w:val="21"/>
              </w:rPr>
              <w:t>占总资产比例</w:t>
            </w:r>
          </w:p>
        </w:tc>
        <w:tc>
          <w:tcPr>
            <w:tcW w:w="1639"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center"/>
              <w:rPr>
                <w:rFonts w:ascii="宋体" w:hAnsi="宋体" w:cs="宋体"/>
                <w:color w:val="000000"/>
                <w:kern w:val="0"/>
                <w:szCs w:val="21"/>
              </w:rPr>
            </w:pPr>
            <w:r w:rsidRPr="00665620">
              <w:rPr>
                <w:rFonts w:ascii="宋体" w:hAnsi="宋体" w:cs="宋体" w:hint="eastAsia"/>
                <w:color w:val="000000"/>
                <w:kern w:val="0"/>
                <w:szCs w:val="21"/>
              </w:rPr>
              <w:t xml:space="preserve"> 金额 </w:t>
            </w:r>
          </w:p>
        </w:tc>
        <w:tc>
          <w:tcPr>
            <w:tcW w:w="1196"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center"/>
              <w:rPr>
                <w:rFonts w:ascii="宋体" w:hAnsi="宋体" w:cs="宋体"/>
                <w:color w:val="000000"/>
                <w:kern w:val="0"/>
                <w:szCs w:val="21"/>
              </w:rPr>
            </w:pPr>
            <w:r w:rsidRPr="00665620">
              <w:rPr>
                <w:rFonts w:ascii="宋体" w:hAnsi="宋体" w:cs="宋体" w:hint="eastAsia"/>
                <w:color w:val="000000"/>
                <w:kern w:val="0"/>
                <w:szCs w:val="21"/>
              </w:rPr>
              <w:t>占总资产比例</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D1B3C" w:rsidRPr="00665620" w:rsidRDefault="005D1B3C" w:rsidP="005D1B3C">
            <w:pPr>
              <w:widowControl/>
              <w:jc w:val="left"/>
              <w:rPr>
                <w:rFonts w:ascii="宋体" w:hAnsi="宋体" w:cs="宋体"/>
                <w:color w:val="000000"/>
                <w:kern w:val="0"/>
                <w:szCs w:val="21"/>
              </w:rPr>
            </w:pPr>
          </w:p>
        </w:tc>
      </w:tr>
      <w:tr w:rsidR="005D1B3C" w:rsidRPr="00665620" w:rsidTr="005D1B3C">
        <w:trPr>
          <w:trHeight w:val="315"/>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rsidR="005D1B3C" w:rsidRPr="00665620" w:rsidRDefault="005D1B3C" w:rsidP="005D1B3C">
            <w:pPr>
              <w:widowControl/>
              <w:jc w:val="left"/>
              <w:rPr>
                <w:rFonts w:ascii="宋体" w:hAnsi="宋体" w:cs="宋体"/>
                <w:color w:val="000000"/>
                <w:kern w:val="0"/>
                <w:szCs w:val="21"/>
              </w:rPr>
            </w:pPr>
            <w:r w:rsidRPr="00665620">
              <w:rPr>
                <w:rFonts w:ascii="宋体" w:hAnsi="宋体" w:cs="宋体" w:hint="eastAsia"/>
                <w:color w:val="000000"/>
                <w:kern w:val="0"/>
                <w:szCs w:val="21"/>
              </w:rPr>
              <w:t>货币资金</w:t>
            </w:r>
          </w:p>
        </w:tc>
        <w:tc>
          <w:tcPr>
            <w:tcW w:w="1392"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66,633.71</w:t>
            </w:r>
          </w:p>
        </w:tc>
        <w:tc>
          <w:tcPr>
            <w:tcW w:w="1220"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10.32%</w:t>
            </w:r>
          </w:p>
        </w:tc>
        <w:tc>
          <w:tcPr>
            <w:tcW w:w="1639"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65,076.42</w:t>
            </w:r>
          </w:p>
        </w:tc>
        <w:tc>
          <w:tcPr>
            <w:tcW w:w="1196"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10.18%</w:t>
            </w:r>
          </w:p>
        </w:tc>
        <w:tc>
          <w:tcPr>
            <w:tcW w:w="1134"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2.39%</w:t>
            </w:r>
          </w:p>
        </w:tc>
      </w:tr>
      <w:tr w:rsidR="005D1B3C" w:rsidRPr="00665620" w:rsidTr="005D1B3C">
        <w:trPr>
          <w:trHeight w:val="315"/>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rsidR="005D1B3C" w:rsidRPr="00665620" w:rsidRDefault="005D1B3C" w:rsidP="005D1B3C">
            <w:pPr>
              <w:widowControl/>
              <w:jc w:val="left"/>
              <w:rPr>
                <w:rFonts w:ascii="宋体" w:hAnsi="宋体" w:cs="宋体"/>
                <w:color w:val="000000"/>
                <w:kern w:val="0"/>
                <w:szCs w:val="21"/>
              </w:rPr>
            </w:pPr>
            <w:r w:rsidRPr="00665620">
              <w:rPr>
                <w:rFonts w:ascii="宋体" w:hAnsi="宋体" w:cs="宋体" w:hint="eastAsia"/>
                <w:color w:val="000000"/>
                <w:kern w:val="0"/>
                <w:szCs w:val="21"/>
              </w:rPr>
              <w:t>交易性金融资产</w:t>
            </w:r>
          </w:p>
        </w:tc>
        <w:tc>
          <w:tcPr>
            <w:tcW w:w="1392"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30,989.75</w:t>
            </w:r>
          </w:p>
        </w:tc>
        <w:tc>
          <w:tcPr>
            <w:tcW w:w="1220"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4.80%</w:t>
            </w:r>
          </w:p>
        </w:tc>
        <w:tc>
          <w:tcPr>
            <w:tcW w:w="1639"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40,822.16</w:t>
            </w:r>
          </w:p>
        </w:tc>
        <w:tc>
          <w:tcPr>
            <w:tcW w:w="1196"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6.38%</w:t>
            </w:r>
          </w:p>
        </w:tc>
        <w:tc>
          <w:tcPr>
            <w:tcW w:w="1134"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-24.09%</w:t>
            </w:r>
          </w:p>
        </w:tc>
      </w:tr>
      <w:tr w:rsidR="005D1B3C" w:rsidRPr="00665620" w:rsidTr="00665620">
        <w:trPr>
          <w:trHeight w:val="315"/>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rsidR="005D1B3C" w:rsidRPr="00665620" w:rsidRDefault="005D1B3C" w:rsidP="005D1B3C">
            <w:pPr>
              <w:widowControl/>
              <w:jc w:val="left"/>
              <w:rPr>
                <w:rFonts w:ascii="宋体" w:hAnsi="宋体" w:cs="宋体"/>
                <w:color w:val="000000"/>
                <w:kern w:val="0"/>
                <w:szCs w:val="21"/>
              </w:rPr>
            </w:pPr>
            <w:r w:rsidRPr="00665620">
              <w:rPr>
                <w:rFonts w:ascii="宋体" w:hAnsi="宋体" w:cs="宋体" w:hint="eastAsia"/>
                <w:color w:val="000000"/>
                <w:kern w:val="0"/>
                <w:szCs w:val="21"/>
              </w:rPr>
              <w:t>应收票据</w:t>
            </w:r>
          </w:p>
        </w:tc>
        <w:tc>
          <w:tcPr>
            <w:tcW w:w="1392"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5,121.66</w:t>
            </w:r>
          </w:p>
        </w:tc>
        <w:tc>
          <w:tcPr>
            <w:tcW w:w="1220"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0.79%</w:t>
            </w:r>
          </w:p>
        </w:tc>
        <w:tc>
          <w:tcPr>
            <w:tcW w:w="1639"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5,658.97</w:t>
            </w:r>
          </w:p>
        </w:tc>
        <w:tc>
          <w:tcPr>
            <w:tcW w:w="1196"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0.89%</w:t>
            </w:r>
          </w:p>
        </w:tc>
        <w:tc>
          <w:tcPr>
            <w:tcW w:w="1134"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-9.49%</w:t>
            </w:r>
          </w:p>
        </w:tc>
      </w:tr>
      <w:tr w:rsidR="005D1B3C" w:rsidRPr="00665620" w:rsidTr="00665620">
        <w:trPr>
          <w:trHeight w:val="315"/>
        </w:trPr>
        <w:tc>
          <w:tcPr>
            <w:tcW w:w="2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1B3C" w:rsidRPr="00665620" w:rsidRDefault="005D1B3C" w:rsidP="005D1B3C">
            <w:pPr>
              <w:widowControl/>
              <w:jc w:val="left"/>
              <w:rPr>
                <w:rFonts w:ascii="宋体" w:hAnsi="宋体" w:cs="宋体"/>
                <w:color w:val="000000"/>
                <w:kern w:val="0"/>
                <w:szCs w:val="21"/>
              </w:rPr>
            </w:pPr>
            <w:r w:rsidRPr="00665620">
              <w:rPr>
                <w:rFonts w:ascii="宋体" w:hAnsi="宋体" w:cs="宋体" w:hint="eastAsia"/>
                <w:color w:val="000000"/>
                <w:kern w:val="0"/>
                <w:szCs w:val="21"/>
              </w:rPr>
              <w:lastRenderedPageBreak/>
              <w:t>应收账款</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10,974.13</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1.70%</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12,051.73</w:t>
            </w:r>
          </w:p>
        </w:tc>
        <w:tc>
          <w:tcPr>
            <w:tcW w:w="11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1.88%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-8.94%</w:t>
            </w:r>
          </w:p>
        </w:tc>
      </w:tr>
      <w:tr w:rsidR="005D1B3C" w:rsidRPr="00665620" w:rsidTr="00665620">
        <w:trPr>
          <w:trHeight w:val="315"/>
        </w:trPr>
        <w:tc>
          <w:tcPr>
            <w:tcW w:w="2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1B3C" w:rsidRPr="00665620" w:rsidRDefault="005D1B3C" w:rsidP="005D1B3C">
            <w:pPr>
              <w:widowControl/>
              <w:jc w:val="left"/>
              <w:rPr>
                <w:rFonts w:ascii="宋体" w:hAnsi="宋体" w:cs="宋体"/>
                <w:color w:val="000000"/>
                <w:kern w:val="0"/>
                <w:szCs w:val="21"/>
              </w:rPr>
            </w:pPr>
            <w:r w:rsidRPr="00665620">
              <w:rPr>
                <w:rFonts w:ascii="宋体" w:hAnsi="宋体" w:cs="宋体" w:hint="eastAsia"/>
                <w:color w:val="000000"/>
                <w:kern w:val="0"/>
                <w:szCs w:val="21"/>
              </w:rPr>
              <w:t>应收款项融资</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14,189.99</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2.20%</w:t>
            </w:r>
          </w:p>
        </w:tc>
        <w:tc>
          <w:tcPr>
            <w:tcW w:w="1639" w:type="dxa"/>
            <w:tcBorders>
              <w:top w:val="single" w:sz="4" w:space="0" w:color="auto"/>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15,161.23</w:t>
            </w:r>
          </w:p>
        </w:tc>
        <w:tc>
          <w:tcPr>
            <w:tcW w:w="1196" w:type="dxa"/>
            <w:tcBorders>
              <w:top w:val="single" w:sz="4" w:space="0" w:color="auto"/>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2.37%</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-6.41%</w:t>
            </w:r>
          </w:p>
        </w:tc>
      </w:tr>
      <w:tr w:rsidR="005D1B3C" w:rsidRPr="00665620" w:rsidTr="005D1B3C">
        <w:trPr>
          <w:trHeight w:val="315"/>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rsidR="005D1B3C" w:rsidRPr="00665620" w:rsidRDefault="005D1B3C" w:rsidP="005D1B3C">
            <w:pPr>
              <w:widowControl/>
              <w:jc w:val="left"/>
              <w:rPr>
                <w:rFonts w:ascii="宋体" w:hAnsi="宋体" w:cs="宋体"/>
                <w:color w:val="000000"/>
                <w:kern w:val="0"/>
                <w:szCs w:val="21"/>
              </w:rPr>
            </w:pPr>
            <w:r w:rsidRPr="00665620">
              <w:rPr>
                <w:rFonts w:ascii="宋体" w:hAnsi="宋体" w:cs="宋体" w:hint="eastAsia"/>
                <w:color w:val="000000"/>
                <w:kern w:val="0"/>
                <w:szCs w:val="21"/>
              </w:rPr>
              <w:t>预付款项</w:t>
            </w:r>
          </w:p>
        </w:tc>
        <w:tc>
          <w:tcPr>
            <w:tcW w:w="1392"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3,546.50</w:t>
            </w:r>
          </w:p>
        </w:tc>
        <w:tc>
          <w:tcPr>
            <w:tcW w:w="1220"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0.55%</w:t>
            </w:r>
          </w:p>
        </w:tc>
        <w:tc>
          <w:tcPr>
            <w:tcW w:w="1639"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3,797.04</w:t>
            </w:r>
          </w:p>
        </w:tc>
        <w:tc>
          <w:tcPr>
            <w:tcW w:w="1196"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0.59%</w:t>
            </w:r>
          </w:p>
        </w:tc>
        <w:tc>
          <w:tcPr>
            <w:tcW w:w="1134"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-6.60%</w:t>
            </w:r>
          </w:p>
        </w:tc>
      </w:tr>
      <w:tr w:rsidR="005D1B3C" w:rsidRPr="00665620" w:rsidTr="005D1B3C">
        <w:trPr>
          <w:trHeight w:val="315"/>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rsidR="005D1B3C" w:rsidRPr="00665620" w:rsidRDefault="005D1B3C" w:rsidP="005D1B3C">
            <w:pPr>
              <w:widowControl/>
              <w:jc w:val="left"/>
              <w:rPr>
                <w:rFonts w:ascii="宋体" w:hAnsi="宋体" w:cs="宋体"/>
                <w:color w:val="000000"/>
                <w:kern w:val="0"/>
                <w:szCs w:val="21"/>
              </w:rPr>
            </w:pPr>
            <w:r w:rsidRPr="00665620">
              <w:rPr>
                <w:rFonts w:ascii="宋体" w:hAnsi="宋体" w:cs="宋体" w:hint="eastAsia"/>
                <w:color w:val="000000"/>
                <w:kern w:val="0"/>
                <w:szCs w:val="21"/>
              </w:rPr>
              <w:t>其他应收款</w:t>
            </w:r>
          </w:p>
        </w:tc>
        <w:tc>
          <w:tcPr>
            <w:tcW w:w="1392"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142.33</w:t>
            </w:r>
          </w:p>
        </w:tc>
        <w:tc>
          <w:tcPr>
            <w:tcW w:w="1220"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0.02%</w:t>
            </w:r>
          </w:p>
        </w:tc>
        <w:tc>
          <w:tcPr>
            <w:tcW w:w="1639"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96.71</w:t>
            </w:r>
          </w:p>
        </w:tc>
        <w:tc>
          <w:tcPr>
            <w:tcW w:w="1196"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0.02%</w:t>
            </w:r>
          </w:p>
        </w:tc>
        <w:tc>
          <w:tcPr>
            <w:tcW w:w="1134"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47.18%</w:t>
            </w:r>
          </w:p>
        </w:tc>
      </w:tr>
      <w:tr w:rsidR="005D1B3C" w:rsidRPr="00665620" w:rsidTr="005D1B3C">
        <w:trPr>
          <w:trHeight w:val="315"/>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rsidR="005D1B3C" w:rsidRPr="00665620" w:rsidRDefault="005D1B3C" w:rsidP="005D1B3C">
            <w:pPr>
              <w:widowControl/>
              <w:jc w:val="left"/>
              <w:rPr>
                <w:rFonts w:ascii="宋体" w:hAnsi="宋体" w:cs="宋体"/>
                <w:color w:val="000000"/>
                <w:kern w:val="0"/>
                <w:szCs w:val="21"/>
              </w:rPr>
            </w:pPr>
            <w:r w:rsidRPr="00665620">
              <w:rPr>
                <w:rFonts w:ascii="宋体" w:hAnsi="宋体" w:cs="宋体" w:hint="eastAsia"/>
                <w:color w:val="000000"/>
                <w:kern w:val="0"/>
                <w:szCs w:val="21"/>
              </w:rPr>
              <w:t>存货</w:t>
            </w:r>
          </w:p>
        </w:tc>
        <w:tc>
          <w:tcPr>
            <w:tcW w:w="1392"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33,463.42</w:t>
            </w:r>
          </w:p>
        </w:tc>
        <w:tc>
          <w:tcPr>
            <w:tcW w:w="1220"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5.18%</w:t>
            </w:r>
          </w:p>
        </w:tc>
        <w:tc>
          <w:tcPr>
            <w:tcW w:w="1639"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15,227.02</w:t>
            </w:r>
          </w:p>
        </w:tc>
        <w:tc>
          <w:tcPr>
            <w:tcW w:w="1196"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2.38%</w:t>
            </w:r>
          </w:p>
        </w:tc>
        <w:tc>
          <w:tcPr>
            <w:tcW w:w="1134"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119.76%</w:t>
            </w:r>
          </w:p>
        </w:tc>
      </w:tr>
      <w:tr w:rsidR="005D1B3C" w:rsidRPr="00665620" w:rsidTr="005D1B3C">
        <w:trPr>
          <w:trHeight w:val="315"/>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rsidR="005D1B3C" w:rsidRPr="00665620" w:rsidRDefault="005D1B3C" w:rsidP="005D1B3C">
            <w:pPr>
              <w:widowControl/>
              <w:jc w:val="left"/>
              <w:rPr>
                <w:rFonts w:ascii="宋体" w:hAnsi="宋体" w:cs="宋体"/>
                <w:color w:val="000000"/>
                <w:kern w:val="0"/>
                <w:szCs w:val="21"/>
              </w:rPr>
            </w:pPr>
            <w:r w:rsidRPr="00665620">
              <w:rPr>
                <w:rFonts w:ascii="宋体" w:hAnsi="宋体" w:cs="宋体" w:hint="eastAsia"/>
                <w:color w:val="000000"/>
                <w:kern w:val="0"/>
                <w:szCs w:val="21"/>
              </w:rPr>
              <w:t>其他流动资产</w:t>
            </w:r>
          </w:p>
        </w:tc>
        <w:tc>
          <w:tcPr>
            <w:tcW w:w="1392"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3,158.64</w:t>
            </w:r>
          </w:p>
        </w:tc>
        <w:tc>
          <w:tcPr>
            <w:tcW w:w="1220"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0.49%</w:t>
            </w:r>
          </w:p>
        </w:tc>
        <w:tc>
          <w:tcPr>
            <w:tcW w:w="1639"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676.31</w:t>
            </w:r>
          </w:p>
        </w:tc>
        <w:tc>
          <w:tcPr>
            <w:tcW w:w="1196"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0.11%</w:t>
            </w:r>
          </w:p>
        </w:tc>
        <w:tc>
          <w:tcPr>
            <w:tcW w:w="1134"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367.04%</w:t>
            </w:r>
          </w:p>
        </w:tc>
      </w:tr>
      <w:tr w:rsidR="005D1B3C" w:rsidRPr="00665620" w:rsidTr="005D1B3C">
        <w:trPr>
          <w:trHeight w:val="315"/>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rsidR="005D1B3C" w:rsidRPr="00665620" w:rsidRDefault="005D1B3C" w:rsidP="005D1B3C">
            <w:pPr>
              <w:widowControl/>
              <w:jc w:val="left"/>
              <w:rPr>
                <w:rFonts w:ascii="宋体" w:hAnsi="宋体" w:cs="宋体"/>
                <w:color w:val="000000"/>
                <w:kern w:val="0"/>
                <w:szCs w:val="21"/>
              </w:rPr>
            </w:pPr>
            <w:r w:rsidRPr="00665620">
              <w:rPr>
                <w:rFonts w:ascii="宋体" w:hAnsi="宋体" w:cs="宋体" w:hint="eastAsia"/>
                <w:color w:val="000000"/>
                <w:kern w:val="0"/>
                <w:szCs w:val="21"/>
              </w:rPr>
              <w:t>长期股权投资</w:t>
            </w:r>
          </w:p>
        </w:tc>
        <w:tc>
          <w:tcPr>
            <w:tcW w:w="1392"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357,129.07</w:t>
            </w:r>
          </w:p>
        </w:tc>
        <w:tc>
          <w:tcPr>
            <w:tcW w:w="1220"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55.31%</w:t>
            </w:r>
          </w:p>
        </w:tc>
        <w:tc>
          <w:tcPr>
            <w:tcW w:w="1639"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361,108.52</w:t>
            </w:r>
          </w:p>
        </w:tc>
        <w:tc>
          <w:tcPr>
            <w:tcW w:w="1196"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56.48%</w:t>
            </w:r>
          </w:p>
        </w:tc>
        <w:tc>
          <w:tcPr>
            <w:tcW w:w="1134"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-1.10%</w:t>
            </w:r>
          </w:p>
        </w:tc>
      </w:tr>
      <w:tr w:rsidR="005D1B3C" w:rsidRPr="00665620" w:rsidTr="005D1B3C">
        <w:trPr>
          <w:trHeight w:val="315"/>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rsidR="005D1B3C" w:rsidRPr="00665620" w:rsidRDefault="005D1B3C" w:rsidP="005D1B3C">
            <w:pPr>
              <w:widowControl/>
              <w:jc w:val="left"/>
              <w:rPr>
                <w:rFonts w:ascii="宋体" w:hAnsi="宋体" w:cs="宋体"/>
                <w:color w:val="000000"/>
                <w:kern w:val="0"/>
                <w:szCs w:val="21"/>
              </w:rPr>
            </w:pPr>
            <w:r w:rsidRPr="00665620">
              <w:rPr>
                <w:rFonts w:ascii="宋体" w:hAnsi="宋体" w:cs="宋体" w:hint="eastAsia"/>
                <w:color w:val="000000"/>
                <w:kern w:val="0"/>
                <w:szCs w:val="21"/>
              </w:rPr>
              <w:t>其他非流动金融资产</w:t>
            </w:r>
          </w:p>
        </w:tc>
        <w:tc>
          <w:tcPr>
            <w:tcW w:w="1392"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65,990.99</w:t>
            </w:r>
          </w:p>
        </w:tc>
        <w:tc>
          <w:tcPr>
            <w:tcW w:w="1220"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10.22%</w:t>
            </w:r>
          </w:p>
        </w:tc>
        <w:tc>
          <w:tcPr>
            <w:tcW w:w="1639"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65,534.48</w:t>
            </w:r>
          </w:p>
        </w:tc>
        <w:tc>
          <w:tcPr>
            <w:tcW w:w="1196"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10.25%</w:t>
            </w:r>
          </w:p>
        </w:tc>
        <w:tc>
          <w:tcPr>
            <w:tcW w:w="1134"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0.70%</w:t>
            </w:r>
          </w:p>
        </w:tc>
      </w:tr>
      <w:tr w:rsidR="005D1B3C" w:rsidRPr="00665620" w:rsidTr="005D1B3C">
        <w:trPr>
          <w:trHeight w:val="315"/>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rsidR="005D1B3C" w:rsidRPr="00665620" w:rsidRDefault="005D1B3C" w:rsidP="005D1B3C">
            <w:pPr>
              <w:widowControl/>
              <w:jc w:val="left"/>
              <w:rPr>
                <w:rFonts w:ascii="宋体" w:hAnsi="宋体" w:cs="宋体"/>
                <w:color w:val="000000"/>
                <w:kern w:val="0"/>
                <w:szCs w:val="21"/>
              </w:rPr>
            </w:pPr>
            <w:r w:rsidRPr="00665620">
              <w:rPr>
                <w:rFonts w:ascii="宋体" w:hAnsi="宋体" w:cs="宋体" w:hint="eastAsia"/>
                <w:color w:val="000000"/>
                <w:kern w:val="0"/>
                <w:szCs w:val="21"/>
              </w:rPr>
              <w:t>固定资产</w:t>
            </w:r>
          </w:p>
        </w:tc>
        <w:tc>
          <w:tcPr>
            <w:tcW w:w="1392"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46,629.58</w:t>
            </w:r>
          </w:p>
        </w:tc>
        <w:tc>
          <w:tcPr>
            <w:tcW w:w="1220"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7.22%</w:t>
            </w:r>
          </w:p>
        </w:tc>
        <w:tc>
          <w:tcPr>
            <w:tcW w:w="1639"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48,721.47</w:t>
            </w:r>
          </w:p>
        </w:tc>
        <w:tc>
          <w:tcPr>
            <w:tcW w:w="1196"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7.62%</w:t>
            </w:r>
          </w:p>
        </w:tc>
        <w:tc>
          <w:tcPr>
            <w:tcW w:w="1134"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-4.29%</w:t>
            </w:r>
          </w:p>
        </w:tc>
      </w:tr>
      <w:tr w:rsidR="005D1B3C" w:rsidRPr="00665620" w:rsidTr="005D1B3C">
        <w:trPr>
          <w:trHeight w:val="315"/>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rsidR="005D1B3C" w:rsidRPr="00665620" w:rsidRDefault="005D1B3C" w:rsidP="005D1B3C">
            <w:pPr>
              <w:widowControl/>
              <w:jc w:val="left"/>
              <w:rPr>
                <w:rFonts w:ascii="宋体" w:hAnsi="宋体" w:cs="宋体"/>
                <w:color w:val="000000"/>
                <w:kern w:val="0"/>
                <w:szCs w:val="21"/>
              </w:rPr>
            </w:pPr>
            <w:r w:rsidRPr="00665620">
              <w:rPr>
                <w:rFonts w:ascii="宋体" w:hAnsi="宋体" w:cs="宋体" w:hint="eastAsia"/>
                <w:color w:val="000000"/>
                <w:kern w:val="0"/>
                <w:szCs w:val="21"/>
              </w:rPr>
              <w:t>在建工程</w:t>
            </w:r>
          </w:p>
        </w:tc>
        <w:tc>
          <w:tcPr>
            <w:tcW w:w="1392"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2,373.13</w:t>
            </w:r>
          </w:p>
        </w:tc>
        <w:tc>
          <w:tcPr>
            <w:tcW w:w="1220"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0.37%</w:t>
            </w:r>
          </w:p>
        </w:tc>
        <w:tc>
          <w:tcPr>
            <w:tcW w:w="1639"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521.44</w:t>
            </w:r>
          </w:p>
        </w:tc>
        <w:tc>
          <w:tcPr>
            <w:tcW w:w="1196"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0.08%</w:t>
            </w:r>
          </w:p>
        </w:tc>
        <w:tc>
          <w:tcPr>
            <w:tcW w:w="1134"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355.11%</w:t>
            </w:r>
          </w:p>
        </w:tc>
      </w:tr>
      <w:tr w:rsidR="005D1B3C" w:rsidRPr="00665620" w:rsidTr="005D1B3C">
        <w:trPr>
          <w:trHeight w:val="315"/>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rsidR="005D1B3C" w:rsidRPr="00665620" w:rsidRDefault="005D1B3C" w:rsidP="005D1B3C">
            <w:pPr>
              <w:widowControl/>
              <w:jc w:val="left"/>
              <w:rPr>
                <w:rFonts w:ascii="宋体" w:hAnsi="宋体" w:cs="宋体"/>
                <w:color w:val="000000"/>
                <w:kern w:val="0"/>
                <w:szCs w:val="21"/>
              </w:rPr>
            </w:pPr>
            <w:r w:rsidRPr="00665620">
              <w:rPr>
                <w:rFonts w:ascii="宋体" w:hAnsi="宋体" w:cs="宋体" w:hint="eastAsia"/>
                <w:color w:val="000000"/>
                <w:kern w:val="0"/>
                <w:szCs w:val="21"/>
              </w:rPr>
              <w:t>无形资产</w:t>
            </w:r>
          </w:p>
        </w:tc>
        <w:tc>
          <w:tcPr>
            <w:tcW w:w="1392"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2,009.70</w:t>
            </w:r>
          </w:p>
        </w:tc>
        <w:tc>
          <w:tcPr>
            <w:tcW w:w="1220"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0.31%</w:t>
            </w:r>
          </w:p>
        </w:tc>
        <w:tc>
          <w:tcPr>
            <w:tcW w:w="1639"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2,087.66</w:t>
            </w:r>
          </w:p>
        </w:tc>
        <w:tc>
          <w:tcPr>
            <w:tcW w:w="1196"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0.33%</w:t>
            </w:r>
          </w:p>
        </w:tc>
        <w:tc>
          <w:tcPr>
            <w:tcW w:w="1134"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-3.73%</w:t>
            </w:r>
          </w:p>
        </w:tc>
      </w:tr>
      <w:tr w:rsidR="005D1B3C" w:rsidRPr="00665620" w:rsidTr="005D1B3C">
        <w:trPr>
          <w:trHeight w:val="315"/>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rsidR="005D1B3C" w:rsidRPr="00665620" w:rsidRDefault="005D1B3C" w:rsidP="005D1B3C">
            <w:pPr>
              <w:widowControl/>
              <w:jc w:val="left"/>
              <w:rPr>
                <w:rFonts w:ascii="宋体" w:hAnsi="宋体" w:cs="宋体"/>
                <w:color w:val="000000"/>
                <w:kern w:val="0"/>
                <w:szCs w:val="21"/>
              </w:rPr>
            </w:pPr>
            <w:r w:rsidRPr="00665620">
              <w:rPr>
                <w:rFonts w:ascii="宋体" w:hAnsi="宋体" w:cs="宋体" w:hint="eastAsia"/>
                <w:color w:val="000000"/>
                <w:kern w:val="0"/>
                <w:szCs w:val="21"/>
              </w:rPr>
              <w:t>商誉</w:t>
            </w:r>
          </w:p>
        </w:tc>
        <w:tc>
          <w:tcPr>
            <w:tcW w:w="1392"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206.49</w:t>
            </w:r>
          </w:p>
        </w:tc>
        <w:tc>
          <w:tcPr>
            <w:tcW w:w="1220"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0.03%</w:t>
            </w:r>
          </w:p>
        </w:tc>
        <w:tc>
          <w:tcPr>
            <w:tcW w:w="1639"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206.49</w:t>
            </w:r>
          </w:p>
        </w:tc>
        <w:tc>
          <w:tcPr>
            <w:tcW w:w="1196"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0.03%</w:t>
            </w:r>
          </w:p>
        </w:tc>
        <w:tc>
          <w:tcPr>
            <w:tcW w:w="1134"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0.00%</w:t>
            </w:r>
          </w:p>
        </w:tc>
      </w:tr>
      <w:tr w:rsidR="005D1B3C" w:rsidRPr="00665620" w:rsidTr="005D1B3C">
        <w:trPr>
          <w:trHeight w:val="315"/>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rsidR="005D1B3C" w:rsidRPr="00665620" w:rsidRDefault="005D1B3C" w:rsidP="005D1B3C">
            <w:pPr>
              <w:widowControl/>
              <w:jc w:val="left"/>
              <w:rPr>
                <w:rFonts w:ascii="宋体" w:hAnsi="宋体" w:cs="宋体"/>
                <w:color w:val="000000"/>
                <w:kern w:val="0"/>
                <w:szCs w:val="21"/>
              </w:rPr>
            </w:pPr>
            <w:r w:rsidRPr="00665620">
              <w:rPr>
                <w:rFonts w:ascii="宋体" w:hAnsi="宋体" w:cs="宋体" w:hint="eastAsia"/>
                <w:color w:val="000000"/>
                <w:kern w:val="0"/>
                <w:szCs w:val="21"/>
              </w:rPr>
              <w:t>递延所得税资产</w:t>
            </w:r>
          </w:p>
        </w:tc>
        <w:tc>
          <w:tcPr>
            <w:tcW w:w="1392"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2,313.14</w:t>
            </w:r>
          </w:p>
        </w:tc>
        <w:tc>
          <w:tcPr>
            <w:tcW w:w="1220"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0.36%</w:t>
            </w:r>
          </w:p>
        </w:tc>
        <w:tc>
          <w:tcPr>
            <w:tcW w:w="1639"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2,370.69</w:t>
            </w:r>
          </w:p>
        </w:tc>
        <w:tc>
          <w:tcPr>
            <w:tcW w:w="1196"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0.37%</w:t>
            </w:r>
          </w:p>
        </w:tc>
        <w:tc>
          <w:tcPr>
            <w:tcW w:w="1134"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-2.43%</w:t>
            </w:r>
          </w:p>
        </w:tc>
      </w:tr>
      <w:tr w:rsidR="005D1B3C" w:rsidRPr="00665620" w:rsidTr="005D1B3C">
        <w:trPr>
          <w:trHeight w:val="315"/>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rsidR="005D1B3C" w:rsidRPr="00665620" w:rsidRDefault="005D1B3C" w:rsidP="005D1B3C">
            <w:pPr>
              <w:widowControl/>
              <w:jc w:val="left"/>
              <w:rPr>
                <w:rFonts w:ascii="宋体" w:hAnsi="宋体" w:cs="宋体"/>
                <w:color w:val="000000"/>
                <w:kern w:val="0"/>
                <w:szCs w:val="21"/>
              </w:rPr>
            </w:pPr>
            <w:r w:rsidRPr="00665620">
              <w:rPr>
                <w:rFonts w:ascii="宋体" w:hAnsi="宋体" w:cs="宋体" w:hint="eastAsia"/>
                <w:color w:val="000000"/>
                <w:kern w:val="0"/>
                <w:szCs w:val="21"/>
              </w:rPr>
              <w:t>其他非流动资产</w:t>
            </w:r>
          </w:p>
        </w:tc>
        <w:tc>
          <w:tcPr>
            <w:tcW w:w="1392"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788.05</w:t>
            </w:r>
          </w:p>
        </w:tc>
        <w:tc>
          <w:tcPr>
            <w:tcW w:w="1220"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0.12%</w:t>
            </w:r>
          </w:p>
        </w:tc>
        <w:tc>
          <w:tcPr>
            <w:tcW w:w="1639"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288.42</w:t>
            </w:r>
          </w:p>
        </w:tc>
        <w:tc>
          <w:tcPr>
            <w:tcW w:w="1196"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0.05%</w:t>
            </w:r>
          </w:p>
        </w:tc>
        <w:tc>
          <w:tcPr>
            <w:tcW w:w="1134"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173.23%</w:t>
            </w:r>
          </w:p>
        </w:tc>
      </w:tr>
      <w:tr w:rsidR="005D1B3C" w:rsidRPr="00665620" w:rsidTr="005D1B3C">
        <w:trPr>
          <w:trHeight w:val="315"/>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rsidR="005D1B3C" w:rsidRPr="00665620" w:rsidRDefault="005D1B3C" w:rsidP="005D1B3C">
            <w:pPr>
              <w:widowControl/>
              <w:jc w:val="left"/>
              <w:rPr>
                <w:rFonts w:ascii="宋体" w:hAnsi="宋体" w:cs="宋体"/>
                <w:color w:val="000000"/>
                <w:kern w:val="0"/>
                <w:szCs w:val="21"/>
              </w:rPr>
            </w:pPr>
            <w:r w:rsidRPr="00665620">
              <w:rPr>
                <w:rFonts w:ascii="宋体" w:hAnsi="宋体" w:cs="宋体" w:hint="eastAsia"/>
                <w:color w:val="000000"/>
                <w:kern w:val="0"/>
                <w:szCs w:val="21"/>
              </w:rPr>
              <w:t>短期借款</w:t>
            </w:r>
            <w:r w:rsidRPr="00665620">
              <w:rPr>
                <w:rFonts w:ascii="MS Mincho" w:eastAsia="MS Mincho" w:hAnsi="MS Mincho" w:cs="MS Mincho" w:hint="eastAsia"/>
                <w:color w:val="000000"/>
                <w:kern w:val="0"/>
                <w:szCs w:val="21"/>
              </w:rPr>
              <w:t>  </w:t>
            </w:r>
          </w:p>
        </w:tc>
        <w:tc>
          <w:tcPr>
            <w:tcW w:w="1392"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109,417.59</w:t>
            </w:r>
          </w:p>
        </w:tc>
        <w:tc>
          <w:tcPr>
            <w:tcW w:w="1220"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16.95%</w:t>
            </w:r>
          </w:p>
        </w:tc>
        <w:tc>
          <w:tcPr>
            <w:tcW w:w="1639"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106,884.70</w:t>
            </w:r>
          </w:p>
        </w:tc>
        <w:tc>
          <w:tcPr>
            <w:tcW w:w="1196"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16.72%</w:t>
            </w:r>
          </w:p>
        </w:tc>
        <w:tc>
          <w:tcPr>
            <w:tcW w:w="1134"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2.37%</w:t>
            </w:r>
          </w:p>
        </w:tc>
      </w:tr>
      <w:tr w:rsidR="005D1B3C" w:rsidRPr="00665620" w:rsidTr="005D1B3C">
        <w:trPr>
          <w:trHeight w:val="315"/>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rsidR="005D1B3C" w:rsidRPr="00665620" w:rsidRDefault="005D1B3C" w:rsidP="005D1B3C">
            <w:pPr>
              <w:widowControl/>
              <w:jc w:val="left"/>
              <w:rPr>
                <w:rFonts w:ascii="宋体" w:hAnsi="宋体" w:cs="宋体"/>
                <w:color w:val="000000"/>
                <w:kern w:val="0"/>
                <w:szCs w:val="21"/>
              </w:rPr>
            </w:pPr>
            <w:r w:rsidRPr="00665620">
              <w:rPr>
                <w:rFonts w:ascii="宋体" w:hAnsi="宋体" w:cs="宋体" w:hint="eastAsia"/>
                <w:color w:val="000000"/>
                <w:kern w:val="0"/>
                <w:szCs w:val="21"/>
              </w:rPr>
              <w:t>应付账款</w:t>
            </w:r>
          </w:p>
        </w:tc>
        <w:tc>
          <w:tcPr>
            <w:tcW w:w="1392"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7,739.62</w:t>
            </w:r>
          </w:p>
        </w:tc>
        <w:tc>
          <w:tcPr>
            <w:tcW w:w="1220"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1.20%</w:t>
            </w:r>
          </w:p>
        </w:tc>
        <w:tc>
          <w:tcPr>
            <w:tcW w:w="1639"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8,027.86</w:t>
            </w:r>
          </w:p>
        </w:tc>
        <w:tc>
          <w:tcPr>
            <w:tcW w:w="1196"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1.26%</w:t>
            </w:r>
          </w:p>
        </w:tc>
        <w:tc>
          <w:tcPr>
            <w:tcW w:w="1134"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-3.59%</w:t>
            </w:r>
          </w:p>
        </w:tc>
      </w:tr>
      <w:tr w:rsidR="005D1B3C" w:rsidRPr="00665620" w:rsidTr="005D1B3C">
        <w:trPr>
          <w:trHeight w:val="315"/>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rsidR="005D1B3C" w:rsidRPr="00665620" w:rsidRDefault="005D1B3C" w:rsidP="005D1B3C">
            <w:pPr>
              <w:widowControl/>
              <w:jc w:val="left"/>
              <w:rPr>
                <w:rFonts w:ascii="宋体" w:hAnsi="宋体" w:cs="宋体"/>
                <w:color w:val="000000"/>
                <w:kern w:val="0"/>
                <w:szCs w:val="21"/>
              </w:rPr>
            </w:pPr>
            <w:r w:rsidRPr="00665620">
              <w:rPr>
                <w:rFonts w:ascii="宋体" w:hAnsi="宋体" w:cs="宋体" w:hint="eastAsia"/>
                <w:color w:val="000000"/>
                <w:kern w:val="0"/>
                <w:szCs w:val="21"/>
              </w:rPr>
              <w:t>预收款项</w:t>
            </w:r>
          </w:p>
        </w:tc>
        <w:tc>
          <w:tcPr>
            <w:tcW w:w="1392"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712.70</w:t>
            </w:r>
          </w:p>
        </w:tc>
        <w:tc>
          <w:tcPr>
            <w:tcW w:w="1220"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0.11%</w:t>
            </w:r>
          </w:p>
        </w:tc>
        <w:tc>
          <w:tcPr>
            <w:tcW w:w="1639"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764.27</w:t>
            </w:r>
          </w:p>
        </w:tc>
        <w:tc>
          <w:tcPr>
            <w:tcW w:w="1196"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0.12%</w:t>
            </w:r>
          </w:p>
        </w:tc>
        <w:tc>
          <w:tcPr>
            <w:tcW w:w="1134"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-6.75%</w:t>
            </w:r>
          </w:p>
        </w:tc>
      </w:tr>
      <w:tr w:rsidR="005D1B3C" w:rsidRPr="00665620" w:rsidTr="005D1B3C">
        <w:trPr>
          <w:trHeight w:val="315"/>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rsidR="005D1B3C" w:rsidRPr="00665620" w:rsidRDefault="005D1B3C" w:rsidP="005D1B3C">
            <w:pPr>
              <w:widowControl/>
              <w:jc w:val="left"/>
              <w:rPr>
                <w:rFonts w:ascii="宋体" w:hAnsi="宋体" w:cs="宋体"/>
                <w:color w:val="000000"/>
                <w:kern w:val="0"/>
                <w:szCs w:val="21"/>
              </w:rPr>
            </w:pPr>
            <w:r w:rsidRPr="00665620">
              <w:rPr>
                <w:rFonts w:ascii="宋体" w:hAnsi="宋体" w:cs="宋体" w:hint="eastAsia"/>
                <w:color w:val="000000"/>
                <w:kern w:val="0"/>
                <w:szCs w:val="21"/>
              </w:rPr>
              <w:t>合同负债</w:t>
            </w:r>
          </w:p>
        </w:tc>
        <w:tc>
          <w:tcPr>
            <w:tcW w:w="1392"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5,796.09</w:t>
            </w:r>
          </w:p>
        </w:tc>
        <w:tc>
          <w:tcPr>
            <w:tcW w:w="1220"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0.90%</w:t>
            </w:r>
          </w:p>
        </w:tc>
        <w:tc>
          <w:tcPr>
            <w:tcW w:w="1639"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5,075.88</w:t>
            </w:r>
          </w:p>
        </w:tc>
        <w:tc>
          <w:tcPr>
            <w:tcW w:w="1196"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0.79%</w:t>
            </w:r>
          </w:p>
        </w:tc>
        <w:tc>
          <w:tcPr>
            <w:tcW w:w="1134"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14.19%</w:t>
            </w:r>
          </w:p>
        </w:tc>
      </w:tr>
      <w:tr w:rsidR="005D1B3C" w:rsidRPr="00665620" w:rsidTr="005D1B3C">
        <w:trPr>
          <w:trHeight w:val="315"/>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rsidR="005D1B3C" w:rsidRPr="00665620" w:rsidRDefault="005D1B3C" w:rsidP="005D1B3C">
            <w:pPr>
              <w:widowControl/>
              <w:jc w:val="left"/>
              <w:rPr>
                <w:rFonts w:ascii="宋体" w:hAnsi="宋体" w:cs="宋体"/>
                <w:color w:val="000000"/>
                <w:kern w:val="0"/>
                <w:szCs w:val="21"/>
              </w:rPr>
            </w:pPr>
            <w:r w:rsidRPr="00665620">
              <w:rPr>
                <w:rFonts w:ascii="宋体" w:hAnsi="宋体" w:cs="宋体" w:hint="eastAsia"/>
                <w:color w:val="000000"/>
                <w:kern w:val="0"/>
                <w:szCs w:val="21"/>
              </w:rPr>
              <w:t>应付职工薪酬</w:t>
            </w:r>
          </w:p>
        </w:tc>
        <w:tc>
          <w:tcPr>
            <w:tcW w:w="1392"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3,518.61</w:t>
            </w:r>
          </w:p>
        </w:tc>
        <w:tc>
          <w:tcPr>
            <w:tcW w:w="1220"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0.54%</w:t>
            </w:r>
          </w:p>
        </w:tc>
        <w:tc>
          <w:tcPr>
            <w:tcW w:w="1639"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3,485.76</w:t>
            </w:r>
          </w:p>
        </w:tc>
        <w:tc>
          <w:tcPr>
            <w:tcW w:w="1196"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0.55%</w:t>
            </w:r>
          </w:p>
        </w:tc>
        <w:tc>
          <w:tcPr>
            <w:tcW w:w="1134"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0.94%</w:t>
            </w:r>
          </w:p>
        </w:tc>
      </w:tr>
      <w:tr w:rsidR="005D1B3C" w:rsidRPr="00665620" w:rsidTr="005D1B3C">
        <w:trPr>
          <w:trHeight w:val="315"/>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rsidR="005D1B3C" w:rsidRPr="00665620" w:rsidRDefault="005D1B3C" w:rsidP="005D1B3C">
            <w:pPr>
              <w:widowControl/>
              <w:jc w:val="left"/>
              <w:rPr>
                <w:rFonts w:ascii="宋体" w:hAnsi="宋体" w:cs="宋体"/>
                <w:color w:val="000000"/>
                <w:kern w:val="0"/>
                <w:szCs w:val="21"/>
              </w:rPr>
            </w:pPr>
            <w:r w:rsidRPr="00665620">
              <w:rPr>
                <w:rFonts w:ascii="宋体" w:hAnsi="宋体" w:cs="宋体" w:hint="eastAsia"/>
                <w:color w:val="000000"/>
                <w:kern w:val="0"/>
                <w:szCs w:val="21"/>
              </w:rPr>
              <w:t>应交税费</w:t>
            </w:r>
          </w:p>
        </w:tc>
        <w:tc>
          <w:tcPr>
            <w:tcW w:w="1392"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258.93</w:t>
            </w:r>
          </w:p>
        </w:tc>
        <w:tc>
          <w:tcPr>
            <w:tcW w:w="1220"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0.04%</w:t>
            </w:r>
          </w:p>
        </w:tc>
        <w:tc>
          <w:tcPr>
            <w:tcW w:w="1639"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2,049.50</w:t>
            </w:r>
          </w:p>
        </w:tc>
        <w:tc>
          <w:tcPr>
            <w:tcW w:w="1196"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0.32%</w:t>
            </w:r>
          </w:p>
        </w:tc>
        <w:tc>
          <w:tcPr>
            <w:tcW w:w="1134"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-87.37%</w:t>
            </w:r>
          </w:p>
        </w:tc>
      </w:tr>
      <w:tr w:rsidR="005D1B3C" w:rsidRPr="00665620" w:rsidTr="005D1B3C">
        <w:trPr>
          <w:trHeight w:val="315"/>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rsidR="005D1B3C" w:rsidRPr="00665620" w:rsidRDefault="005D1B3C" w:rsidP="005D1B3C">
            <w:pPr>
              <w:widowControl/>
              <w:jc w:val="left"/>
              <w:rPr>
                <w:rFonts w:ascii="宋体" w:hAnsi="宋体" w:cs="宋体"/>
                <w:color w:val="000000"/>
                <w:kern w:val="0"/>
                <w:szCs w:val="21"/>
              </w:rPr>
            </w:pPr>
            <w:r w:rsidRPr="00665620">
              <w:rPr>
                <w:rFonts w:ascii="宋体" w:hAnsi="宋体" w:cs="宋体" w:hint="eastAsia"/>
                <w:color w:val="000000"/>
                <w:kern w:val="0"/>
                <w:szCs w:val="21"/>
              </w:rPr>
              <w:t>其他应付款</w:t>
            </w:r>
          </w:p>
        </w:tc>
        <w:tc>
          <w:tcPr>
            <w:tcW w:w="1392"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60.72</w:t>
            </w:r>
          </w:p>
        </w:tc>
        <w:tc>
          <w:tcPr>
            <w:tcW w:w="1220"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0.01%</w:t>
            </w:r>
          </w:p>
        </w:tc>
        <w:tc>
          <w:tcPr>
            <w:tcW w:w="1639"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69.15</w:t>
            </w:r>
          </w:p>
        </w:tc>
        <w:tc>
          <w:tcPr>
            <w:tcW w:w="1196"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0.01%</w:t>
            </w:r>
          </w:p>
        </w:tc>
        <w:tc>
          <w:tcPr>
            <w:tcW w:w="1134"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-12.19%</w:t>
            </w:r>
          </w:p>
        </w:tc>
      </w:tr>
      <w:tr w:rsidR="005D1B3C" w:rsidRPr="00665620" w:rsidTr="005D1B3C">
        <w:trPr>
          <w:trHeight w:val="315"/>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rsidR="005D1B3C" w:rsidRPr="00665620" w:rsidRDefault="005D1B3C" w:rsidP="005D1B3C">
            <w:pPr>
              <w:widowControl/>
              <w:jc w:val="left"/>
              <w:rPr>
                <w:rFonts w:ascii="宋体" w:hAnsi="宋体" w:cs="宋体"/>
                <w:color w:val="000000"/>
                <w:kern w:val="0"/>
                <w:szCs w:val="21"/>
              </w:rPr>
            </w:pPr>
            <w:r w:rsidRPr="00665620">
              <w:rPr>
                <w:rFonts w:ascii="宋体" w:hAnsi="宋体" w:cs="宋体" w:hint="eastAsia"/>
                <w:color w:val="000000"/>
                <w:kern w:val="0"/>
                <w:szCs w:val="21"/>
              </w:rPr>
              <w:t>其他流动负债</w:t>
            </w:r>
          </w:p>
        </w:tc>
        <w:tc>
          <w:tcPr>
            <w:tcW w:w="1392"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3,042.64</w:t>
            </w:r>
          </w:p>
        </w:tc>
        <w:tc>
          <w:tcPr>
            <w:tcW w:w="1220"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0.47%</w:t>
            </w:r>
          </w:p>
        </w:tc>
        <w:tc>
          <w:tcPr>
            <w:tcW w:w="1639"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3,428.08</w:t>
            </w:r>
          </w:p>
        </w:tc>
        <w:tc>
          <w:tcPr>
            <w:tcW w:w="1196"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0.54%</w:t>
            </w:r>
          </w:p>
        </w:tc>
        <w:tc>
          <w:tcPr>
            <w:tcW w:w="1134"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-11.24%</w:t>
            </w:r>
          </w:p>
        </w:tc>
      </w:tr>
      <w:tr w:rsidR="005D1B3C" w:rsidRPr="00665620" w:rsidTr="005D1B3C">
        <w:trPr>
          <w:trHeight w:val="315"/>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rsidR="005D1B3C" w:rsidRPr="00665620" w:rsidRDefault="005D1B3C" w:rsidP="005D1B3C">
            <w:pPr>
              <w:widowControl/>
              <w:jc w:val="left"/>
              <w:rPr>
                <w:rFonts w:ascii="宋体" w:hAnsi="宋体" w:cs="宋体"/>
                <w:color w:val="000000"/>
                <w:kern w:val="0"/>
                <w:szCs w:val="21"/>
              </w:rPr>
            </w:pPr>
            <w:r w:rsidRPr="00665620">
              <w:rPr>
                <w:rFonts w:ascii="宋体" w:hAnsi="宋体" w:cs="宋体" w:hint="eastAsia"/>
                <w:color w:val="000000"/>
                <w:kern w:val="0"/>
                <w:szCs w:val="21"/>
              </w:rPr>
              <w:t>递延收益</w:t>
            </w:r>
          </w:p>
        </w:tc>
        <w:tc>
          <w:tcPr>
            <w:tcW w:w="1392"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422.10</w:t>
            </w:r>
          </w:p>
        </w:tc>
        <w:tc>
          <w:tcPr>
            <w:tcW w:w="1220"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0.07%</w:t>
            </w:r>
          </w:p>
        </w:tc>
        <w:tc>
          <w:tcPr>
            <w:tcW w:w="1639"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w:t>
            </w:r>
          </w:p>
        </w:tc>
        <w:tc>
          <w:tcPr>
            <w:tcW w:w="1196"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0.00%</w:t>
            </w:r>
          </w:p>
        </w:tc>
        <w:tc>
          <w:tcPr>
            <w:tcW w:w="1134"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不适用</w:t>
            </w:r>
          </w:p>
        </w:tc>
      </w:tr>
      <w:tr w:rsidR="005D1B3C" w:rsidRPr="00665620" w:rsidTr="005D1B3C">
        <w:trPr>
          <w:trHeight w:val="315"/>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rsidR="005D1B3C" w:rsidRPr="00665620" w:rsidRDefault="005D1B3C" w:rsidP="005D1B3C">
            <w:pPr>
              <w:widowControl/>
              <w:jc w:val="left"/>
              <w:rPr>
                <w:rFonts w:ascii="宋体" w:hAnsi="宋体" w:cs="宋体"/>
                <w:color w:val="000000"/>
                <w:kern w:val="0"/>
                <w:szCs w:val="21"/>
              </w:rPr>
            </w:pPr>
            <w:r w:rsidRPr="00665620">
              <w:rPr>
                <w:rFonts w:ascii="宋体" w:hAnsi="宋体" w:cs="宋体" w:hint="eastAsia"/>
                <w:color w:val="000000"/>
                <w:kern w:val="0"/>
                <w:szCs w:val="21"/>
              </w:rPr>
              <w:t>递延所得税负债</w:t>
            </w:r>
          </w:p>
        </w:tc>
        <w:tc>
          <w:tcPr>
            <w:tcW w:w="1392"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3,121.48</w:t>
            </w:r>
          </w:p>
        </w:tc>
        <w:tc>
          <w:tcPr>
            <w:tcW w:w="1220"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0.48%</w:t>
            </w:r>
          </w:p>
        </w:tc>
        <w:tc>
          <w:tcPr>
            <w:tcW w:w="1639"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4,205.64</w:t>
            </w:r>
          </w:p>
        </w:tc>
        <w:tc>
          <w:tcPr>
            <w:tcW w:w="1196"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0.66%</w:t>
            </w:r>
          </w:p>
        </w:tc>
        <w:tc>
          <w:tcPr>
            <w:tcW w:w="1134"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-25.78%</w:t>
            </w:r>
          </w:p>
        </w:tc>
      </w:tr>
      <w:tr w:rsidR="005D1B3C" w:rsidRPr="00665620" w:rsidTr="005D1B3C">
        <w:trPr>
          <w:trHeight w:val="315"/>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rsidR="005D1B3C" w:rsidRPr="00665620" w:rsidRDefault="005D1B3C" w:rsidP="005D1B3C">
            <w:pPr>
              <w:widowControl/>
              <w:jc w:val="left"/>
              <w:rPr>
                <w:rFonts w:ascii="宋体" w:hAnsi="宋体" w:cs="宋体"/>
                <w:color w:val="000000"/>
                <w:kern w:val="0"/>
                <w:szCs w:val="21"/>
              </w:rPr>
            </w:pPr>
            <w:r w:rsidRPr="00665620">
              <w:rPr>
                <w:rFonts w:ascii="宋体" w:hAnsi="宋体" w:cs="宋体" w:hint="eastAsia"/>
                <w:color w:val="000000"/>
                <w:kern w:val="0"/>
                <w:szCs w:val="21"/>
              </w:rPr>
              <w:t>股本</w:t>
            </w:r>
          </w:p>
        </w:tc>
        <w:tc>
          <w:tcPr>
            <w:tcW w:w="1392"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88,601.29</w:t>
            </w:r>
          </w:p>
        </w:tc>
        <w:tc>
          <w:tcPr>
            <w:tcW w:w="1220"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13.72%</w:t>
            </w:r>
          </w:p>
        </w:tc>
        <w:tc>
          <w:tcPr>
            <w:tcW w:w="1639"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88,601.29</w:t>
            </w:r>
          </w:p>
        </w:tc>
        <w:tc>
          <w:tcPr>
            <w:tcW w:w="1196"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13.86%</w:t>
            </w:r>
          </w:p>
        </w:tc>
        <w:tc>
          <w:tcPr>
            <w:tcW w:w="1134"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0.00%</w:t>
            </w:r>
          </w:p>
        </w:tc>
      </w:tr>
      <w:tr w:rsidR="005D1B3C" w:rsidRPr="00665620" w:rsidTr="005D1B3C">
        <w:trPr>
          <w:trHeight w:val="315"/>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rsidR="005D1B3C" w:rsidRPr="00665620" w:rsidRDefault="005D1B3C" w:rsidP="005D1B3C">
            <w:pPr>
              <w:widowControl/>
              <w:jc w:val="left"/>
              <w:rPr>
                <w:rFonts w:ascii="宋体" w:hAnsi="宋体" w:cs="宋体"/>
                <w:color w:val="000000"/>
                <w:kern w:val="0"/>
                <w:szCs w:val="21"/>
              </w:rPr>
            </w:pPr>
            <w:r w:rsidRPr="00665620">
              <w:rPr>
                <w:rFonts w:ascii="宋体" w:hAnsi="宋体" w:cs="宋体" w:hint="eastAsia"/>
                <w:color w:val="000000"/>
                <w:kern w:val="0"/>
                <w:szCs w:val="21"/>
              </w:rPr>
              <w:t>资本公积</w:t>
            </w:r>
          </w:p>
        </w:tc>
        <w:tc>
          <w:tcPr>
            <w:tcW w:w="1392"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39,104.93</w:t>
            </w:r>
          </w:p>
        </w:tc>
        <w:tc>
          <w:tcPr>
            <w:tcW w:w="1220"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6.06%</w:t>
            </w:r>
          </w:p>
        </w:tc>
        <w:tc>
          <w:tcPr>
            <w:tcW w:w="1639"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38,381.63</w:t>
            </w:r>
          </w:p>
        </w:tc>
        <w:tc>
          <w:tcPr>
            <w:tcW w:w="1196"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6.00%</w:t>
            </w:r>
          </w:p>
        </w:tc>
        <w:tc>
          <w:tcPr>
            <w:tcW w:w="1134"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1.88%</w:t>
            </w:r>
          </w:p>
        </w:tc>
      </w:tr>
      <w:tr w:rsidR="005D1B3C" w:rsidRPr="00665620" w:rsidTr="005D1B3C">
        <w:trPr>
          <w:trHeight w:val="315"/>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rsidR="005D1B3C" w:rsidRPr="00665620" w:rsidRDefault="005D1B3C" w:rsidP="005D1B3C">
            <w:pPr>
              <w:widowControl/>
              <w:jc w:val="left"/>
              <w:rPr>
                <w:rFonts w:ascii="宋体" w:hAnsi="宋体" w:cs="宋体"/>
                <w:color w:val="000000"/>
                <w:kern w:val="0"/>
                <w:szCs w:val="21"/>
              </w:rPr>
            </w:pPr>
            <w:r w:rsidRPr="00665620">
              <w:rPr>
                <w:rFonts w:ascii="宋体" w:hAnsi="宋体" w:cs="宋体" w:hint="eastAsia"/>
                <w:color w:val="000000"/>
                <w:kern w:val="0"/>
                <w:szCs w:val="21"/>
              </w:rPr>
              <w:t>其他综合收益</w:t>
            </w:r>
          </w:p>
        </w:tc>
        <w:tc>
          <w:tcPr>
            <w:tcW w:w="1392"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1,293.11</w:t>
            </w:r>
          </w:p>
        </w:tc>
        <w:tc>
          <w:tcPr>
            <w:tcW w:w="1220"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0.20%</w:t>
            </w:r>
          </w:p>
        </w:tc>
        <w:tc>
          <w:tcPr>
            <w:tcW w:w="1639"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1,329.79</w:t>
            </w:r>
          </w:p>
        </w:tc>
        <w:tc>
          <w:tcPr>
            <w:tcW w:w="1196"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0.21%</w:t>
            </w:r>
          </w:p>
        </w:tc>
        <w:tc>
          <w:tcPr>
            <w:tcW w:w="1134" w:type="dxa"/>
            <w:tcBorders>
              <w:top w:val="nil"/>
              <w:left w:val="nil"/>
              <w:bottom w:val="single" w:sz="4" w:space="0" w:color="auto"/>
              <w:right w:val="single" w:sz="4" w:space="0" w:color="auto"/>
            </w:tcBorders>
            <w:shd w:val="clear" w:color="auto" w:fill="auto"/>
            <w:noWrap/>
            <w:vAlign w:val="center"/>
            <w:hideMark/>
          </w:tcPr>
          <w:p w:rsidR="005D1B3C" w:rsidRPr="00665620" w:rsidRDefault="007473CD"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w:t>
            </w:r>
            <w:r w:rsidR="005D1B3C" w:rsidRPr="00665620">
              <w:rPr>
                <w:rFonts w:ascii="宋体" w:hAnsi="宋体" w:cs="宋体" w:hint="eastAsia"/>
                <w:color w:val="000000"/>
                <w:kern w:val="0"/>
                <w:szCs w:val="21"/>
              </w:rPr>
              <w:t>2.76%</w:t>
            </w:r>
          </w:p>
        </w:tc>
      </w:tr>
      <w:tr w:rsidR="005D1B3C" w:rsidRPr="00665620" w:rsidTr="005D1B3C">
        <w:trPr>
          <w:trHeight w:val="315"/>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rsidR="005D1B3C" w:rsidRPr="00665620" w:rsidRDefault="005D1B3C" w:rsidP="005D1B3C">
            <w:pPr>
              <w:widowControl/>
              <w:jc w:val="left"/>
              <w:rPr>
                <w:rFonts w:ascii="宋体" w:hAnsi="宋体" w:cs="宋体"/>
                <w:color w:val="000000"/>
                <w:kern w:val="0"/>
                <w:szCs w:val="21"/>
              </w:rPr>
            </w:pPr>
            <w:r w:rsidRPr="00665620">
              <w:rPr>
                <w:rFonts w:ascii="宋体" w:hAnsi="宋体" w:cs="宋体" w:hint="eastAsia"/>
                <w:color w:val="000000"/>
                <w:kern w:val="0"/>
                <w:szCs w:val="21"/>
              </w:rPr>
              <w:t>盈余公积</w:t>
            </w:r>
          </w:p>
        </w:tc>
        <w:tc>
          <w:tcPr>
            <w:tcW w:w="1392"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43,567.19</w:t>
            </w:r>
          </w:p>
        </w:tc>
        <w:tc>
          <w:tcPr>
            <w:tcW w:w="1220"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6.75%</w:t>
            </w:r>
          </w:p>
        </w:tc>
        <w:tc>
          <w:tcPr>
            <w:tcW w:w="1639"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42,533.77</w:t>
            </w:r>
          </w:p>
        </w:tc>
        <w:tc>
          <w:tcPr>
            <w:tcW w:w="1196"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6.65%</w:t>
            </w:r>
          </w:p>
        </w:tc>
        <w:tc>
          <w:tcPr>
            <w:tcW w:w="1134"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2.43%</w:t>
            </w:r>
          </w:p>
        </w:tc>
      </w:tr>
      <w:tr w:rsidR="005D1B3C" w:rsidRPr="00665620" w:rsidTr="005D1B3C">
        <w:trPr>
          <w:trHeight w:val="315"/>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rsidR="005D1B3C" w:rsidRPr="00665620" w:rsidRDefault="005D1B3C" w:rsidP="005D1B3C">
            <w:pPr>
              <w:widowControl/>
              <w:jc w:val="left"/>
              <w:rPr>
                <w:rFonts w:ascii="宋体" w:hAnsi="宋体" w:cs="宋体"/>
                <w:color w:val="000000"/>
                <w:kern w:val="0"/>
                <w:szCs w:val="21"/>
              </w:rPr>
            </w:pPr>
            <w:r w:rsidRPr="00665620">
              <w:rPr>
                <w:rFonts w:ascii="宋体" w:hAnsi="宋体" w:cs="宋体" w:hint="eastAsia"/>
                <w:color w:val="000000"/>
                <w:kern w:val="0"/>
                <w:szCs w:val="21"/>
              </w:rPr>
              <w:t>未分配利润</w:t>
            </w:r>
          </w:p>
        </w:tc>
        <w:tc>
          <w:tcPr>
            <w:tcW w:w="1392"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339,003.28</w:t>
            </w:r>
          </w:p>
        </w:tc>
        <w:tc>
          <w:tcPr>
            <w:tcW w:w="1220"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52.50%</w:t>
            </w:r>
          </w:p>
        </w:tc>
        <w:tc>
          <w:tcPr>
            <w:tcW w:w="1639"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334,569.41</w:t>
            </w:r>
          </w:p>
        </w:tc>
        <w:tc>
          <w:tcPr>
            <w:tcW w:w="1196"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52.32%</w:t>
            </w:r>
          </w:p>
        </w:tc>
        <w:tc>
          <w:tcPr>
            <w:tcW w:w="1134"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1.33%</w:t>
            </w:r>
          </w:p>
        </w:tc>
      </w:tr>
      <w:tr w:rsidR="005D1B3C" w:rsidRPr="00665620" w:rsidTr="005D1B3C">
        <w:trPr>
          <w:trHeight w:val="315"/>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rsidR="005D1B3C" w:rsidRPr="00665620" w:rsidRDefault="005D1B3C" w:rsidP="005D1B3C">
            <w:pPr>
              <w:widowControl/>
              <w:jc w:val="left"/>
              <w:rPr>
                <w:rFonts w:ascii="宋体" w:hAnsi="宋体" w:cs="宋体"/>
                <w:color w:val="000000"/>
                <w:kern w:val="0"/>
                <w:szCs w:val="21"/>
              </w:rPr>
            </w:pPr>
            <w:r w:rsidRPr="00665620">
              <w:rPr>
                <w:rFonts w:ascii="宋体" w:hAnsi="宋体" w:cs="宋体" w:hint="eastAsia"/>
                <w:color w:val="000000"/>
                <w:kern w:val="0"/>
                <w:szCs w:val="21"/>
              </w:rPr>
              <w:t>资产总计</w:t>
            </w:r>
          </w:p>
        </w:tc>
        <w:tc>
          <w:tcPr>
            <w:tcW w:w="1392"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645,660.28</w:t>
            </w:r>
          </w:p>
        </w:tc>
        <w:tc>
          <w:tcPr>
            <w:tcW w:w="1220"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100.00%</w:t>
            </w:r>
          </w:p>
        </w:tc>
        <w:tc>
          <w:tcPr>
            <w:tcW w:w="1639"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639,406.74</w:t>
            </w:r>
          </w:p>
        </w:tc>
        <w:tc>
          <w:tcPr>
            <w:tcW w:w="1196"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100.00%</w:t>
            </w:r>
          </w:p>
        </w:tc>
        <w:tc>
          <w:tcPr>
            <w:tcW w:w="1134" w:type="dxa"/>
            <w:tcBorders>
              <w:top w:val="nil"/>
              <w:left w:val="nil"/>
              <w:bottom w:val="single" w:sz="4" w:space="0" w:color="auto"/>
              <w:right w:val="single" w:sz="4" w:space="0" w:color="auto"/>
            </w:tcBorders>
            <w:shd w:val="clear" w:color="auto" w:fill="auto"/>
            <w:noWrap/>
            <w:vAlign w:val="center"/>
            <w:hideMark/>
          </w:tcPr>
          <w:p w:rsidR="005D1B3C" w:rsidRPr="00665620" w:rsidRDefault="005D1B3C" w:rsidP="005D1B3C">
            <w:pPr>
              <w:widowControl/>
              <w:jc w:val="right"/>
              <w:rPr>
                <w:rFonts w:ascii="宋体" w:hAnsi="宋体" w:cs="宋体"/>
                <w:color w:val="000000"/>
                <w:kern w:val="0"/>
                <w:szCs w:val="21"/>
              </w:rPr>
            </w:pPr>
            <w:r w:rsidRPr="00665620">
              <w:rPr>
                <w:rFonts w:ascii="宋体" w:hAnsi="宋体" w:cs="宋体" w:hint="eastAsia"/>
                <w:color w:val="000000"/>
                <w:kern w:val="0"/>
                <w:szCs w:val="21"/>
              </w:rPr>
              <w:t>0.98%</w:t>
            </w:r>
          </w:p>
        </w:tc>
      </w:tr>
    </w:tbl>
    <w:p w:rsidR="00683C8B" w:rsidRDefault="00683C8B">
      <w:pPr>
        <w:ind w:right="120"/>
        <w:jc w:val="right"/>
        <w:rPr>
          <w:rFonts w:ascii="Times New Roman" w:hAnsi="宋体"/>
          <w:sz w:val="24"/>
          <w:szCs w:val="24"/>
        </w:rPr>
      </w:pPr>
    </w:p>
    <w:p w:rsidR="00B041EC" w:rsidRDefault="002D04A5" w:rsidP="00A62841">
      <w:pPr>
        <w:spacing w:line="360" w:lineRule="auto"/>
        <w:ind w:firstLineChars="200" w:firstLine="480"/>
        <w:rPr>
          <w:rFonts w:ascii="宋体" w:hAnsi="宋体"/>
          <w:kern w:val="0"/>
          <w:sz w:val="24"/>
          <w:szCs w:val="24"/>
          <w:lang w:val="zh-CN"/>
        </w:rPr>
      </w:pPr>
      <w:r w:rsidRPr="00A62841">
        <w:rPr>
          <w:rFonts w:ascii="宋体" w:hAnsi="宋体" w:hint="eastAsia"/>
          <w:kern w:val="0"/>
          <w:sz w:val="24"/>
          <w:szCs w:val="24"/>
          <w:lang w:val="zh-CN"/>
        </w:rPr>
        <w:t>重大变动情况说明：</w:t>
      </w:r>
    </w:p>
    <w:p w:rsidR="005D1B3C" w:rsidRPr="005D1B3C" w:rsidRDefault="005D1B3C" w:rsidP="005D1B3C">
      <w:pPr>
        <w:spacing w:line="360" w:lineRule="auto"/>
        <w:ind w:firstLineChars="200" w:firstLine="480"/>
        <w:rPr>
          <w:rFonts w:ascii="宋体" w:hAnsi="宋体"/>
          <w:kern w:val="0"/>
          <w:sz w:val="24"/>
          <w:szCs w:val="24"/>
          <w:lang w:val="zh-CN"/>
        </w:rPr>
      </w:pPr>
      <w:r w:rsidRPr="005D1B3C">
        <w:rPr>
          <w:rFonts w:ascii="宋体" w:hAnsi="宋体" w:hint="eastAsia"/>
          <w:kern w:val="0"/>
          <w:sz w:val="24"/>
          <w:szCs w:val="24"/>
          <w:lang w:val="zh-CN"/>
        </w:rPr>
        <w:t>1、其他应收款期末余额较年初数增加了47.18%，主要原因是期末应收的保证金款项增加。</w:t>
      </w:r>
    </w:p>
    <w:p w:rsidR="005D1B3C" w:rsidRPr="005D1B3C" w:rsidRDefault="005D1B3C" w:rsidP="005D1B3C">
      <w:pPr>
        <w:spacing w:line="360" w:lineRule="auto"/>
        <w:ind w:firstLineChars="200" w:firstLine="480"/>
        <w:rPr>
          <w:rFonts w:ascii="宋体" w:hAnsi="宋体"/>
          <w:kern w:val="0"/>
          <w:sz w:val="24"/>
          <w:szCs w:val="24"/>
          <w:lang w:val="zh-CN"/>
        </w:rPr>
      </w:pPr>
      <w:r w:rsidRPr="005D1B3C">
        <w:rPr>
          <w:rFonts w:ascii="宋体" w:hAnsi="宋体" w:hint="eastAsia"/>
          <w:kern w:val="0"/>
          <w:sz w:val="24"/>
          <w:szCs w:val="24"/>
          <w:lang w:val="zh-CN"/>
        </w:rPr>
        <w:t>2、存货期末余额较年初数增加了119.76</w:t>
      </w:r>
      <w:r w:rsidRPr="005D1B3C">
        <w:rPr>
          <w:rFonts w:ascii="宋体" w:hAnsi="宋体"/>
          <w:kern w:val="0"/>
          <w:sz w:val="24"/>
          <w:szCs w:val="24"/>
          <w:lang w:val="zh-CN"/>
        </w:rPr>
        <w:t>%</w:t>
      </w:r>
      <w:r w:rsidRPr="005D1B3C">
        <w:rPr>
          <w:rFonts w:ascii="宋体" w:hAnsi="宋体" w:hint="eastAsia"/>
          <w:kern w:val="0"/>
          <w:sz w:val="24"/>
          <w:szCs w:val="24"/>
          <w:lang w:val="zh-CN"/>
        </w:rPr>
        <w:t>，主要原因是期末化纤厂的产成品库存增加。</w:t>
      </w:r>
    </w:p>
    <w:p w:rsidR="005D1B3C" w:rsidRPr="005D1B3C" w:rsidRDefault="005D1B3C" w:rsidP="005D1B3C">
      <w:pPr>
        <w:spacing w:line="360" w:lineRule="auto"/>
        <w:ind w:firstLineChars="200" w:firstLine="480"/>
        <w:rPr>
          <w:rFonts w:ascii="宋体" w:hAnsi="宋体"/>
          <w:kern w:val="0"/>
          <w:sz w:val="24"/>
          <w:szCs w:val="24"/>
          <w:lang w:val="zh-CN"/>
        </w:rPr>
      </w:pPr>
      <w:r w:rsidRPr="005D1B3C">
        <w:rPr>
          <w:rFonts w:ascii="宋体" w:hAnsi="宋体" w:hint="eastAsia"/>
          <w:kern w:val="0"/>
          <w:sz w:val="24"/>
          <w:szCs w:val="24"/>
          <w:lang w:val="zh-CN"/>
        </w:rPr>
        <w:t>3、其他流动资产期末余额较年初数增加了367.04</w:t>
      </w:r>
      <w:r w:rsidRPr="005D1B3C">
        <w:rPr>
          <w:rFonts w:ascii="宋体" w:hAnsi="宋体"/>
          <w:kern w:val="0"/>
          <w:sz w:val="24"/>
          <w:szCs w:val="24"/>
          <w:lang w:val="zh-CN"/>
        </w:rPr>
        <w:t>%</w:t>
      </w:r>
      <w:r w:rsidRPr="005D1B3C">
        <w:rPr>
          <w:rFonts w:ascii="宋体" w:hAnsi="宋体" w:hint="eastAsia"/>
          <w:kern w:val="0"/>
          <w:sz w:val="24"/>
          <w:szCs w:val="24"/>
          <w:lang w:val="zh-CN"/>
        </w:rPr>
        <w:t>，主要原因是期末增值税的留抵税额和预交企业所得税增加。</w:t>
      </w:r>
    </w:p>
    <w:p w:rsidR="005D1B3C" w:rsidRPr="005D1B3C" w:rsidRDefault="005D1B3C" w:rsidP="005D1B3C">
      <w:pPr>
        <w:spacing w:line="360" w:lineRule="auto"/>
        <w:ind w:firstLineChars="200" w:firstLine="480"/>
        <w:rPr>
          <w:rFonts w:ascii="宋体" w:hAnsi="宋体"/>
          <w:kern w:val="0"/>
          <w:sz w:val="24"/>
          <w:szCs w:val="24"/>
          <w:lang w:val="zh-CN"/>
        </w:rPr>
      </w:pPr>
      <w:r w:rsidRPr="005D1B3C">
        <w:rPr>
          <w:rFonts w:ascii="宋体" w:hAnsi="宋体" w:hint="eastAsia"/>
          <w:kern w:val="0"/>
          <w:sz w:val="24"/>
          <w:szCs w:val="24"/>
          <w:lang w:val="zh-CN"/>
        </w:rPr>
        <w:t>4、在建工程期末余额较年初数增加了355.11</w:t>
      </w:r>
      <w:r w:rsidRPr="005D1B3C">
        <w:rPr>
          <w:rFonts w:ascii="宋体" w:hAnsi="宋体"/>
          <w:kern w:val="0"/>
          <w:sz w:val="24"/>
          <w:szCs w:val="24"/>
          <w:lang w:val="zh-CN"/>
        </w:rPr>
        <w:t>%</w:t>
      </w:r>
      <w:r w:rsidRPr="005D1B3C">
        <w:rPr>
          <w:rFonts w:ascii="宋体" w:hAnsi="宋体" w:hint="eastAsia"/>
          <w:kern w:val="0"/>
          <w:sz w:val="24"/>
          <w:szCs w:val="24"/>
          <w:lang w:val="zh-CN"/>
        </w:rPr>
        <w:t>，主要原因是本期化纤厂增</w:t>
      </w:r>
      <w:r w:rsidRPr="005D1B3C">
        <w:rPr>
          <w:rFonts w:ascii="宋体" w:hAnsi="宋体" w:hint="eastAsia"/>
          <w:kern w:val="0"/>
          <w:sz w:val="24"/>
          <w:szCs w:val="24"/>
          <w:lang w:val="zh-CN"/>
        </w:rPr>
        <w:lastRenderedPageBreak/>
        <w:t>加了储能系统等项目的投入。</w:t>
      </w:r>
    </w:p>
    <w:p w:rsidR="005D1B3C" w:rsidRPr="005D1B3C" w:rsidRDefault="005D1B3C" w:rsidP="005D1B3C">
      <w:pPr>
        <w:spacing w:line="360" w:lineRule="auto"/>
        <w:ind w:firstLineChars="200" w:firstLine="480"/>
        <w:rPr>
          <w:rFonts w:ascii="宋体" w:hAnsi="宋体"/>
          <w:kern w:val="0"/>
          <w:sz w:val="24"/>
          <w:szCs w:val="24"/>
        </w:rPr>
      </w:pPr>
      <w:r w:rsidRPr="005D1B3C">
        <w:rPr>
          <w:rFonts w:ascii="宋体" w:hAnsi="宋体" w:hint="eastAsia"/>
          <w:kern w:val="0"/>
          <w:sz w:val="24"/>
          <w:szCs w:val="24"/>
          <w:lang w:val="zh-CN"/>
        </w:rPr>
        <w:t>5、其他非流动资产</w:t>
      </w:r>
      <w:r w:rsidRPr="005D1B3C">
        <w:rPr>
          <w:rFonts w:ascii="宋体" w:hAnsi="宋体" w:hint="eastAsia"/>
          <w:kern w:val="0"/>
          <w:sz w:val="24"/>
          <w:szCs w:val="24"/>
        </w:rPr>
        <w:t>期末余额较年初数增加了173.23</w:t>
      </w:r>
      <w:r w:rsidRPr="005D1B3C">
        <w:rPr>
          <w:rFonts w:ascii="宋体" w:hAnsi="宋体"/>
          <w:kern w:val="0"/>
          <w:sz w:val="24"/>
          <w:szCs w:val="24"/>
        </w:rPr>
        <w:t>%</w:t>
      </w:r>
      <w:r w:rsidRPr="005D1B3C">
        <w:rPr>
          <w:rFonts w:ascii="宋体" w:hAnsi="宋体" w:hint="eastAsia"/>
          <w:kern w:val="0"/>
          <w:sz w:val="24"/>
          <w:szCs w:val="24"/>
        </w:rPr>
        <w:t>，主要原因是期末预付的长期资产构建款项增加。</w:t>
      </w:r>
    </w:p>
    <w:p w:rsidR="005D1B3C" w:rsidRPr="005D1B3C" w:rsidRDefault="005D1B3C" w:rsidP="005D1B3C">
      <w:pPr>
        <w:spacing w:line="360" w:lineRule="auto"/>
        <w:ind w:firstLineChars="200" w:firstLine="480"/>
        <w:rPr>
          <w:rFonts w:ascii="宋体" w:hAnsi="宋体"/>
          <w:kern w:val="0"/>
          <w:sz w:val="24"/>
          <w:szCs w:val="24"/>
          <w:lang w:val="zh-CN"/>
        </w:rPr>
      </w:pPr>
      <w:r w:rsidRPr="005D1B3C">
        <w:rPr>
          <w:rFonts w:ascii="宋体" w:hAnsi="宋体" w:hint="eastAsia"/>
          <w:kern w:val="0"/>
          <w:sz w:val="24"/>
          <w:szCs w:val="24"/>
        </w:rPr>
        <w:t>6、应交税费期末余额较年初数减少了87.37</w:t>
      </w:r>
      <w:r w:rsidRPr="005D1B3C">
        <w:rPr>
          <w:rFonts w:ascii="宋体" w:hAnsi="宋体"/>
          <w:kern w:val="0"/>
          <w:sz w:val="24"/>
          <w:szCs w:val="24"/>
        </w:rPr>
        <w:t>%</w:t>
      </w:r>
      <w:r w:rsidRPr="005D1B3C">
        <w:rPr>
          <w:rFonts w:ascii="宋体" w:hAnsi="宋体" w:hint="eastAsia"/>
          <w:kern w:val="0"/>
          <w:sz w:val="24"/>
          <w:szCs w:val="24"/>
        </w:rPr>
        <w:t>，主要原因是期末应交所得税减少</w:t>
      </w:r>
      <w:r w:rsidRPr="005D1B3C">
        <w:rPr>
          <w:rFonts w:ascii="宋体" w:hAnsi="宋体" w:hint="eastAsia"/>
          <w:kern w:val="0"/>
          <w:sz w:val="24"/>
          <w:szCs w:val="24"/>
          <w:lang w:val="zh-CN"/>
        </w:rPr>
        <w:t>。</w:t>
      </w:r>
    </w:p>
    <w:p w:rsidR="005D1B3C" w:rsidRPr="005D1B3C" w:rsidRDefault="005D1B3C" w:rsidP="005D1B3C">
      <w:pPr>
        <w:spacing w:line="360" w:lineRule="auto"/>
        <w:ind w:firstLineChars="200" w:firstLine="480"/>
        <w:rPr>
          <w:rFonts w:ascii="宋体" w:hAnsi="宋体"/>
          <w:kern w:val="0"/>
          <w:sz w:val="24"/>
          <w:szCs w:val="24"/>
          <w:lang w:val="zh-CN"/>
        </w:rPr>
      </w:pPr>
      <w:r w:rsidRPr="005D1B3C">
        <w:rPr>
          <w:rFonts w:ascii="宋体" w:hAnsi="宋体" w:hint="eastAsia"/>
          <w:kern w:val="0"/>
          <w:sz w:val="24"/>
          <w:szCs w:val="24"/>
          <w:lang w:val="zh-CN"/>
        </w:rPr>
        <w:t>7、递延收益</w:t>
      </w:r>
      <w:r w:rsidRPr="005D1B3C">
        <w:rPr>
          <w:rFonts w:ascii="宋体" w:hAnsi="宋体" w:hint="eastAsia"/>
          <w:kern w:val="0"/>
          <w:sz w:val="24"/>
          <w:szCs w:val="24"/>
        </w:rPr>
        <w:t>期末余额较年初数增加了422.10万元，主要原因是收到的生态环境保护专款增加。</w:t>
      </w:r>
    </w:p>
    <w:p w:rsidR="005D1B3C" w:rsidRDefault="005D1B3C" w:rsidP="00A62841">
      <w:pPr>
        <w:spacing w:line="360" w:lineRule="auto"/>
        <w:ind w:firstLineChars="200" w:firstLine="480"/>
        <w:rPr>
          <w:rFonts w:ascii="宋体" w:hAnsi="宋体"/>
          <w:kern w:val="0"/>
          <w:sz w:val="24"/>
          <w:szCs w:val="24"/>
          <w:lang w:val="zh-CN"/>
        </w:rPr>
      </w:pPr>
    </w:p>
    <w:p w:rsidR="00B041EC" w:rsidRDefault="002D04A5">
      <w:pPr>
        <w:snapToGrid w:val="0"/>
        <w:spacing w:line="360" w:lineRule="auto"/>
        <w:rPr>
          <w:rFonts w:ascii="宋体" w:hAnsi="宋体"/>
          <w:b/>
          <w:sz w:val="24"/>
          <w:szCs w:val="24"/>
        </w:rPr>
      </w:pPr>
      <w:r>
        <w:rPr>
          <w:rFonts w:ascii="宋体" w:hAnsi="宋体" w:hint="eastAsia"/>
          <w:b/>
          <w:sz w:val="24"/>
          <w:szCs w:val="24"/>
        </w:rPr>
        <w:t>三、现金流量情况</w:t>
      </w:r>
    </w:p>
    <w:p w:rsidR="0075607C" w:rsidRPr="00141C7D" w:rsidRDefault="0075607C" w:rsidP="00520C5A">
      <w:pPr>
        <w:spacing w:line="360" w:lineRule="auto"/>
        <w:ind w:firstLineChars="200" w:firstLine="480"/>
        <w:rPr>
          <w:rFonts w:ascii="宋体" w:hAnsi="宋体"/>
          <w:sz w:val="24"/>
          <w:szCs w:val="24"/>
        </w:rPr>
      </w:pPr>
      <w:r w:rsidRPr="00141C7D">
        <w:rPr>
          <w:rFonts w:ascii="宋体" w:hAnsi="宋体" w:hint="eastAsia"/>
          <w:sz w:val="24"/>
          <w:szCs w:val="24"/>
        </w:rPr>
        <w:t>经营活动产生的现金流量净额本期金额比上年同期金额减少了624.15</w:t>
      </w:r>
      <w:r w:rsidRPr="00141C7D">
        <w:rPr>
          <w:rFonts w:ascii="宋体" w:hAnsi="宋体"/>
          <w:sz w:val="24"/>
          <w:szCs w:val="24"/>
        </w:rPr>
        <w:t>%</w:t>
      </w:r>
      <w:r w:rsidRPr="00141C7D">
        <w:rPr>
          <w:rFonts w:ascii="宋体" w:hAnsi="宋体" w:hint="eastAsia"/>
          <w:sz w:val="24"/>
          <w:szCs w:val="24"/>
        </w:rPr>
        <w:t>，主要原因是本期购买商品支付的现金比上年同期增加。</w:t>
      </w:r>
    </w:p>
    <w:p w:rsidR="0075607C" w:rsidRPr="00141C7D" w:rsidRDefault="0075607C" w:rsidP="00520C5A">
      <w:pPr>
        <w:spacing w:line="360" w:lineRule="auto"/>
        <w:ind w:firstLineChars="200" w:firstLine="480"/>
        <w:rPr>
          <w:rFonts w:ascii="宋体" w:hAnsi="宋体"/>
          <w:sz w:val="24"/>
          <w:szCs w:val="24"/>
        </w:rPr>
      </w:pPr>
      <w:r w:rsidRPr="00141C7D">
        <w:rPr>
          <w:rFonts w:ascii="宋体" w:hAnsi="宋体" w:hint="eastAsia"/>
          <w:sz w:val="24"/>
          <w:szCs w:val="24"/>
        </w:rPr>
        <w:t>投资活动产生的现金流量净额本期金额比上年同期金额减少了73.10</w:t>
      </w:r>
      <w:r w:rsidRPr="00141C7D">
        <w:rPr>
          <w:rFonts w:ascii="宋体" w:hAnsi="宋体"/>
          <w:sz w:val="24"/>
          <w:szCs w:val="24"/>
        </w:rPr>
        <w:t>%</w:t>
      </w:r>
      <w:r w:rsidRPr="00141C7D">
        <w:rPr>
          <w:rFonts w:ascii="宋体" w:hAnsi="宋体" w:hint="eastAsia"/>
          <w:sz w:val="24"/>
          <w:szCs w:val="24"/>
        </w:rPr>
        <w:t>，主要原因是本期处置交易性金融资产收到的现金比上年同期减少。</w:t>
      </w:r>
    </w:p>
    <w:p w:rsidR="0075607C" w:rsidRPr="00141C7D" w:rsidRDefault="0075607C" w:rsidP="00520C5A">
      <w:pPr>
        <w:spacing w:line="360" w:lineRule="auto"/>
        <w:ind w:firstLineChars="200" w:firstLine="480"/>
        <w:rPr>
          <w:rFonts w:ascii="宋体" w:hAnsi="宋体"/>
          <w:sz w:val="24"/>
          <w:szCs w:val="24"/>
        </w:rPr>
      </w:pPr>
      <w:r w:rsidRPr="00141C7D">
        <w:rPr>
          <w:rFonts w:ascii="宋体" w:hAnsi="宋体" w:hint="eastAsia"/>
          <w:sz w:val="24"/>
          <w:szCs w:val="24"/>
        </w:rPr>
        <w:t>筹资活动产生的现金流量净额本期金额比上年同期金额增加了108.55</w:t>
      </w:r>
      <w:r w:rsidRPr="00141C7D">
        <w:rPr>
          <w:rFonts w:ascii="宋体" w:hAnsi="宋体"/>
          <w:sz w:val="24"/>
          <w:szCs w:val="24"/>
        </w:rPr>
        <w:t>%</w:t>
      </w:r>
      <w:r w:rsidRPr="00141C7D">
        <w:rPr>
          <w:rFonts w:ascii="宋体" w:hAnsi="宋体" w:hint="eastAsia"/>
          <w:sz w:val="24"/>
          <w:szCs w:val="24"/>
        </w:rPr>
        <w:t>，主要原因是本期支付其他与筹资活动有关的现金比上年同期减少。</w:t>
      </w:r>
    </w:p>
    <w:p w:rsidR="00B041EC" w:rsidRDefault="00665620" w:rsidP="003F218D">
      <w:pPr>
        <w:spacing w:line="360" w:lineRule="auto"/>
        <w:ind w:firstLineChars="200" w:firstLine="480"/>
        <w:rPr>
          <w:rFonts w:ascii="宋体" w:hAnsi="宋体"/>
          <w:sz w:val="24"/>
          <w:szCs w:val="24"/>
        </w:rPr>
      </w:pPr>
      <w:r w:rsidRPr="00665620">
        <w:rPr>
          <w:rFonts w:ascii="宋体" w:hAnsi="宋体" w:hint="eastAsia"/>
          <w:sz w:val="24"/>
          <w:szCs w:val="24"/>
        </w:rPr>
        <w:t>2023年度公司实现的净利润为7,239.31万元，经营活动产生的现金流量净额为-7,138.03万元，产生的差异主要系：(1)公司提取的折旧、资产减值准备等项目计5,202.61万元，影响收益但并没有造成现金的实际流出；(2)财务费用中有利息支出等项目计3,010.29万元，影响收益但属于筹资活动的现金项目。(3)本期投资收益、公允价值变动收益、处置固定资产损失等项目计2,389.94万元，影响收益但属于投资活动的现金项目。(4)存货期末较年初增加了18,779.90万元，递延所得税资产期末较年初减少了57.55万元，递延所得税负债期末较年初减少了1,084.16万元，经营性应收项目期末较年初减少了842.35万元，经营性应付项目期末较年初减少了1,236.14万元，此类资产的账面变化不直接影响收益，但影响现金流量，本期共增加了20,200.30万元的现金流出。</w:t>
      </w:r>
    </w:p>
    <w:p w:rsidR="00665620" w:rsidRDefault="00665620" w:rsidP="00665620">
      <w:pPr>
        <w:autoSpaceDE w:val="0"/>
        <w:autoSpaceDN w:val="0"/>
        <w:adjustRightInd w:val="0"/>
        <w:spacing w:line="360" w:lineRule="auto"/>
        <w:ind w:firstLineChars="194" w:firstLine="466"/>
        <w:rPr>
          <w:rFonts w:ascii="宋体" w:hAnsi="宋体"/>
          <w:kern w:val="0"/>
          <w:sz w:val="24"/>
          <w:szCs w:val="24"/>
          <w:lang w:val="zh-CN"/>
        </w:rPr>
      </w:pPr>
    </w:p>
    <w:p w:rsidR="00B041EC" w:rsidRDefault="002D04A5" w:rsidP="00D52FF4">
      <w:pPr>
        <w:autoSpaceDE w:val="0"/>
        <w:autoSpaceDN w:val="0"/>
        <w:adjustRightInd w:val="0"/>
        <w:spacing w:afterLines="50" w:after="156" w:line="360" w:lineRule="auto"/>
        <w:rPr>
          <w:rFonts w:ascii="Times New Roman" w:hAnsi="宋体"/>
          <w:b/>
          <w:kern w:val="0"/>
          <w:sz w:val="24"/>
          <w:szCs w:val="24"/>
          <w:lang w:val="zh-CN"/>
        </w:rPr>
      </w:pPr>
      <w:r>
        <w:rPr>
          <w:rFonts w:ascii="Times New Roman" w:hAnsi="宋体" w:hint="eastAsia"/>
          <w:b/>
          <w:kern w:val="0"/>
          <w:sz w:val="24"/>
          <w:szCs w:val="24"/>
          <w:lang w:val="zh-CN"/>
        </w:rPr>
        <w:t>四、合并范围及主要子公司情况</w:t>
      </w:r>
    </w:p>
    <w:p w:rsidR="00B041EC" w:rsidRDefault="002D04A5">
      <w:pPr>
        <w:autoSpaceDE w:val="0"/>
        <w:autoSpaceDN w:val="0"/>
        <w:adjustRightInd w:val="0"/>
        <w:spacing w:line="360" w:lineRule="auto"/>
        <w:ind w:firstLineChars="200" w:firstLine="480"/>
        <w:rPr>
          <w:rFonts w:ascii="宋体" w:hAnsi="宋体"/>
          <w:kern w:val="0"/>
          <w:sz w:val="24"/>
          <w:szCs w:val="24"/>
          <w:lang w:val="zh-CN"/>
        </w:rPr>
      </w:pPr>
      <w:r>
        <w:rPr>
          <w:rFonts w:ascii="宋体" w:hAnsi="宋体" w:hint="eastAsia"/>
          <w:kern w:val="0"/>
          <w:sz w:val="24"/>
          <w:szCs w:val="24"/>
          <w:lang w:val="zh-CN"/>
        </w:rPr>
        <w:t>（一）公司</w:t>
      </w:r>
      <w:r w:rsidR="00321BA0">
        <w:rPr>
          <w:rFonts w:ascii="宋体" w:hAnsi="宋体" w:hint="eastAsia"/>
          <w:kern w:val="0"/>
          <w:sz w:val="24"/>
          <w:szCs w:val="24"/>
          <w:lang w:val="zh-CN"/>
        </w:rPr>
        <w:t>2023年</w:t>
      </w:r>
      <w:r>
        <w:rPr>
          <w:rFonts w:ascii="宋体" w:hAnsi="宋体" w:hint="eastAsia"/>
          <w:kern w:val="0"/>
          <w:sz w:val="24"/>
          <w:szCs w:val="24"/>
          <w:lang w:val="zh-CN"/>
        </w:rPr>
        <w:t>度纳入合并范围的子公司为5户，结构化会计主体为1户，明细如下：</w:t>
      </w:r>
    </w:p>
    <w:p w:rsidR="00B041EC" w:rsidRDefault="002D04A5" w:rsidP="00D52FF4">
      <w:pPr>
        <w:autoSpaceDE w:val="0"/>
        <w:autoSpaceDN w:val="0"/>
        <w:adjustRightInd w:val="0"/>
        <w:spacing w:afterLines="50" w:after="156" w:line="360" w:lineRule="auto"/>
        <w:ind w:firstLineChars="200" w:firstLine="480"/>
        <w:rPr>
          <w:rFonts w:ascii="Times New Roman" w:hAnsi="宋体"/>
          <w:kern w:val="0"/>
          <w:sz w:val="24"/>
          <w:szCs w:val="24"/>
          <w:lang w:val="zh-CN"/>
        </w:rPr>
      </w:pPr>
      <w:r>
        <w:rPr>
          <w:rFonts w:ascii="Times New Roman" w:hAnsi="宋体" w:hint="eastAsia"/>
          <w:kern w:val="0"/>
          <w:sz w:val="24"/>
          <w:szCs w:val="24"/>
          <w:lang w:val="zh-CN"/>
        </w:rPr>
        <w:lastRenderedPageBreak/>
        <w:t>1</w:t>
      </w:r>
      <w:r w:rsidR="00012E3A">
        <w:rPr>
          <w:rFonts w:ascii="Times New Roman" w:hAnsi="宋体" w:hint="eastAsia"/>
          <w:kern w:val="0"/>
          <w:sz w:val="24"/>
          <w:szCs w:val="24"/>
          <w:lang w:val="zh-CN"/>
        </w:rPr>
        <w:t>、</w:t>
      </w:r>
      <w:r>
        <w:rPr>
          <w:rFonts w:ascii="Times New Roman" w:hAnsi="宋体" w:hint="eastAsia"/>
          <w:kern w:val="0"/>
          <w:sz w:val="24"/>
          <w:szCs w:val="24"/>
          <w:lang w:val="zh-CN"/>
        </w:rPr>
        <w:t>纳入合并范围的子公司</w:t>
      </w:r>
    </w:p>
    <w:tbl>
      <w:tblPr>
        <w:tblW w:w="8640" w:type="dxa"/>
        <w:tblInd w:w="108" w:type="dxa"/>
        <w:tblLook w:val="04A0" w:firstRow="1" w:lastRow="0" w:firstColumn="1" w:lastColumn="0" w:noHBand="0" w:noVBand="1"/>
      </w:tblPr>
      <w:tblGrid>
        <w:gridCol w:w="2960"/>
        <w:gridCol w:w="900"/>
        <w:gridCol w:w="920"/>
        <w:gridCol w:w="1060"/>
        <w:gridCol w:w="800"/>
        <w:gridCol w:w="640"/>
        <w:gridCol w:w="1360"/>
      </w:tblGrid>
      <w:tr w:rsidR="00B041EC" w:rsidRPr="00665620">
        <w:trPr>
          <w:trHeight w:val="300"/>
        </w:trPr>
        <w:tc>
          <w:tcPr>
            <w:tcW w:w="2960" w:type="dxa"/>
            <w:vMerge w:val="restart"/>
            <w:tcBorders>
              <w:top w:val="single" w:sz="12" w:space="0" w:color="auto"/>
              <w:left w:val="nil"/>
              <w:bottom w:val="single" w:sz="8" w:space="0" w:color="000000"/>
              <w:right w:val="single" w:sz="8" w:space="0" w:color="auto"/>
            </w:tcBorders>
            <w:shd w:val="clear" w:color="auto" w:fill="auto"/>
            <w:vAlign w:val="center"/>
          </w:tcPr>
          <w:p w:rsidR="00B041EC" w:rsidRPr="00665620" w:rsidRDefault="002D04A5">
            <w:pPr>
              <w:widowControl/>
              <w:jc w:val="center"/>
              <w:rPr>
                <w:rFonts w:ascii="宋体" w:hAnsi="宋体" w:cs="宋体"/>
                <w:kern w:val="0"/>
                <w:szCs w:val="21"/>
              </w:rPr>
            </w:pPr>
            <w:r w:rsidRPr="00665620">
              <w:rPr>
                <w:rFonts w:ascii="宋体" w:hAnsi="宋体" w:cs="宋体" w:hint="eastAsia"/>
                <w:kern w:val="0"/>
                <w:szCs w:val="21"/>
              </w:rPr>
              <w:t>子公司名称</w:t>
            </w:r>
          </w:p>
        </w:tc>
        <w:tc>
          <w:tcPr>
            <w:tcW w:w="900" w:type="dxa"/>
            <w:vMerge w:val="restart"/>
            <w:tcBorders>
              <w:top w:val="single" w:sz="12" w:space="0" w:color="auto"/>
              <w:left w:val="single" w:sz="8" w:space="0" w:color="auto"/>
              <w:bottom w:val="single" w:sz="8" w:space="0" w:color="000000"/>
              <w:right w:val="single" w:sz="8" w:space="0" w:color="auto"/>
            </w:tcBorders>
            <w:shd w:val="clear" w:color="auto" w:fill="auto"/>
            <w:vAlign w:val="center"/>
          </w:tcPr>
          <w:p w:rsidR="00B041EC" w:rsidRPr="00665620" w:rsidRDefault="002D04A5">
            <w:pPr>
              <w:widowControl/>
              <w:jc w:val="center"/>
              <w:rPr>
                <w:rFonts w:ascii="宋体" w:hAnsi="宋体" w:cs="宋体"/>
                <w:kern w:val="0"/>
                <w:szCs w:val="21"/>
              </w:rPr>
            </w:pPr>
            <w:r w:rsidRPr="00665620">
              <w:rPr>
                <w:rFonts w:ascii="宋体" w:hAnsi="宋体" w:cs="宋体" w:hint="eastAsia"/>
                <w:kern w:val="0"/>
                <w:szCs w:val="21"/>
              </w:rPr>
              <w:t>主要经营地</w:t>
            </w:r>
          </w:p>
        </w:tc>
        <w:tc>
          <w:tcPr>
            <w:tcW w:w="920" w:type="dxa"/>
            <w:vMerge w:val="restart"/>
            <w:tcBorders>
              <w:top w:val="single" w:sz="12" w:space="0" w:color="auto"/>
              <w:left w:val="single" w:sz="8" w:space="0" w:color="auto"/>
              <w:bottom w:val="single" w:sz="8" w:space="0" w:color="000000"/>
              <w:right w:val="single" w:sz="8" w:space="0" w:color="auto"/>
            </w:tcBorders>
            <w:shd w:val="clear" w:color="auto" w:fill="auto"/>
            <w:vAlign w:val="center"/>
          </w:tcPr>
          <w:p w:rsidR="00B041EC" w:rsidRPr="00665620" w:rsidRDefault="002D04A5">
            <w:pPr>
              <w:widowControl/>
              <w:jc w:val="center"/>
              <w:rPr>
                <w:rFonts w:ascii="宋体" w:hAnsi="宋体" w:cs="宋体"/>
                <w:kern w:val="0"/>
                <w:szCs w:val="21"/>
              </w:rPr>
            </w:pPr>
            <w:r w:rsidRPr="00665620">
              <w:rPr>
                <w:rFonts w:ascii="宋体" w:hAnsi="宋体" w:cs="宋体" w:hint="eastAsia"/>
                <w:kern w:val="0"/>
                <w:szCs w:val="21"/>
              </w:rPr>
              <w:t>注册地</w:t>
            </w:r>
          </w:p>
        </w:tc>
        <w:tc>
          <w:tcPr>
            <w:tcW w:w="1060" w:type="dxa"/>
            <w:vMerge w:val="restart"/>
            <w:tcBorders>
              <w:top w:val="single" w:sz="12" w:space="0" w:color="auto"/>
              <w:left w:val="single" w:sz="8" w:space="0" w:color="auto"/>
              <w:bottom w:val="single" w:sz="8" w:space="0" w:color="000000"/>
              <w:right w:val="single" w:sz="8" w:space="0" w:color="auto"/>
            </w:tcBorders>
            <w:shd w:val="clear" w:color="auto" w:fill="auto"/>
            <w:vAlign w:val="center"/>
          </w:tcPr>
          <w:p w:rsidR="00B041EC" w:rsidRPr="00665620" w:rsidRDefault="002D04A5">
            <w:pPr>
              <w:widowControl/>
              <w:jc w:val="center"/>
              <w:rPr>
                <w:rFonts w:ascii="宋体" w:hAnsi="宋体" w:cs="宋体"/>
                <w:kern w:val="0"/>
                <w:szCs w:val="21"/>
              </w:rPr>
            </w:pPr>
            <w:r w:rsidRPr="00665620">
              <w:rPr>
                <w:rFonts w:ascii="宋体" w:hAnsi="宋体" w:cs="宋体" w:hint="eastAsia"/>
                <w:kern w:val="0"/>
                <w:szCs w:val="21"/>
              </w:rPr>
              <w:t>业务性质</w:t>
            </w:r>
          </w:p>
        </w:tc>
        <w:tc>
          <w:tcPr>
            <w:tcW w:w="1440" w:type="dxa"/>
            <w:gridSpan w:val="2"/>
            <w:tcBorders>
              <w:top w:val="single" w:sz="12" w:space="0" w:color="auto"/>
              <w:left w:val="nil"/>
              <w:bottom w:val="single" w:sz="8" w:space="0" w:color="auto"/>
              <w:right w:val="single" w:sz="8" w:space="0" w:color="000000"/>
            </w:tcBorders>
            <w:shd w:val="clear" w:color="auto" w:fill="auto"/>
            <w:vAlign w:val="center"/>
          </w:tcPr>
          <w:p w:rsidR="00B041EC" w:rsidRPr="00665620" w:rsidRDefault="002D04A5">
            <w:pPr>
              <w:widowControl/>
              <w:jc w:val="center"/>
              <w:rPr>
                <w:rFonts w:ascii="宋体" w:hAnsi="宋体" w:cs="宋体"/>
                <w:kern w:val="0"/>
                <w:szCs w:val="21"/>
              </w:rPr>
            </w:pPr>
            <w:r w:rsidRPr="00665620">
              <w:rPr>
                <w:rFonts w:ascii="宋体" w:hAnsi="宋体" w:cs="宋体" w:hint="eastAsia"/>
                <w:kern w:val="0"/>
                <w:szCs w:val="21"/>
              </w:rPr>
              <w:t>持股比例(%)</w:t>
            </w:r>
          </w:p>
        </w:tc>
        <w:tc>
          <w:tcPr>
            <w:tcW w:w="1360" w:type="dxa"/>
            <w:vMerge w:val="restart"/>
            <w:tcBorders>
              <w:top w:val="single" w:sz="12" w:space="0" w:color="auto"/>
              <w:left w:val="single" w:sz="8" w:space="0" w:color="auto"/>
              <w:bottom w:val="single" w:sz="8" w:space="0" w:color="000000"/>
              <w:right w:val="nil"/>
            </w:tcBorders>
            <w:shd w:val="clear" w:color="auto" w:fill="auto"/>
            <w:vAlign w:val="center"/>
          </w:tcPr>
          <w:p w:rsidR="00B041EC" w:rsidRPr="00665620" w:rsidRDefault="002D04A5">
            <w:pPr>
              <w:widowControl/>
              <w:jc w:val="center"/>
              <w:rPr>
                <w:rFonts w:ascii="宋体" w:hAnsi="宋体" w:cs="宋体"/>
                <w:kern w:val="0"/>
                <w:szCs w:val="21"/>
              </w:rPr>
            </w:pPr>
            <w:r w:rsidRPr="00665620">
              <w:rPr>
                <w:rFonts w:ascii="宋体" w:hAnsi="宋体" w:cs="宋体" w:hint="eastAsia"/>
                <w:kern w:val="0"/>
                <w:szCs w:val="21"/>
              </w:rPr>
              <w:t>取得方式</w:t>
            </w:r>
          </w:p>
        </w:tc>
      </w:tr>
      <w:tr w:rsidR="00B041EC" w:rsidRPr="00665620">
        <w:trPr>
          <w:trHeight w:val="290"/>
        </w:trPr>
        <w:tc>
          <w:tcPr>
            <w:tcW w:w="2960" w:type="dxa"/>
            <w:vMerge/>
            <w:tcBorders>
              <w:top w:val="single" w:sz="12" w:space="0" w:color="auto"/>
              <w:left w:val="nil"/>
              <w:bottom w:val="single" w:sz="8" w:space="0" w:color="000000"/>
              <w:right w:val="single" w:sz="8" w:space="0" w:color="auto"/>
            </w:tcBorders>
            <w:vAlign w:val="center"/>
          </w:tcPr>
          <w:p w:rsidR="00B041EC" w:rsidRPr="00665620" w:rsidRDefault="00B041EC">
            <w:pPr>
              <w:widowControl/>
              <w:jc w:val="left"/>
              <w:rPr>
                <w:rFonts w:ascii="宋体" w:hAnsi="宋体" w:cs="宋体"/>
                <w:kern w:val="0"/>
                <w:szCs w:val="21"/>
              </w:rPr>
            </w:pPr>
          </w:p>
        </w:tc>
        <w:tc>
          <w:tcPr>
            <w:tcW w:w="900" w:type="dxa"/>
            <w:vMerge/>
            <w:tcBorders>
              <w:top w:val="single" w:sz="12" w:space="0" w:color="auto"/>
              <w:left w:val="single" w:sz="8" w:space="0" w:color="auto"/>
              <w:bottom w:val="single" w:sz="8" w:space="0" w:color="000000"/>
              <w:right w:val="single" w:sz="8" w:space="0" w:color="auto"/>
            </w:tcBorders>
            <w:vAlign w:val="center"/>
          </w:tcPr>
          <w:p w:rsidR="00B041EC" w:rsidRPr="00665620" w:rsidRDefault="00B041EC">
            <w:pPr>
              <w:widowControl/>
              <w:jc w:val="left"/>
              <w:rPr>
                <w:rFonts w:ascii="宋体" w:hAnsi="宋体" w:cs="宋体"/>
                <w:kern w:val="0"/>
                <w:szCs w:val="21"/>
              </w:rPr>
            </w:pPr>
          </w:p>
        </w:tc>
        <w:tc>
          <w:tcPr>
            <w:tcW w:w="920" w:type="dxa"/>
            <w:vMerge/>
            <w:tcBorders>
              <w:top w:val="single" w:sz="12" w:space="0" w:color="auto"/>
              <w:left w:val="single" w:sz="8" w:space="0" w:color="auto"/>
              <w:bottom w:val="single" w:sz="8" w:space="0" w:color="000000"/>
              <w:right w:val="single" w:sz="8" w:space="0" w:color="auto"/>
            </w:tcBorders>
            <w:vAlign w:val="center"/>
          </w:tcPr>
          <w:p w:rsidR="00B041EC" w:rsidRPr="00665620" w:rsidRDefault="00B041EC">
            <w:pPr>
              <w:widowControl/>
              <w:jc w:val="left"/>
              <w:rPr>
                <w:rFonts w:ascii="宋体" w:hAnsi="宋体" w:cs="宋体"/>
                <w:kern w:val="0"/>
                <w:szCs w:val="21"/>
              </w:rPr>
            </w:pPr>
          </w:p>
        </w:tc>
        <w:tc>
          <w:tcPr>
            <w:tcW w:w="1060" w:type="dxa"/>
            <w:vMerge/>
            <w:tcBorders>
              <w:top w:val="single" w:sz="12" w:space="0" w:color="auto"/>
              <w:left w:val="single" w:sz="8" w:space="0" w:color="auto"/>
              <w:bottom w:val="single" w:sz="8" w:space="0" w:color="000000"/>
              <w:right w:val="single" w:sz="8" w:space="0" w:color="auto"/>
            </w:tcBorders>
            <w:vAlign w:val="center"/>
          </w:tcPr>
          <w:p w:rsidR="00B041EC" w:rsidRPr="00665620" w:rsidRDefault="00B041EC">
            <w:pPr>
              <w:widowControl/>
              <w:jc w:val="left"/>
              <w:rPr>
                <w:rFonts w:ascii="宋体" w:hAnsi="宋体" w:cs="宋体"/>
                <w:kern w:val="0"/>
                <w:szCs w:val="21"/>
              </w:rPr>
            </w:pPr>
          </w:p>
        </w:tc>
        <w:tc>
          <w:tcPr>
            <w:tcW w:w="800" w:type="dxa"/>
            <w:tcBorders>
              <w:top w:val="nil"/>
              <w:left w:val="nil"/>
              <w:bottom w:val="single" w:sz="8" w:space="0" w:color="auto"/>
              <w:right w:val="single" w:sz="8" w:space="0" w:color="auto"/>
            </w:tcBorders>
            <w:shd w:val="clear" w:color="auto" w:fill="auto"/>
            <w:vAlign w:val="center"/>
          </w:tcPr>
          <w:p w:rsidR="00B041EC" w:rsidRPr="00665620" w:rsidRDefault="002D04A5">
            <w:pPr>
              <w:widowControl/>
              <w:jc w:val="center"/>
              <w:rPr>
                <w:rFonts w:ascii="宋体" w:hAnsi="宋体" w:cs="宋体"/>
                <w:kern w:val="0"/>
                <w:szCs w:val="21"/>
              </w:rPr>
            </w:pPr>
            <w:r w:rsidRPr="00665620">
              <w:rPr>
                <w:rFonts w:ascii="宋体" w:hAnsi="宋体" w:cs="宋体" w:hint="eastAsia"/>
                <w:kern w:val="0"/>
                <w:szCs w:val="21"/>
              </w:rPr>
              <w:t>直接</w:t>
            </w:r>
          </w:p>
        </w:tc>
        <w:tc>
          <w:tcPr>
            <w:tcW w:w="640" w:type="dxa"/>
            <w:tcBorders>
              <w:top w:val="nil"/>
              <w:left w:val="nil"/>
              <w:bottom w:val="single" w:sz="8" w:space="0" w:color="auto"/>
              <w:right w:val="single" w:sz="8" w:space="0" w:color="auto"/>
            </w:tcBorders>
            <w:shd w:val="clear" w:color="auto" w:fill="auto"/>
            <w:vAlign w:val="center"/>
          </w:tcPr>
          <w:p w:rsidR="00B041EC" w:rsidRPr="00665620" w:rsidRDefault="002D04A5">
            <w:pPr>
              <w:widowControl/>
              <w:jc w:val="center"/>
              <w:rPr>
                <w:rFonts w:ascii="宋体" w:hAnsi="宋体" w:cs="宋体"/>
                <w:kern w:val="0"/>
                <w:szCs w:val="21"/>
              </w:rPr>
            </w:pPr>
            <w:r w:rsidRPr="00665620">
              <w:rPr>
                <w:rFonts w:ascii="宋体" w:hAnsi="宋体" w:cs="宋体" w:hint="eastAsia"/>
                <w:kern w:val="0"/>
                <w:szCs w:val="21"/>
              </w:rPr>
              <w:t>间接</w:t>
            </w:r>
          </w:p>
        </w:tc>
        <w:tc>
          <w:tcPr>
            <w:tcW w:w="1360" w:type="dxa"/>
            <w:vMerge/>
            <w:tcBorders>
              <w:top w:val="single" w:sz="12" w:space="0" w:color="auto"/>
              <w:left w:val="single" w:sz="8" w:space="0" w:color="auto"/>
              <w:bottom w:val="single" w:sz="8" w:space="0" w:color="000000"/>
              <w:right w:val="nil"/>
            </w:tcBorders>
            <w:vAlign w:val="center"/>
          </w:tcPr>
          <w:p w:rsidR="00B041EC" w:rsidRPr="00665620" w:rsidRDefault="00B041EC">
            <w:pPr>
              <w:widowControl/>
              <w:jc w:val="left"/>
              <w:rPr>
                <w:rFonts w:ascii="宋体" w:hAnsi="宋体" w:cs="宋体"/>
                <w:kern w:val="0"/>
                <w:szCs w:val="21"/>
              </w:rPr>
            </w:pPr>
          </w:p>
        </w:tc>
      </w:tr>
      <w:tr w:rsidR="00B041EC" w:rsidRPr="00665620">
        <w:trPr>
          <w:trHeight w:val="370"/>
        </w:trPr>
        <w:tc>
          <w:tcPr>
            <w:tcW w:w="2960" w:type="dxa"/>
            <w:tcBorders>
              <w:top w:val="nil"/>
              <w:left w:val="nil"/>
              <w:bottom w:val="single" w:sz="8" w:space="0" w:color="auto"/>
              <w:right w:val="single" w:sz="8" w:space="0" w:color="auto"/>
            </w:tcBorders>
            <w:shd w:val="clear" w:color="auto" w:fill="auto"/>
            <w:vAlign w:val="center"/>
          </w:tcPr>
          <w:p w:rsidR="00B041EC" w:rsidRPr="00665620" w:rsidRDefault="002D04A5" w:rsidP="007208F6">
            <w:pPr>
              <w:widowControl/>
              <w:rPr>
                <w:rFonts w:ascii="宋体" w:hAnsi="宋体" w:cs="宋体"/>
                <w:kern w:val="0"/>
                <w:szCs w:val="21"/>
              </w:rPr>
            </w:pPr>
            <w:r w:rsidRPr="00665620">
              <w:rPr>
                <w:rFonts w:ascii="宋体" w:hAnsi="宋体" w:cs="宋体" w:hint="eastAsia"/>
                <w:kern w:val="0"/>
                <w:szCs w:val="21"/>
              </w:rPr>
              <w:t>江阴华西化工码头有限公司</w:t>
            </w:r>
          </w:p>
        </w:tc>
        <w:tc>
          <w:tcPr>
            <w:tcW w:w="900" w:type="dxa"/>
            <w:tcBorders>
              <w:top w:val="nil"/>
              <w:left w:val="nil"/>
              <w:bottom w:val="single" w:sz="8" w:space="0" w:color="auto"/>
              <w:right w:val="single" w:sz="8" w:space="0" w:color="auto"/>
            </w:tcBorders>
            <w:shd w:val="clear" w:color="auto" w:fill="auto"/>
            <w:vAlign w:val="center"/>
          </w:tcPr>
          <w:p w:rsidR="00B041EC" w:rsidRPr="00665620" w:rsidRDefault="002D04A5">
            <w:pPr>
              <w:widowControl/>
              <w:jc w:val="center"/>
              <w:rPr>
                <w:rFonts w:ascii="宋体" w:hAnsi="宋体" w:cs="宋体"/>
                <w:kern w:val="0"/>
                <w:szCs w:val="21"/>
              </w:rPr>
            </w:pPr>
            <w:r w:rsidRPr="00665620">
              <w:rPr>
                <w:rFonts w:ascii="宋体" w:hAnsi="宋体" w:cs="宋体" w:hint="eastAsia"/>
                <w:kern w:val="0"/>
                <w:szCs w:val="21"/>
              </w:rPr>
              <w:t>江阴市</w:t>
            </w:r>
          </w:p>
        </w:tc>
        <w:tc>
          <w:tcPr>
            <w:tcW w:w="920" w:type="dxa"/>
            <w:tcBorders>
              <w:top w:val="nil"/>
              <w:left w:val="nil"/>
              <w:bottom w:val="single" w:sz="8" w:space="0" w:color="auto"/>
              <w:right w:val="single" w:sz="8" w:space="0" w:color="auto"/>
            </w:tcBorders>
            <w:shd w:val="clear" w:color="auto" w:fill="auto"/>
            <w:vAlign w:val="center"/>
          </w:tcPr>
          <w:p w:rsidR="00B041EC" w:rsidRPr="00665620" w:rsidRDefault="002D04A5">
            <w:pPr>
              <w:widowControl/>
              <w:jc w:val="center"/>
              <w:rPr>
                <w:rFonts w:ascii="宋体" w:hAnsi="宋体" w:cs="宋体"/>
                <w:kern w:val="0"/>
                <w:szCs w:val="21"/>
              </w:rPr>
            </w:pPr>
            <w:r w:rsidRPr="00665620">
              <w:rPr>
                <w:rFonts w:ascii="宋体" w:hAnsi="宋体" w:cs="宋体" w:hint="eastAsia"/>
                <w:kern w:val="0"/>
                <w:szCs w:val="21"/>
              </w:rPr>
              <w:t>江阴市</w:t>
            </w:r>
          </w:p>
        </w:tc>
        <w:tc>
          <w:tcPr>
            <w:tcW w:w="1060" w:type="dxa"/>
            <w:tcBorders>
              <w:top w:val="nil"/>
              <w:left w:val="nil"/>
              <w:bottom w:val="single" w:sz="8" w:space="0" w:color="auto"/>
              <w:right w:val="single" w:sz="8" w:space="0" w:color="auto"/>
            </w:tcBorders>
            <w:shd w:val="clear" w:color="auto" w:fill="auto"/>
            <w:vAlign w:val="center"/>
          </w:tcPr>
          <w:p w:rsidR="00B041EC" w:rsidRPr="00665620" w:rsidRDefault="002D04A5">
            <w:pPr>
              <w:widowControl/>
              <w:jc w:val="center"/>
              <w:rPr>
                <w:rFonts w:ascii="宋体" w:hAnsi="宋体" w:cs="宋体"/>
                <w:kern w:val="0"/>
                <w:szCs w:val="21"/>
              </w:rPr>
            </w:pPr>
            <w:r w:rsidRPr="00665620">
              <w:rPr>
                <w:rFonts w:ascii="宋体" w:hAnsi="宋体" w:cs="宋体" w:hint="eastAsia"/>
                <w:kern w:val="0"/>
                <w:szCs w:val="21"/>
              </w:rPr>
              <w:t>码头的建设经营、仓储</w:t>
            </w:r>
          </w:p>
        </w:tc>
        <w:tc>
          <w:tcPr>
            <w:tcW w:w="800" w:type="dxa"/>
            <w:tcBorders>
              <w:top w:val="nil"/>
              <w:left w:val="nil"/>
              <w:bottom w:val="single" w:sz="8" w:space="0" w:color="auto"/>
              <w:right w:val="single" w:sz="8" w:space="0" w:color="auto"/>
            </w:tcBorders>
            <w:shd w:val="clear" w:color="auto" w:fill="auto"/>
            <w:vAlign w:val="center"/>
          </w:tcPr>
          <w:p w:rsidR="00B041EC" w:rsidRPr="00665620" w:rsidRDefault="0082541E">
            <w:pPr>
              <w:widowControl/>
              <w:jc w:val="center"/>
              <w:rPr>
                <w:rFonts w:ascii="宋体" w:hAnsi="宋体" w:cs="宋体"/>
                <w:kern w:val="0"/>
                <w:szCs w:val="21"/>
              </w:rPr>
            </w:pPr>
            <w:r w:rsidRPr="00665620">
              <w:rPr>
                <w:rFonts w:ascii="宋体" w:hAnsi="宋体" w:cs="宋体" w:hint="eastAsia"/>
                <w:kern w:val="0"/>
                <w:szCs w:val="21"/>
              </w:rPr>
              <w:t>100</w:t>
            </w:r>
          </w:p>
        </w:tc>
        <w:tc>
          <w:tcPr>
            <w:tcW w:w="640" w:type="dxa"/>
            <w:tcBorders>
              <w:top w:val="nil"/>
              <w:left w:val="nil"/>
              <w:bottom w:val="single" w:sz="8" w:space="0" w:color="auto"/>
              <w:right w:val="single" w:sz="8" w:space="0" w:color="auto"/>
            </w:tcBorders>
            <w:shd w:val="clear" w:color="auto" w:fill="auto"/>
            <w:vAlign w:val="center"/>
          </w:tcPr>
          <w:p w:rsidR="00B041EC" w:rsidRPr="00665620" w:rsidRDefault="002D04A5">
            <w:pPr>
              <w:widowControl/>
              <w:jc w:val="right"/>
              <w:rPr>
                <w:rFonts w:ascii="宋体" w:hAnsi="宋体" w:cs="宋体"/>
                <w:kern w:val="0"/>
                <w:szCs w:val="21"/>
              </w:rPr>
            </w:pPr>
            <w:r w:rsidRPr="00665620">
              <w:rPr>
                <w:rFonts w:ascii="宋体" w:hAnsi="宋体" w:cs="宋体" w:hint="eastAsia"/>
                <w:kern w:val="0"/>
                <w:szCs w:val="21"/>
              </w:rPr>
              <w:t xml:space="preserve">　</w:t>
            </w:r>
          </w:p>
        </w:tc>
        <w:tc>
          <w:tcPr>
            <w:tcW w:w="1360" w:type="dxa"/>
            <w:tcBorders>
              <w:top w:val="nil"/>
              <w:left w:val="nil"/>
              <w:bottom w:val="single" w:sz="8" w:space="0" w:color="auto"/>
              <w:right w:val="nil"/>
            </w:tcBorders>
            <w:shd w:val="clear" w:color="auto" w:fill="auto"/>
            <w:vAlign w:val="center"/>
          </w:tcPr>
          <w:p w:rsidR="00B041EC" w:rsidRPr="00665620" w:rsidRDefault="002D04A5">
            <w:pPr>
              <w:widowControl/>
              <w:jc w:val="center"/>
              <w:rPr>
                <w:rFonts w:ascii="宋体" w:hAnsi="宋体" w:cs="宋体"/>
                <w:kern w:val="0"/>
                <w:szCs w:val="21"/>
              </w:rPr>
            </w:pPr>
            <w:r w:rsidRPr="00665620">
              <w:rPr>
                <w:rFonts w:ascii="宋体" w:hAnsi="宋体" w:cs="宋体" w:hint="eastAsia"/>
                <w:kern w:val="0"/>
                <w:szCs w:val="21"/>
              </w:rPr>
              <w:t>非同</w:t>
            </w:r>
            <w:proofErr w:type="gramStart"/>
            <w:r w:rsidRPr="00665620">
              <w:rPr>
                <w:rFonts w:ascii="宋体" w:hAnsi="宋体" w:cs="宋体" w:hint="eastAsia"/>
                <w:kern w:val="0"/>
                <w:szCs w:val="21"/>
              </w:rPr>
              <w:t>一控制</w:t>
            </w:r>
            <w:proofErr w:type="gramEnd"/>
            <w:r w:rsidRPr="00665620">
              <w:rPr>
                <w:rFonts w:ascii="宋体" w:hAnsi="宋体" w:cs="宋体" w:hint="eastAsia"/>
                <w:kern w:val="0"/>
                <w:szCs w:val="21"/>
              </w:rPr>
              <w:t>下企业合并</w:t>
            </w:r>
          </w:p>
        </w:tc>
      </w:tr>
      <w:tr w:rsidR="00B041EC" w:rsidRPr="00665620">
        <w:trPr>
          <w:trHeight w:val="370"/>
        </w:trPr>
        <w:tc>
          <w:tcPr>
            <w:tcW w:w="2960" w:type="dxa"/>
            <w:tcBorders>
              <w:top w:val="nil"/>
              <w:left w:val="nil"/>
              <w:bottom w:val="single" w:sz="8" w:space="0" w:color="auto"/>
              <w:right w:val="single" w:sz="8" w:space="0" w:color="auto"/>
            </w:tcBorders>
            <w:shd w:val="clear" w:color="auto" w:fill="auto"/>
            <w:vAlign w:val="center"/>
          </w:tcPr>
          <w:p w:rsidR="00B041EC" w:rsidRPr="00665620" w:rsidRDefault="002D04A5">
            <w:pPr>
              <w:widowControl/>
              <w:rPr>
                <w:rFonts w:ascii="宋体" w:hAnsi="宋体" w:cs="宋体"/>
                <w:kern w:val="0"/>
                <w:szCs w:val="21"/>
              </w:rPr>
            </w:pPr>
            <w:r w:rsidRPr="00665620">
              <w:rPr>
                <w:rFonts w:ascii="宋体" w:hAnsi="宋体" w:cs="宋体" w:hint="eastAsia"/>
                <w:kern w:val="0"/>
                <w:szCs w:val="21"/>
              </w:rPr>
              <w:t>江阴华西</w:t>
            </w:r>
            <w:proofErr w:type="gramStart"/>
            <w:r w:rsidRPr="00665620">
              <w:rPr>
                <w:rFonts w:ascii="宋体" w:hAnsi="宋体" w:cs="宋体" w:hint="eastAsia"/>
                <w:kern w:val="0"/>
                <w:szCs w:val="21"/>
              </w:rPr>
              <w:t>村资本</w:t>
            </w:r>
            <w:proofErr w:type="gramEnd"/>
            <w:r w:rsidRPr="00665620">
              <w:rPr>
                <w:rFonts w:ascii="宋体" w:hAnsi="宋体" w:cs="宋体" w:hint="eastAsia"/>
                <w:kern w:val="0"/>
                <w:szCs w:val="21"/>
              </w:rPr>
              <w:t>有限公司</w:t>
            </w:r>
          </w:p>
        </w:tc>
        <w:tc>
          <w:tcPr>
            <w:tcW w:w="900" w:type="dxa"/>
            <w:tcBorders>
              <w:top w:val="nil"/>
              <w:left w:val="nil"/>
              <w:bottom w:val="single" w:sz="8" w:space="0" w:color="auto"/>
              <w:right w:val="single" w:sz="8" w:space="0" w:color="auto"/>
            </w:tcBorders>
            <w:shd w:val="clear" w:color="auto" w:fill="auto"/>
            <w:vAlign w:val="center"/>
          </w:tcPr>
          <w:p w:rsidR="00B041EC" w:rsidRPr="00665620" w:rsidRDefault="002D04A5">
            <w:pPr>
              <w:widowControl/>
              <w:jc w:val="center"/>
              <w:rPr>
                <w:rFonts w:ascii="宋体" w:hAnsi="宋体" w:cs="宋体"/>
                <w:kern w:val="0"/>
                <w:szCs w:val="21"/>
              </w:rPr>
            </w:pPr>
            <w:r w:rsidRPr="00665620">
              <w:rPr>
                <w:rFonts w:ascii="宋体" w:hAnsi="宋体" w:cs="宋体" w:hint="eastAsia"/>
                <w:kern w:val="0"/>
                <w:szCs w:val="21"/>
              </w:rPr>
              <w:t>江阴市</w:t>
            </w:r>
          </w:p>
        </w:tc>
        <w:tc>
          <w:tcPr>
            <w:tcW w:w="920" w:type="dxa"/>
            <w:tcBorders>
              <w:top w:val="nil"/>
              <w:left w:val="nil"/>
              <w:bottom w:val="single" w:sz="8" w:space="0" w:color="auto"/>
              <w:right w:val="single" w:sz="8" w:space="0" w:color="auto"/>
            </w:tcBorders>
            <w:shd w:val="clear" w:color="auto" w:fill="auto"/>
            <w:vAlign w:val="center"/>
          </w:tcPr>
          <w:p w:rsidR="00B041EC" w:rsidRPr="00665620" w:rsidRDefault="002D04A5">
            <w:pPr>
              <w:widowControl/>
              <w:jc w:val="center"/>
              <w:rPr>
                <w:rFonts w:ascii="宋体" w:hAnsi="宋体" w:cs="宋体"/>
                <w:kern w:val="0"/>
                <w:szCs w:val="21"/>
              </w:rPr>
            </w:pPr>
            <w:r w:rsidRPr="00665620">
              <w:rPr>
                <w:rFonts w:ascii="宋体" w:hAnsi="宋体" w:cs="宋体" w:hint="eastAsia"/>
                <w:kern w:val="0"/>
                <w:szCs w:val="21"/>
              </w:rPr>
              <w:t>江阴市</w:t>
            </w:r>
          </w:p>
        </w:tc>
        <w:tc>
          <w:tcPr>
            <w:tcW w:w="1060" w:type="dxa"/>
            <w:tcBorders>
              <w:top w:val="nil"/>
              <w:left w:val="nil"/>
              <w:bottom w:val="single" w:sz="8" w:space="0" w:color="auto"/>
              <w:right w:val="single" w:sz="8" w:space="0" w:color="auto"/>
            </w:tcBorders>
            <w:shd w:val="clear" w:color="auto" w:fill="auto"/>
            <w:vAlign w:val="center"/>
          </w:tcPr>
          <w:p w:rsidR="00B041EC" w:rsidRPr="00665620" w:rsidRDefault="002D04A5">
            <w:pPr>
              <w:widowControl/>
              <w:jc w:val="center"/>
              <w:rPr>
                <w:rFonts w:ascii="宋体" w:hAnsi="宋体" w:cs="宋体"/>
                <w:kern w:val="0"/>
                <w:szCs w:val="21"/>
              </w:rPr>
            </w:pPr>
            <w:r w:rsidRPr="00665620">
              <w:rPr>
                <w:rFonts w:ascii="宋体" w:hAnsi="宋体" w:cs="宋体" w:hint="eastAsia"/>
                <w:kern w:val="0"/>
                <w:szCs w:val="21"/>
              </w:rPr>
              <w:t>贸易</w:t>
            </w:r>
            <w:r w:rsidR="0082541E" w:rsidRPr="00665620">
              <w:rPr>
                <w:rFonts w:ascii="宋体" w:hAnsi="宋体" w:cs="宋体" w:hint="eastAsia"/>
                <w:kern w:val="0"/>
                <w:szCs w:val="21"/>
              </w:rPr>
              <w:t>、投资</w:t>
            </w:r>
          </w:p>
        </w:tc>
        <w:tc>
          <w:tcPr>
            <w:tcW w:w="800" w:type="dxa"/>
            <w:tcBorders>
              <w:top w:val="nil"/>
              <w:left w:val="nil"/>
              <w:bottom w:val="single" w:sz="8" w:space="0" w:color="auto"/>
              <w:right w:val="single" w:sz="8" w:space="0" w:color="auto"/>
            </w:tcBorders>
            <w:shd w:val="clear" w:color="auto" w:fill="auto"/>
            <w:vAlign w:val="center"/>
          </w:tcPr>
          <w:p w:rsidR="00B041EC" w:rsidRPr="00665620" w:rsidRDefault="002D04A5">
            <w:pPr>
              <w:widowControl/>
              <w:jc w:val="center"/>
              <w:rPr>
                <w:rFonts w:ascii="宋体" w:hAnsi="宋体" w:cs="宋体"/>
                <w:kern w:val="0"/>
                <w:szCs w:val="21"/>
              </w:rPr>
            </w:pPr>
            <w:r w:rsidRPr="00665620">
              <w:rPr>
                <w:rFonts w:ascii="宋体" w:hAnsi="宋体" w:cs="宋体" w:hint="eastAsia"/>
                <w:kern w:val="0"/>
                <w:szCs w:val="21"/>
              </w:rPr>
              <w:t>100</w:t>
            </w:r>
          </w:p>
        </w:tc>
        <w:tc>
          <w:tcPr>
            <w:tcW w:w="640" w:type="dxa"/>
            <w:tcBorders>
              <w:top w:val="nil"/>
              <w:left w:val="nil"/>
              <w:bottom w:val="single" w:sz="8" w:space="0" w:color="auto"/>
              <w:right w:val="single" w:sz="8" w:space="0" w:color="auto"/>
            </w:tcBorders>
            <w:shd w:val="clear" w:color="auto" w:fill="auto"/>
            <w:vAlign w:val="center"/>
          </w:tcPr>
          <w:p w:rsidR="00B041EC" w:rsidRPr="00665620" w:rsidRDefault="002D04A5">
            <w:pPr>
              <w:widowControl/>
              <w:jc w:val="right"/>
              <w:rPr>
                <w:rFonts w:ascii="宋体" w:hAnsi="宋体" w:cs="宋体"/>
                <w:kern w:val="0"/>
                <w:szCs w:val="21"/>
              </w:rPr>
            </w:pPr>
            <w:r w:rsidRPr="00665620">
              <w:rPr>
                <w:rFonts w:ascii="宋体" w:hAnsi="宋体" w:cs="宋体" w:hint="eastAsia"/>
                <w:kern w:val="0"/>
                <w:szCs w:val="21"/>
              </w:rPr>
              <w:t xml:space="preserve">　</w:t>
            </w:r>
          </w:p>
        </w:tc>
        <w:tc>
          <w:tcPr>
            <w:tcW w:w="1360" w:type="dxa"/>
            <w:tcBorders>
              <w:top w:val="nil"/>
              <w:left w:val="nil"/>
              <w:bottom w:val="single" w:sz="8" w:space="0" w:color="auto"/>
              <w:right w:val="nil"/>
            </w:tcBorders>
            <w:shd w:val="clear" w:color="auto" w:fill="auto"/>
            <w:vAlign w:val="center"/>
          </w:tcPr>
          <w:p w:rsidR="00B041EC" w:rsidRPr="00665620" w:rsidRDefault="002D04A5">
            <w:pPr>
              <w:widowControl/>
              <w:jc w:val="center"/>
              <w:rPr>
                <w:rFonts w:ascii="宋体" w:hAnsi="宋体" w:cs="宋体"/>
                <w:kern w:val="0"/>
                <w:szCs w:val="21"/>
              </w:rPr>
            </w:pPr>
            <w:r w:rsidRPr="00665620">
              <w:rPr>
                <w:rFonts w:ascii="宋体" w:hAnsi="宋体" w:cs="宋体" w:hint="eastAsia"/>
                <w:kern w:val="0"/>
                <w:szCs w:val="21"/>
              </w:rPr>
              <w:t>设立</w:t>
            </w:r>
          </w:p>
        </w:tc>
      </w:tr>
      <w:tr w:rsidR="00B041EC" w:rsidRPr="00665620">
        <w:trPr>
          <w:trHeight w:val="370"/>
        </w:trPr>
        <w:tc>
          <w:tcPr>
            <w:tcW w:w="2960" w:type="dxa"/>
            <w:tcBorders>
              <w:top w:val="nil"/>
              <w:left w:val="nil"/>
              <w:bottom w:val="single" w:sz="8" w:space="0" w:color="auto"/>
              <w:right w:val="single" w:sz="8" w:space="0" w:color="auto"/>
            </w:tcBorders>
            <w:shd w:val="clear" w:color="auto" w:fill="auto"/>
            <w:vAlign w:val="center"/>
          </w:tcPr>
          <w:p w:rsidR="00B041EC" w:rsidRPr="00665620" w:rsidRDefault="002D04A5">
            <w:pPr>
              <w:widowControl/>
              <w:rPr>
                <w:rFonts w:ascii="宋体" w:hAnsi="宋体" w:cs="宋体"/>
                <w:kern w:val="0"/>
                <w:szCs w:val="21"/>
              </w:rPr>
            </w:pPr>
            <w:r w:rsidRPr="00665620">
              <w:rPr>
                <w:rFonts w:ascii="宋体" w:hAnsi="宋体" w:cs="宋体" w:hint="eastAsia"/>
                <w:kern w:val="0"/>
                <w:szCs w:val="21"/>
              </w:rPr>
              <w:t>江阴市华西新材料科技有限公司</w:t>
            </w:r>
          </w:p>
        </w:tc>
        <w:tc>
          <w:tcPr>
            <w:tcW w:w="900" w:type="dxa"/>
            <w:tcBorders>
              <w:top w:val="nil"/>
              <w:left w:val="nil"/>
              <w:bottom w:val="single" w:sz="8" w:space="0" w:color="auto"/>
              <w:right w:val="single" w:sz="8" w:space="0" w:color="auto"/>
            </w:tcBorders>
            <w:shd w:val="clear" w:color="auto" w:fill="auto"/>
            <w:vAlign w:val="center"/>
          </w:tcPr>
          <w:p w:rsidR="00B041EC" w:rsidRPr="00665620" w:rsidRDefault="002D04A5">
            <w:pPr>
              <w:widowControl/>
              <w:jc w:val="center"/>
              <w:rPr>
                <w:rFonts w:ascii="宋体" w:hAnsi="宋体" w:cs="宋体"/>
                <w:kern w:val="0"/>
                <w:szCs w:val="21"/>
              </w:rPr>
            </w:pPr>
            <w:r w:rsidRPr="00665620">
              <w:rPr>
                <w:rFonts w:ascii="宋体" w:hAnsi="宋体" w:cs="宋体" w:hint="eastAsia"/>
                <w:kern w:val="0"/>
                <w:szCs w:val="21"/>
              </w:rPr>
              <w:t>江阴市</w:t>
            </w:r>
          </w:p>
        </w:tc>
        <w:tc>
          <w:tcPr>
            <w:tcW w:w="920" w:type="dxa"/>
            <w:tcBorders>
              <w:top w:val="nil"/>
              <w:left w:val="nil"/>
              <w:bottom w:val="single" w:sz="8" w:space="0" w:color="auto"/>
              <w:right w:val="single" w:sz="8" w:space="0" w:color="auto"/>
            </w:tcBorders>
            <w:shd w:val="clear" w:color="auto" w:fill="auto"/>
            <w:vAlign w:val="center"/>
          </w:tcPr>
          <w:p w:rsidR="00B041EC" w:rsidRPr="00665620" w:rsidRDefault="002D04A5">
            <w:pPr>
              <w:widowControl/>
              <w:jc w:val="center"/>
              <w:rPr>
                <w:rFonts w:ascii="宋体" w:hAnsi="宋体" w:cs="宋体"/>
                <w:kern w:val="0"/>
                <w:szCs w:val="21"/>
              </w:rPr>
            </w:pPr>
            <w:r w:rsidRPr="00665620">
              <w:rPr>
                <w:rFonts w:ascii="宋体" w:hAnsi="宋体" w:cs="宋体" w:hint="eastAsia"/>
                <w:kern w:val="0"/>
                <w:szCs w:val="21"/>
              </w:rPr>
              <w:t>江阴市</w:t>
            </w:r>
          </w:p>
        </w:tc>
        <w:tc>
          <w:tcPr>
            <w:tcW w:w="1060" w:type="dxa"/>
            <w:tcBorders>
              <w:top w:val="nil"/>
              <w:left w:val="nil"/>
              <w:bottom w:val="single" w:sz="8" w:space="0" w:color="auto"/>
              <w:right w:val="single" w:sz="8" w:space="0" w:color="auto"/>
            </w:tcBorders>
            <w:shd w:val="clear" w:color="auto" w:fill="auto"/>
            <w:vAlign w:val="center"/>
          </w:tcPr>
          <w:p w:rsidR="00B041EC" w:rsidRPr="00665620" w:rsidRDefault="002D04A5">
            <w:pPr>
              <w:widowControl/>
              <w:jc w:val="center"/>
              <w:rPr>
                <w:rFonts w:ascii="宋体" w:hAnsi="宋体" w:cs="宋体"/>
                <w:kern w:val="0"/>
                <w:szCs w:val="21"/>
              </w:rPr>
            </w:pPr>
            <w:r w:rsidRPr="00665620">
              <w:rPr>
                <w:rFonts w:ascii="宋体" w:hAnsi="宋体" w:cs="宋体" w:hint="eastAsia"/>
                <w:kern w:val="0"/>
                <w:szCs w:val="21"/>
              </w:rPr>
              <w:t>新材料的技术开发</w:t>
            </w:r>
          </w:p>
        </w:tc>
        <w:tc>
          <w:tcPr>
            <w:tcW w:w="800" w:type="dxa"/>
            <w:tcBorders>
              <w:top w:val="nil"/>
              <w:left w:val="nil"/>
              <w:bottom w:val="single" w:sz="8" w:space="0" w:color="auto"/>
              <w:right w:val="single" w:sz="8" w:space="0" w:color="auto"/>
            </w:tcBorders>
            <w:shd w:val="clear" w:color="auto" w:fill="auto"/>
            <w:vAlign w:val="center"/>
          </w:tcPr>
          <w:p w:rsidR="00B041EC" w:rsidRPr="00665620" w:rsidRDefault="002D04A5">
            <w:pPr>
              <w:widowControl/>
              <w:jc w:val="center"/>
              <w:rPr>
                <w:rFonts w:ascii="宋体" w:hAnsi="宋体" w:cs="宋体"/>
                <w:kern w:val="0"/>
                <w:szCs w:val="21"/>
              </w:rPr>
            </w:pPr>
            <w:r w:rsidRPr="00665620">
              <w:rPr>
                <w:rFonts w:ascii="宋体" w:hAnsi="宋体" w:cs="宋体" w:hint="eastAsia"/>
                <w:kern w:val="0"/>
                <w:szCs w:val="21"/>
              </w:rPr>
              <w:t>100</w:t>
            </w:r>
          </w:p>
        </w:tc>
        <w:tc>
          <w:tcPr>
            <w:tcW w:w="640" w:type="dxa"/>
            <w:tcBorders>
              <w:top w:val="nil"/>
              <w:left w:val="nil"/>
              <w:bottom w:val="single" w:sz="8" w:space="0" w:color="auto"/>
              <w:right w:val="single" w:sz="8" w:space="0" w:color="auto"/>
            </w:tcBorders>
            <w:shd w:val="clear" w:color="auto" w:fill="auto"/>
            <w:vAlign w:val="center"/>
          </w:tcPr>
          <w:p w:rsidR="00B041EC" w:rsidRPr="00665620" w:rsidRDefault="00B041EC">
            <w:pPr>
              <w:widowControl/>
              <w:jc w:val="center"/>
              <w:rPr>
                <w:rFonts w:ascii="宋体" w:hAnsi="宋体" w:cs="宋体"/>
                <w:kern w:val="0"/>
                <w:szCs w:val="21"/>
              </w:rPr>
            </w:pPr>
          </w:p>
        </w:tc>
        <w:tc>
          <w:tcPr>
            <w:tcW w:w="1360" w:type="dxa"/>
            <w:tcBorders>
              <w:top w:val="nil"/>
              <w:left w:val="nil"/>
              <w:bottom w:val="single" w:sz="8" w:space="0" w:color="auto"/>
              <w:right w:val="nil"/>
            </w:tcBorders>
            <w:shd w:val="clear" w:color="auto" w:fill="auto"/>
            <w:vAlign w:val="center"/>
          </w:tcPr>
          <w:p w:rsidR="00B041EC" w:rsidRPr="00665620" w:rsidRDefault="002D04A5">
            <w:pPr>
              <w:widowControl/>
              <w:jc w:val="center"/>
              <w:rPr>
                <w:rFonts w:ascii="宋体" w:hAnsi="宋体" w:cs="宋体"/>
                <w:kern w:val="0"/>
                <w:szCs w:val="21"/>
              </w:rPr>
            </w:pPr>
            <w:r w:rsidRPr="00665620">
              <w:rPr>
                <w:rFonts w:ascii="宋体" w:hAnsi="宋体" w:cs="宋体" w:hint="eastAsia"/>
                <w:kern w:val="0"/>
                <w:szCs w:val="21"/>
              </w:rPr>
              <w:t xml:space="preserve">设立　</w:t>
            </w:r>
          </w:p>
        </w:tc>
      </w:tr>
      <w:tr w:rsidR="00B041EC" w:rsidRPr="00665620">
        <w:trPr>
          <w:trHeight w:val="370"/>
        </w:trPr>
        <w:tc>
          <w:tcPr>
            <w:tcW w:w="2960" w:type="dxa"/>
            <w:tcBorders>
              <w:top w:val="nil"/>
              <w:left w:val="nil"/>
              <w:bottom w:val="single" w:sz="8" w:space="0" w:color="auto"/>
              <w:right w:val="single" w:sz="8" w:space="0" w:color="auto"/>
            </w:tcBorders>
            <w:shd w:val="clear" w:color="auto" w:fill="auto"/>
            <w:vAlign w:val="center"/>
          </w:tcPr>
          <w:p w:rsidR="00B041EC" w:rsidRPr="00665620" w:rsidRDefault="002D04A5">
            <w:pPr>
              <w:widowControl/>
              <w:rPr>
                <w:rFonts w:ascii="宋体" w:hAnsi="宋体" w:cs="宋体"/>
                <w:kern w:val="0"/>
                <w:szCs w:val="21"/>
              </w:rPr>
            </w:pPr>
            <w:r w:rsidRPr="00665620">
              <w:rPr>
                <w:rFonts w:ascii="宋体" w:hAnsi="宋体" w:cs="宋体" w:hint="eastAsia"/>
                <w:kern w:val="0"/>
                <w:szCs w:val="21"/>
              </w:rPr>
              <w:t>上海鑫华汐实业有限公司</w:t>
            </w:r>
          </w:p>
        </w:tc>
        <w:tc>
          <w:tcPr>
            <w:tcW w:w="900" w:type="dxa"/>
            <w:tcBorders>
              <w:top w:val="nil"/>
              <w:left w:val="nil"/>
              <w:bottom w:val="single" w:sz="8" w:space="0" w:color="auto"/>
              <w:right w:val="single" w:sz="8" w:space="0" w:color="auto"/>
            </w:tcBorders>
            <w:shd w:val="clear" w:color="auto" w:fill="auto"/>
            <w:vAlign w:val="center"/>
          </w:tcPr>
          <w:p w:rsidR="00B041EC" w:rsidRPr="00665620" w:rsidRDefault="002D04A5">
            <w:pPr>
              <w:widowControl/>
              <w:jc w:val="center"/>
              <w:rPr>
                <w:rFonts w:ascii="宋体" w:hAnsi="宋体" w:cs="宋体"/>
                <w:kern w:val="0"/>
                <w:szCs w:val="21"/>
              </w:rPr>
            </w:pPr>
            <w:r w:rsidRPr="00665620">
              <w:rPr>
                <w:rFonts w:ascii="宋体" w:hAnsi="宋体" w:cs="宋体" w:hint="eastAsia"/>
                <w:kern w:val="0"/>
                <w:szCs w:val="21"/>
              </w:rPr>
              <w:t>上海市</w:t>
            </w:r>
          </w:p>
        </w:tc>
        <w:tc>
          <w:tcPr>
            <w:tcW w:w="920" w:type="dxa"/>
            <w:tcBorders>
              <w:top w:val="nil"/>
              <w:left w:val="nil"/>
              <w:bottom w:val="single" w:sz="8" w:space="0" w:color="auto"/>
              <w:right w:val="single" w:sz="8" w:space="0" w:color="auto"/>
            </w:tcBorders>
            <w:shd w:val="clear" w:color="auto" w:fill="auto"/>
            <w:vAlign w:val="center"/>
          </w:tcPr>
          <w:p w:rsidR="00B041EC" w:rsidRPr="00665620" w:rsidRDefault="002D04A5">
            <w:pPr>
              <w:widowControl/>
              <w:jc w:val="center"/>
              <w:rPr>
                <w:rFonts w:ascii="宋体" w:hAnsi="宋体" w:cs="宋体"/>
                <w:kern w:val="0"/>
                <w:szCs w:val="21"/>
              </w:rPr>
            </w:pPr>
            <w:r w:rsidRPr="00665620">
              <w:rPr>
                <w:rFonts w:ascii="宋体" w:hAnsi="宋体" w:cs="宋体" w:hint="eastAsia"/>
                <w:kern w:val="0"/>
                <w:szCs w:val="21"/>
              </w:rPr>
              <w:t>上海市</w:t>
            </w:r>
          </w:p>
        </w:tc>
        <w:tc>
          <w:tcPr>
            <w:tcW w:w="1060" w:type="dxa"/>
            <w:tcBorders>
              <w:top w:val="nil"/>
              <w:left w:val="nil"/>
              <w:bottom w:val="single" w:sz="8" w:space="0" w:color="auto"/>
              <w:right w:val="single" w:sz="8" w:space="0" w:color="auto"/>
            </w:tcBorders>
            <w:shd w:val="clear" w:color="auto" w:fill="auto"/>
            <w:vAlign w:val="center"/>
          </w:tcPr>
          <w:p w:rsidR="00B041EC" w:rsidRPr="00665620" w:rsidRDefault="002D04A5">
            <w:pPr>
              <w:widowControl/>
              <w:jc w:val="center"/>
              <w:rPr>
                <w:rFonts w:ascii="宋体" w:hAnsi="宋体" w:cs="宋体"/>
                <w:kern w:val="0"/>
                <w:szCs w:val="21"/>
              </w:rPr>
            </w:pPr>
            <w:r w:rsidRPr="00665620">
              <w:rPr>
                <w:rFonts w:ascii="宋体" w:hAnsi="宋体" w:cs="宋体" w:hint="eastAsia"/>
                <w:kern w:val="0"/>
                <w:szCs w:val="21"/>
              </w:rPr>
              <w:t>贸易</w:t>
            </w:r>
          </w:p>
        </w:tc>
        <w:tc>
          <w:tcPr>
            <w:tcW w:w="800" w:type="dxa"/>
            <w:tcBorders>
              <w:top w:val="nil"/>
              <w:left w:val="nil"/>
              <w:bottom w:val="single" w:sz="8" w:space="0" w:color="auto"/>
              <w:right w:val="single" w:sz="8" w:space="0" w:color="auto"/>
            </w:tcBorders>
            <w:shd w:val="clear" w:color="auto" w:fill="auto"/>
            <w:vAlign w:val="center"/>
          </w:tcPr>
          <w:p w:rsidR="00B041EC" w:rsidRPr="00665620" w:rsidRDefault="00B041EC">
            <w:pPr>
              <w:widowControl/>
              <w:rPr>
                <w:rFonts w:ascii="宋体" w:hAnsi="宋体" w:cs="宋体"/>
                <w:kern w:val="0"/>
                <w:szCs w:val="21"/>
              </w:rPr>
            </w:pPr>
          </w:p>
        </w:tc>
        <w:tc>
          <w:tcPr>
            <w:tcW w:w="640" w:type="dxa"/>
            <w:tcBorders>
              <w:top w:val="nil"/>
              <w:left w:val="nil"/>
              <w:bottom w:val="single" w:sz="8" w:space="0" w:color="auto"/>
              <w:right w:val="single" w:sz="8" w:space="0" w:color="auto"/>
            </w:tcBorders>
            <w:shd w:val="clear" w:color="auto" w:fill="auto"/>
            <w:vAlign w:val="center"/>
          </w:tcPr>
          <w:p w:rsidR="00B041EC" w:rsidRPr="00665620" w:rsidRDefault="002D04A5">
            <w:pPr>
              <w:widowControl/>
              <w:jc w:val="right"/>
              <w:rPr>
                <w:rFonts w:ascii="宋体" w:hAnsi="宋体" w:cs="宋体"/>
                <w:kern w:val="0"/>
                <w:szCs w:val="21"/>
              </w:rPr>
            </w:pPr>
            <w:r w:rsidRPr="00665620">
              <w:rPr>
                <w:rFonts w:ascii="宋体" w:hAnsi="宋体" w:cs="宋体" w:hint="eastAsia"/>
                <w:kern w:val="0"/>
                <w:szCs w:val="21"/>
              </w:rPr>
              <w:t>100</w:t>
            </w:r>
          </w:p>
        </w:tc>
        <w:tc>
          <w:tcPr>
            <w:tcW w:w="1360" w:type="dxa"/>
            <w:tcBorders>
              <w:top w:val="nil"/>
              <w:left w:val="nil"/>
              <w:bottom w:val="single" w:sz="8" w:space="0" w:color="auto"/>
              <w:right w:val="nil"/>
            </w:tcBorders>
            <w:shd w:val="clear" w:color="auto" w:fill="auto"/>
            <w:vAlign w:val="center"/>
          </w:tcPr>
          <w:p w:rsidR="00B041EC" w:rsidRPr="00665620" w:rsidRDefault="002D04A5">
            <w:pPr>
              <w:widowControl/>
              <w:jc w:val="center"/>
              <w:rPr>
                <w:rFonts w:ascii="宋体" w:hAnsi="宋体" w:cs="宋体"/>
                <w:kern w:val="0"/>
                <w:szCs w:val="21"/>
              </w:rPr>
            </w:pPr>
            <w:r w:rsidRPr="00665620">
              <w:rPr>
                <w:rFonts w:ascii="宋体" w:hAnsi="宋体" w:cs="宋体" w:hint="eastAsia"/>
                <w:kern w:val="0"/>
                <w:szCs w:val="21"/>
              </w:rPr>
              <w:t>设立</w:t>
            </w:r>
          </w:p>
        </w:tc>
      </w:tr>
      <w:tr w:rsidR="00B041EC" w:rsidRPr="00665620">
        <w:trPr>
          <w:trHeight w:val="370"/>
        </w:trPr>
        <w:tc>
          <w:tcPr>
            <w:tcW w:w="2960" w:type="dxa"/>
            <w:tcBorders>
              <w:top w:val="nil"/>
              <w:left w:val="nil"/>
              <w:bottom w:val="single" w:sz="12" w:space="0" w:color="auto"/>
              <w:right w:val="single" w:sz="8" w:space="0" w:color="auto"/>
            </w:tcBorders>
            <w:shd w:val="clear" w:color="auto" w:fill="auto"/>
            <w:vAlign w:val="center"/>
          </w:tcPr>
          <w:p w:rsidR="00B041EC" w:rsidRPr="00665620" w:rsidRDefault="002D04A5">
            <w:pPr>
              <w:widowControl/>
              <w:rPr>
                <w:rFonts w:ascii="宋体" w:hAnsi="宋体" w:cs="宋体"/>
                <w:kern w:val="0"/>
                <w:szCs w:val="21"/>
              </w:rPr>
            </w:pPr>
            <w:r w:rsidRPr="00665620">
              <w:rPr>
                <w:rFonts w:ascii="宋体" w:hAnsi="宋体" w:cs="宋体" w:hint="eastAsia"/>
                <w:kern w:val="0"/>
                <w:szCs w:val="21"/>
              </w:rPr>
              <w:t>江阴华西非织造布研发基地有限公司[注]</w:t>
            </w:r>
          </w:p>
        </w:tc>
        <w:tc>
          <w:tcPr>
            <w:tcW w:w="900" w:type="dxa"/>
            <w:tcBorders>
              <w:top w:val="nil"/>
              <w:left w:val="nil"/>
              <w:bottom w:val="single" w:sz="12" w:space="0" w:color="auto"/>
              <w:right w:val="single" w:sz="8" w:space="0" w:color="auto"/>
            </w:tcBorders>
            <w:shd w:val="clear" w:color="auto" w:fill="auto"/>
            <w:vAlign w:val="center"/>
          </w:tcPr>
          <w:p w:rsidR="00B041EC" w:rsidRPr="00665620" w:rsidRDefault="002D04A5">
            <w:pPr>
              <w:widowControl/>
              <w:jc w:val="center"/>
              <w:rPr>
                <w:rFonts w:ascii="宋体" w:hAnsi="宋体" w:cs="宋体"/>
                <w:kern w:val="0"/>
                <w:szCs w:val="21"/>
              </w:rPr>
            </w:pPr>
            <w:r w:rsidRPr="00665620">
              <w:rPr>
                <w:rFonts w:ascii="宋体" w:hAnsi="宋体" w:cs="宋体" w:hint="eastAsia"/>
                <w:kern w:val="0"/>
                <w:szCs w:val="21"/>
              </w:rPr>
              <w:t>江阴市</w:t>
            </w:r>
          </w:p>
        </w:tc>
        <w:tc>
          <w:tcPr>
            <w:tcW w:w="920" w:type="dxa"/>
            <w:tcBorders>
              <w:top w:val="nil"/>
              <w:left w:val="nil"/>
              <w:bottom w:val="single" w:sz="12" w:space="0" w:color="auto"/>
              <w:right w:val="single" w:sz="8" w:space="0" w:color="auto"/>
            </w:tcBorders>
            <w:shd w:val="clear" w:color="auto" w:fill="auto"/>
            <w:vAlign w:val="center"/>
          </w:tcPr>
          <w:p w:rsidR="00B041EC" w:rsidRPr="00665620" w:rsidRDefault="002D04A5">
            <w:pPr>
              <w:widowControl/>
              <w:jc w:val="center"/>
              <w:rPr>
                <w:rFonts w:ascii="宋体" w:hAnsi="宋体" w:cs="宋体"/>
                <w:kern w:val="0"/>
                <w:szCs w:val="21"/>
              </w:rPr>
            </w:pPr>
            <w:r w:rsidRPr="00665620">
              <w:rPr>
                <w:rFonts w:ascii="宋体" w:hAnsi="宋体" w:cs="宋体" w:hint="eastAsia"/>
                <w:kern w:val="0"/>
                <w:szCs w:val="21"/>
              </w:rPr>
              <w:t>江阴市</w:t>
            </w:r>
          </w:p>
        </w:tc>
        <w:tc>
          <w:tcPr>
            <w:tcW w:w="1060" w:type="dxa"/>
            <w:tcBorders>
              <w:top w:val="nil"/>
              <w:left w:val="nil"/>
              <w:bottom w:val="single" w:sz="12" w:space="0" w:color="auto"/>
              <w:right w:val="single" w:sz="8" w:space="0" w:color="auto"/>
            </w:tcBorders>
            <w:shd w:val="clear" w:color="auto" w:fill="auto"/>
            <w:vAlign w:val="center"/>
          </w:tcPr>
          <w:p w:rsidR="00B041EC" w:rsidRPr="00665620" w:rsidRDefault="009A7513">
            <w:pPr>
              <w:widowControl/>
              <w:jc w:val="center"/>
              <w:rPr>
                <w:rFonts w:ascii="宋体" w:hAnsi="宋体" w:cs="宋体"/>
                <w:kern w:val="0"/>
                <w:szCs w:val="21"/>
              </w:rPr>
            </w:pPr>
            <w:r w:rsidRPr="00665620">
              <w:rPr>
                <w:rFonts w:ascii="宋体" w:hAnsi="宋体" w:cs="宋体" w:hint="eastAsia"/>
                <w:kern w:val="0"/>
                <w:szCs w:val="21"/>
              </w:rPr>
              <w:t>产业用纺织制成品的生产与销售</w:t>
            </w:r>
          </w:p>
        </w:tc>
        <w:tc>
          <w:tcPr>
            <w:tcW w:w="800" w:type="dxa"/>
            <w:tcBorders>
              <w:top w:val="nil"/>
              <w:left w:val="nil"/>
              <w:bottom w:val="single" w:sz="12" w:space="0" w:color="auto"/>
              <w:right w:val="single" w:sz="8" w:space="0" w:color="auto"/>
            </w:tcBorders>
            <w:shd w:val="clear" w:color="auto" w:fill="auto"/>
            <w:vAlign w:val="center"/>
          </w:tcPr>
          <w:p w:rsidR="00B041EC" w:rsidRPr="00665620" w:rsidRDefault="00B041EC">
            <w:pPr>
              <w:widowControl/>
              <w:rPr>
                <w:rFonts w:ascii="宋体" w:hAnsi="宋体" w:cs="宋体"/>
                <w:kern w:val="0"/>
                <w:szCs w:val="21"/>
              </w:rPr>
            </w:pPr>
          </w:p>
        </w:tc>
        <w:tc>
          <w:tcPr>
            <w:tcW w:w="640" w:type="dxa"/>
            <w:tcBorders>
              <w:top w:val="nil"/>
              <w:left w:val="nil"/>
              <w:bottom w:val="single" w:sz="12" w:space="0" w:color="auto"/>
              <w:right w:val="single" w:sz="8" w:space="0" w:color="auto"/>
            </w:tcBorders>
            <w:shd w:val="clear" w:color="auto" w:fill="auto"/>
            <w:vAlign w:val="center"/>
          </w:tcPr>
          <w:p w:rsidR="00B041EC" w:rsidRPr="00665620" w:rsidRDefault="002D04A5">
            <w:pPr>
              <w:widowControl/>
              <w:jc w:val="right"/>
              <w:rPr>
                <w:rFonts w:ascii="宋体" w:hAnsi="宋体" w:cs="宋体"/>
                <w:kern w:val="0"/>
                <w:szCs w:val="21"/>
              </w:rPr>
            </w:pPr>
            <w:r w:rsidRPr="00665620">
              <w:rPr>
                <w:rFonts w:ascii="宋体" w:hAnsi="宋体" w:cs="宋体" w:hint="eastAsia"/>
                <w:kern w:val="0"/>
                <w:szCs w:val="21"/>
              </w:rPr>
              <w:t>100</w:t>
            </w:r>
          </w:p>
        </w:tc>
        <w:tc>
          <w:tcPr>
            <w:tcW w:w="1360" w:type="dxa"/>
            <w:tcBorders>
              <w:top w:val="nil"/>
              <w:left w:val="nil"/>
              <w:bottom w:val="single" w:sz="12" w:space="0" w:color="auto"/>
              <w:right w:val="nil"/>
            </w:tcBorders>
            <w:shd w:val="clear" w:color="auto" w:fill="auto"/>
            <w:vAlign w:val="center"/>
          </w:tcPr>
          <w:p w:rsidR="00B041EC" w:rsidRPr="00665620" w:rsidRDefault="002D04A5">
            <w:pPr>
              <w:widowControl/>
              <w:jc w:val="center"/>
              <w:rPr>
                <w:rFonts w:ascii="宋体" w:hAnsi="宋体" w:cs="宋体"/>
                <w:kern w:val="0"/>
                <w:szCs w:val="21"/>
              </w:rPr>
            </w:pPr>
            <w:r w:rsidRPr="00665620">
              <w:rPr>
                <w:rFonts w:ascii="宋体" w:hAnsi="宋体" w:cs="宋体" w:hint="eastAsia"/>
                <w:kern w:val="0"/>
                <w:szCs w:val="21"/>
              </w:rPr>
              <w:t>设立</w:t>
            </w:r>
          </w:p>
        </w:tc>
      </w:tr>
    </w:tbl>
    <w:p w:rsidR="00B041EC" w:rsidRDefault="002D04A5" w:rsidP="00D52FF4">
      <w:pPr>
        <w:autoSpaceDE w:val="0"/>
        <w:autoSpaceDN w:val="0"/>
        <w:adjustRightInd w:val="0"/>
        <w:spacing w:afterLines="50" w:after="156" w:line="360" w:lineRule="auto"/>
        <w:ind w:left="360"/>
        <w:rPr>
          <w:rFonts w:ascii="Times New Roman" w:hAnsi="宋体"/>
          <w:kern w:val="0"/>
          <w:szCs w:val="21"/>
          <w:lang w:val="zh-CN"/>
        </w:rPr>
      </w:pPr>
      <w:r>
        <w:rPr>
          <w:rFonts w:ascii="Times New Roman" w:hAnsi="宋体" w:hint="eastAsia"/>
          <w:kern w:val="0"/>
          <w:szCs w:val="21"/>
          <w:lang w:val="zh-CN"/>
        </w:rPr>
        <w:t>（</w:t>
      </w:r>
      <w:r w:rsidR="0082541E">
        <w:rPr>
          <w:rFonts w:ascii="Times New Roman" w:hAnsi="宋体" w:hint="eastAsia"/>
          <w:kern w:val="0"/>
          <w:szCs w:val="21"/>
          <w:lang w:val="zh-CN"/>
        </w:rPr>
        <w:t>注</w:t>
      </w:r>
      <w:r>
        <w:rPr>
          <w:rFonts w:ascii="Times New Roman" w:hAnsi="宋体" w:hint="eastAsia"/>
          <w:kern w:val="0"/>
          <w:szCs w:val="21"/>
          <w:lang w:val="zh-CN"/>
        </w:rPr>
        <w:t>：该家单位</w:t>
      </w:r>
      <w:proofErr w:type="gramStart"/>
      <w:r>
        <w:rPr>
          <w:rFonts w:ascii="Times New Roman" w:hAnsi="宋体" w:hint="eastAsia"/>
          <w:kern w:val="0"/>
          <w:szCs w:val="21"/>
          <w:lang w:val="zh-CN"/>
        </w:rPr>
        <w:t>至报告</w:t>
      </w:r>
      <w:proofErr w:type="gramEnd"/>
      <w:r>
        <w:rPr>
          <w:rFonts w:ascii="Times New Roman" w:hAnsi="宋体" w:hint="eastAsia"/>
          <w:kern w:val="0"/>
          <w:szCs w:val="21"/>
          <w:lang w:val="zh-CN"/>
        </w:rPr>
        <w:t>期末尚未实际出资）</w:t>
      </w:r>
    </w:p>
    <w:p w:rsidR="00B041EC" w:rsidRDefault="002D04A5" w:rsidP="00D52FF4">
      <w:pPr>
        <w:autoSpaceDE w:val="0"/>
        <w:autoSpaceDN w:val="0"/>
        <w:adjustRightInd w:val="0"/>
        <w:spacing w:afterLines="50" w:after="156" w:line="360" w:lineRule="auto"/>
        <w:ind w:firstLineChars="200" w:firstLine="480"/>
        <w:rPr>
          <w:rFonts w:ascii="Times New Roman" w:hAnsi="宋体"/>
          <w:kern w:val="0"/>
          <w:sz w:val="24"/>
          <w:szCs w:val="24"/>
          <w:lang w:val="zh-CN"/>
        </w:rPr>
      </w:pPr>
      <w:r>
        <w:rPr>
          <w:rFonts w:ascii="Times New Roman" w:hAnsi="宋体" w:hint="eastAsia"/>
          <w:kern w:val="0"/>
          <w:sz w:val="24"/>
          <w:szCs w:val="24"/>
          <w:lang w:val="zh-CN"/>
        </w:rPr>
        <w:t>2</w:t>
      </w:r>
      <w:r w:rsidR="00012E3A">
        <w:rPr>
          <w:rFonts w:ascii="Times New Roman" w:hAnsi="宋体" w:hint="eastAsia"/>
          <w:kern w:val="0"/>
          <w:sz w:val="24"/>
          <w:szCs w:val="24"/>
          <w:lang w:val="zh-CN"/>
        </w:rPr>
        <w:t>、</w:t>
      </w:r>
      <w:r>
        <w:rPr>
          <w:rFonts w:ascii="Times New Roman" w:hAnsi="宋体" w:hint="eastAsia"/>
          <w:kern w:val="0"/>
          <w:sz w:val="24"/>
          <w:szCs w:val="24"/>
          <w:lang w:val="zh-CN"/>
        </w:rPr>
        <w:t>纳入合并范围的结构化主体</w:t>
      </w:r>
    </w:p>
    <w:tbl>
      <w:tblPr>
        <w:tblW w:w="9000" w:type="dxa"/>
        <w:tblInd w:w="108" w:type="dxa"/>
        <w:tblLook w:val="04A0" w:firstRow="1" w:lastRow="0" w:firstColumn="1" w:lastColumn="0" w:noHBand="0" w:noVBand="1"/>
      </w:tblPr>
      <w:tblGrid>
        <w:gridCol w:w="3320"/>
        <w:gridCol w:w="900"/>
        <w:gridCol w:w="920"/>
        <w:gridCol w:w="1060"/>
        <w:gridCol w:w="800"/>
        <w:gridCol w:w="640"/>
        <w:gridCol w:w="1360"/>
      </w:tblGrid>
      <w:tr w:rsidR="00B041EC" w:rsidRPr="00665620">
        <w:trPr>
          <w:trHeight w:val="300"/>
        </w:trPr>
        <w:tc>
          <w:tcPr>
            <w:tcW w:w="3320" w:type="dxa"/>
            <w:vMerge w:val="restart"/>
            <w:tcBorders>
              <w:top w:val="single" w:sz="12" w:space="0" w:color="auto"/>
              <w:left w:val="nil"/>
              <w:bottom w:val="single" w:sz="8" w:space="0" w:color="000000"/>
              <w:right w:val="single" w:sz="8" w:space="0" w:color="auto"/>
            </w:tcBorders>
            <w:shd w:val="clear" w:color="auto" w:fill="auto"/>
            <w:vAlign w:val="center"/>
          </w:tcPr>
          <w:p w:rsidR="00B041EC" w:rsidRPr="00665620" w:rsidRDefault="002D04A5">
            <w:pPr>
              <w:widowControl/>
              <w:jc w:val="center"/>
              <w:rPr>
                <w:rFonts w:ascii="宋体" w:hAnsi="宋体" w:cs="宋体"/>
                <w:kern w:val="0"/>
                <w:szCs w:val="21"/>
              </w:rPr>
            </w:pPr>
            <w:r w:rsidRPr="00665620">
              <w:rPr>
                <w:rFonts w:ascii="宋体" w:hAnsi="宋体" w:cs="宋体" w:hint="eastAsia"/>
                <w:kern w:val="0"/>
                <w:szCs w:val="21"/>
              </w:rPr>
              <w:t>结构化主体名称</w:t>
            </w:r>
          </w:p>
        </w:tc>
        <w:tc>
          <w:tcPr>
            <w:tcW w:w="900" w:type="dxa"/>
            <w:vMerge w:val="restart"/>
            <w:tcBorders>
              <w:top w:val="single" w:sz="12" w:space="0" w:color="auto"/>
              <w:left w:val="single" w:sz="8" w:space="0" w:color="auto"/>
              <w:bottom w:val="single" w:sz="8" w:space="0" w:color="000000"/>
              <w:right w:val="single" w:sz="8" w:space="0" w:color="auto"/>
            </w:tcBorders>
            <w:shd w:val="clear" w:color="auto" w:fill="auto"/>
            <w:vAlign w:val="center"/>
          </w:tcPr>
          <w:p w:rsidR="00B041EC" w:rsidRPr="00665620" w:rsidRDefault="002D04A5">
            <w:pPr>
              <w:widowControl/>
              <w:jc w:val="center"/>
              <w:rPr>
                <w:rFonts w:ascii="宋体" w:hAnsi="宋体" w:cs="宋体"/>
                <w:kern w:val="0"/>
                <w:szCs w:val="21"/>
              </w:rPr>
            </w:pPr>
            <w:r w:rsidRPr="00665620">
              <w:rPr>
                <w:rFonts w:ascii="宋体" w:hAnsi="宋体" w:cs="宋体" w:hint="eastAsia"/>
                <w:kern w:val="0"/>
                <w:szCs w:val="21"/>
              </w:rPr>
              <w:t>主要经营地</w:t>
            </w:r>
          </w:p>
        </w:tc>
        <w:tc>
          <w:tcPr>
            <w:tcW w:w="920" w:type="dxa"/>
            <w:vMerge w:val="restart"/>
            <w:tcBorders>
              <w:top w:val="single" w:sz="12" w:space="0" w:color="auto"/>
              <w:left w:val="single" w:sz="8" w:space="0" w:color="auto"/>
              <w:bottom w:val="single" w:sz="8" w:space="0" w:color="000000"/>
              <w:right w:val="single" w:sz="8" w:space="0" w:color="auto"/>
            </w:tcBorders>
            <w:shd w:val="clear" w:color="auto" w:fill="auto"/>
            <w:vAlign w:val="center"/>
          </w:tcPr>
          <w:p w:rsidR="00B041EC" w:rsidRPr="00665620" w:rsidRDefault="002D04A5">
            <w:pPr>
              <w:widowControl/>
              <w:jc w:val="center"/>
              <w:rPr>
                <w:rFonts w:ascii="宋体" w:hAnsi="宋体" w:cs="宋体"/>
                <w:kern w:val="0"/>
                <w:szCs w:val="21"/>
              </w:rPr>
            </w:pPr>
            <w:r w:rsidRPr="00665620">
              <w:rPr>
                <w:rFonts w:ascii="宋体" w:hAnsi="宋体" w:cs="宋体" w:hint="eastAsia"/>
                <w:kern w:val="0"/>
                <w:szCs w:val="21"/>
              </w:rPr>
              <w:t>注册地</w:t>
            </w:r>
          </w:p>
        </w:tc>
        <w:tc>
          <w:tcPr>
            <w:tcW w:w="1060" w:type="dxa"/>
            <w:vMerge w:val="restart"/>
            <w:tcBorders>
              <w:top w:val="single" w:sz="12" w:space="0" w:color="auto"/>
              <w:left w:val="single" w:sz="8" w:space="0" w:color="auto"/>
              <w:bottom w:val="single" w:sz="8" w:space="0" w:color="000000"/>
              <w:right w:val="single" w:sz="8" w:space="0" w:color="auto"/>
            </w:tcBorders>
            <w:shd w:val="clear" w:color="auto" w:fill="auto"/>
            <w:vAlign w:val="center"/>
          </w:tcPr>
          <w:p w:rsidR="00B041EC" w:rsidRPr="00665620" w:rsidRDefault="002D04A5">
            <w:pPr>
              <w:widowControl/>
              <w:jc w:val="center"/>
              <w:rPr>
                <w:rFonts w:ascii="宋体" w:hAnsi="宋体" w:cs="宋体"/>
                <w:kern w:val="0"/>
                <w:szCs w:val="21"/>
              </w:rPr>
            </w:pPr>
            <w:r w:rsidRPr="00665620">
              <w:rPr>
                <w:rFonts w:ascii="宋体" w:hAnsi="宋体" w:cs="宋体" w:hint="eastAsia"/>
                <w:kern w:val="0"/>
                <w:szCs w:val="21"/>
              </w:rPr>
              <w:t>业务性质</w:t>
            </w:r>
          </w:p>
        </w:tc>
        <w:tc>
          <w:tcPr>
            <w:tcW w:w="1440" w:type="dxa"/>
            <w:gridSpan w:val="2"/>
            <w:tcBorders>
              <w:top w:val="single" w:sz="12" w:space="0" w:color="auto"/>
              <w:left w:val="nil"/>
              <w:bottom w:val="single" w:sz="8" w:space="0" w:color="auto"/>
              <w:right w:val="single" w:sz="8" w:space="0" w:color="000000"/>
            </w:tcBorders>
            <w:shd w:val="clear" w:color="auto" w:fill="auto"/>
            <w:vAlign w:val="center"/>
          </w:tcPr>
          <w:p w:rsidR="00B041EC" w:rsidRPr="00665620" w:rsidRDefault="002D04A5">
            <w:pPr>
              <w:widowControl/>
              <w:jc w:val="center"/>
              <w:rPr>
                <w:rFonts w:ascii="宋体" w:hAnsi="宋体" w:cs="宋体"/>
                <w:kern w:val="0"/>
                <w:szCs w:val="21"/>
              </w:rPr>
            </w:pPr>
            <w:r w:rsidRPr="00665620">
              <w:rPr>
                <w:rFonts w:ascii="宋体" w:hAnsi="宋体" w:cs="宋体" w:hint="eastAsia"/>
                <w:kern w:val="0"/>
                <w:szCs w:val="21"/>
              </w:rPr>
              <w:t>实际出资比例(%)</w:t>
            </w:r>
          </w:p>
        </w:tc>
        <w:tc>
          <w:tcPr>
            <w:tcW w:w="1360" w:type="dxa"/>
            <w:vMerge w:val="restart"/>
            <w:tcBorders>
              <w:top w:val="single" w:sz="12" w:space="0" w:color="auto"/>
              <w:left w:val="single" w:sz="8" w:space="0" w:color="auto"/>
              <w:bottom w:val="single" w:sz="8" w:space="0" w:color="000000"/>
              <w:right w:val="nil"/>
            </w:tcBorders>
            <w:shd w:val="clear" w:color="auto" w:fill="auto"/>
            <w:vAlign w:val="center"/>
          </w:tcPr>
          <w:p w:rsidR="00B041EC" w:rsidRPr="00665620" w:rsidRDefault="002D04A5">
            <w:pPr>
              <w:widowControl/>
              <w:jc w:val="center"/>
              <w:rPr>
                <w:rFonts w:ascii="宋体" w:hAnsi="宋体" w:cs="宋体"/>
                <w:kern w:val="0"/>
                <w:szCs w:val="21"/>
              </w:rPr>
            </w:pPr>
            <w:r w:rsidRPr="00665620">
              <w:rPr>
                <w:rFonts w:ascii="宋体" w:hAnsi="宋体" w:cs="宋体" w:hint="eastAsia"/>
                <w:kern w:val="0"/>
                <w:szCs w:val="21"/>
              </w:rPr>
              <w:t>取得方式</w:t>
            </w:r>
          </w:p>
        </w:tc>
      </w:tr>
      <w:tr w:rsidR="00B041EC" w:rsidRPr="00665620">
        <w:trPr>
          <w:trHeight w:val="290"/>
        </w:trPr>
        <w:tc>
          <w:tcPr>
            <w:tcW w:w="3320" w:type="dxa"/>
            <w:vMerge/>
            <w:tcBorders>
              <w:top w:val="single" w:sz="12" w:space="0" w:color="auto"/>
              <w:left w:val="nil"/>
              <w:bottom w:val="single" w:sz="8" w:space="0" w:color="000000"/>
              <w:right w:val="single" w:sz="8" w:space="0" w:color="auto"/>
            </w:tcBorders>
            <w:vAlign w:val="center"/>
          </w:tcPr>
          <w:p w:rsidR="00B041EC" w:rsidRPr="00665620" w:rsidRDefault="00B041EC">
            <w:pPr>
              <w:widowControl/>
              <w:jc w:val="left"/>
              <w:rPr>
                <w:rFonts w:ascii="宋体" w:hAnsi="宋体" w:cs="宋体"/>
                <w:kern w:val="0"/>
                <w:szCs w:val="21"/>
              </w:rPr>
            </w:pPr>
          </w:p>
        </w:tc>
        <w:tc>
          <w:tcPr>
            <w:tcW w:w="900" w:type="dxa"/>
            <w:vMerge/>
            <w:tcBorders>
              <w:top w:val="single" w:sz="12" w:space="0" w:color="auto"/>
              <w:left w:val="single" w:sz="8" w:space="0" w:color="auto"/>
              <w:bottom w:val="single" w:sz="8" w:space="0" w:color="000000"/>
              <w:right w:val="single" w:sz="8" w:space="0" w:color="auto"/>
            </w:tcBorders>
            <w:vAlign w:val="center"/>
          </w:tcPr>
          <w:p w:rsidR="00B041EC" w:rsidRPr="00665620" w:rsidRDefault="00B041EC">
            <w:pPr>
              <w:widowControl/>
              <w:jc w:val="left"/>
              <w:rPr>
                <w:rFonts w:ascii="宋体" w:hAnsi="宋体" w:cs="宋体"/>
                <w:kern w:val="0"/>
                <w:szCs w:val="21"/>
              </w:rPr>
            </w:pPr>
          </w:p>
        </w:tc>
        <w:tc>
          <w:tcPr>
            <w:tcW w:w="920" w:type="dxa"/>
            <w:vMerge/>
            <w:tcBorders>
              <w:top w:val="single" w:sz="12" w:space="0" w:color="auto"/>
              <w:left w:val="single" w:sz="8" w:space="0" w:color="auto"/>
              <w:bottom w:val="single" w:sz="8" w:space="0" w:color="000000"/>
              <w:right w:val="single" w:sz="8" w:space="0" w:color="auto"/>
            </w:tcBorders>
            <w:vAlign w:val="center"/>
          </w:tcPr>
          <w:p w:rsidR="00B041EC" w:rsidRPr="00665620" w:rsidRDefault="00B041EC">
            <w:pPr>
              <w:widowControl/>
              <w:jc w:val="left"/>
              <w:rPr>
                <w:rFonts w:ascii="宋体" w:hAnsi="宋体" w:cs="宋体"/>
                <w:kern w:val="0"/>
                <w:szCs w:val="21"/>
              </w:rPr>
            </w:pPr>
          </w:p>
        </w:tc>
        <w:tc>
          <w:tcPr>
            <w:tcW w:w="1060" w:type="dxa"/>
            <w:vMerge/>
            <w:tcBorders>
              <w:top w:val="single" w:sz="12" w:space="0" w:color="auto"/>
              <w:left w:val="single" w:sz="8" w:space="0" w:color="auto"/>
              <w:bottom w:val="single" w:sz="8" w:space="0" w:color="000000"/>
              <w:right w:val="single" w:sz="8" w:space="0" w:color="auto"/>
            </w:tcBorders>
            <w:vAlign w:val="center"/>
          </w:tcPr>
          <w:p w:rsidR="00B041EC" w:rsidRPr="00665620" w:rsidRDefault="00B041EC">
            <w:pPr>
              <w:widowControl/>
              <w:jc w:val="left"/>
              <w:rPr>
                <w:rFonts w:ascii="宋体" w:hAnsi="宋体" w:cs="宋体"/>
                <w:kern w:val="0"/>
                <w:szCs w:val="21"/>
              </w:rPr>
            </w:pPr>
          </w:p>
        </w:tc>
        <w:tc>
          <w:tcPr>
            <w:tcW w:w="800" w:type="dxa"/>
            <w:tcBorders>
              <w:top w:val="nil"/>
              <w:left w:val="nil"/>
              <w:bottom w:val="single" w:sz="8" w:space="0" w:color="auto"/>
              <w:right w:val="single" w:sz="8" w:space="0" w:color="auto"/>
            </w:tcBorders>
            <w:shd w:val="clear" w:color="auto" w:fill="auto"/>
            <w:vAlign w:val="center"/>
          </w:tcPr>
          <w:p w:rsidR="00B041EC" w:rsidRPr="00665620" w:rsidRDefault="002D04A5">
            <w:pPr>
              <w:widowControl/>
              <w:jc w:val="center"/>
              <w:rPr>
                <w:rFonts w:ascii="宋体" w:hAnsi="宋体" w:cs="宋体"/>
                <w:kern w:val="0"/>
                <w:szCs w:val="21"/>
              </w:rPr>
            </w:pPr>
            <w:r w:rsidRPr="00665620">
              <w:rPr>
                <w:rFonts w:ascii="宋体" w:hAnsi="宋体" w:cs="宋体" w:hint="eastAsia"/>
                <w:kern w:val="0"/>
                <w:szCs w:val="21"/>
              </w:rPr>
              <w:t>直接</w:t>
            </w:r>
          </w:p>
        </w:tc>
        <w:tc>
          <w:tcPr>
            <w:tcW w:w="640" w:type="dxa"/>
            <w:tcBorders>
              <w:top w:val="nil"/>
              <w:left w:val="nil"/>
              <w:bottom w:val="single" w:sz="8" w:space="0" w:color="auto"/>
              <w:right w:val="single" w:sz="8" w:space="0" w:color="auto"/>
            </w:tcBorders>
            <w:shd w:val="clear" w:color="auto" w:fill="auto"/>
            <w:vAlign w:val="center"/>
          </w:tcPr>
          <w:p w:rsidR="00B041EC" w:rsidRPr="00665620" w:rsidRDefault="002D04A5">
            <w:pPr>
              <w:widowControl/>
              <w:jc w:val="center"/>
              <w:rPr>
                <w:rFonts w:ascii="宋体" w:hAnsi="宋体" w:cs="宋体"/>
                <w:kern w:val="0"/>
                <w:szCs w:val="21"/>
              </w:rPr>
            </w:pPr>
            <w:r w:rsidRPr="00665620">
              <w:rPr>
                <w:rFonts w:ascii="宋体" w:hAnsi="宋体" w:cs="宋体" w:hint="eastAsia"/>
                <w:kern w:val="0"/>
                <w:szCs w:val="21"/>
              </w:rPr>
              <w:t>间接</w:t>
            </w:r>
          </w:p>
        </w:tc>
        <w:tc>
          <w:tcPr>
            <w:tcW w:w="1360" w:type="dxa"/>
            <w:vMerge/>
            <w:tcBorders>
              <w:top w:val="single" w:sz="12" w:space="0" w:color="auto"/>
              <w:left w:val="single" w:sz="8" w:space="0" w:color="auto"/>
              <w:bottom w:val="single" w:sz="8" w:space="0" w:color="000000"/>
              <w:right w:val="nil"/>
            </w:tcBorders>
            <w:vAlign w:val="center"/>
          </w:tcPr>
          <w:p w:rsidR="00B041EC" w:rsidRPr="00665620" w:rsidRDefault="00B041EC">
            <w:pPr>
              <w:widowControl/>
              <w:jc w:val="left"/>
              <w:rPr>
                <w:rFonts w:ascii="宋体" w:hAnsi="宋体" w:cs="宋体"/>
                <w:kern w:val="0"/>
                <w:szCs w:val="21"/>
              </w:rPr>
            </w:pPr>
          </w:p>
        </w:tc>
      </w:tr>
      <w:tr w:rsidR="00B041EC" w:rsidRPr="00665620">
        <w:trPr>
          <w:trHeight w:val="515"/>
        </w:trPr>
        <w:tc>
          <w:tcPr>
            <w:tcW w:w="3320" w:type="dxa"/>
            <w:tcBorders>
              <w:top w:val="nil"/>
              <w:left w:val="nil"/>
              <w:bottom w:val="single" w:sz="8" w:space="0" w:color="auto"/>
              <w:right w:val="single" w:sz="8" w:space="0" w:color="auto"/>
            </w:tcBorders>
            <w:shd w:val="clear" w:color="auto" w:fill="auto"/>
            <w:vAlign w:val="center"/>
          </w:tcPr>
          <w:p w:rsidR="00B041EC" w:rsidRPr="00665620" w:rsidRDefault="002D04A5">
            <w:pPr>
              <w:widowControl/>
              <w:rPr>
                <w:rFonts w:ascii="宋体" w:hAnsi="宋体" w:cs="宋体"/>
                <w:kern w:val="0"/>
                <w:szCs w:val="21"/>
              </w:rPr>
            </w:pPr>
            <w:r w:rsidRPr="00665620">
              <w:rPr>
                <w:rFonts w:ascii="宋体" w:hAnsi="宋体" w:cs="宋体" w:hint="eastAsia"/>
                <w:kern w:val="0"/>
                <w:szCs w:val="21"/>
              </w:rPr>
              <w:t>上海启</w:t>
            </w:r>
            <w:proofErr w:type="gramStart"/>
            <w:r w:rsidRPr="00665620">
              <w:rPr>
                <w:rFonts w:ascii="宋体" w:hAnsi="宋体" w:cs="宋体" w:hint="eastAsia"/>
                <w:kern w:val="0"/>
                <w:szCs w:val="21"/>
              </w:rPr>
              <w:t>澜</w:t>
            </w:r>
            <w:proofErr w:type="gramEnd"/>
            <w:r w:rsidRPr="00665620">
              <w:rPr>
                <w:rFonts w:ascii="宋体" w:hAnsi="宋体" w:cs="宋体" w:hint="eastAsia"/>
                <w:kern w:val="0"/>
                <w:szCs w:val="21"/>
              </w:rPr>
              <w:t>企业管理咨询合伙企业（有限合伙）</w:t>
            </w:r>
          </w:p>
        </w:tc>
        <w:tc>
          <w:tcPr>
            <w:tcW w:w="900" w:type="dxa"/>
            <w:tcBorders>
              <w:top w:val="nil"/>
              <w:left w:val="nil"/>
              <w:bottom w:val="single" w:sz="8" w:space="0" w:color="auto"/>
              <w:right w:val="single" w:sz="8" w:space="0" w:color="auto"/>
            </w:tcBorders>
            <w:shd w:val="clear" w:color="auto" w:fill="auto"/>
            <w:vAlign w:val="center"/>
          </w:tcPr>
          <w:p w:rsidR="00B041EC" w:rsidRPr="00665620" w:rsidRDefault="002D04A5">
            <w:pPr>
              <w:widowControl/>
              <w:jc w:val="center"/>
              <w:rPr>
                <w:rFonts w:ascii="宋体" w:hAnsi="宋体" w:cs="宋体"/>
                <w:kern w:val="0"/>
                <w:szCs w:val="21"/>
              </w:rPr>
            </w:pPr>
            <w:r w:rsidRPr="00665620">
              <w:rPr>
                <w:rFonts w:ascii="宋体" w:hAnsi="宋体" w:cs="宋体" w:hint="eastAsia"/>
                <w:kern w:val="0"/>
                <w:szCs w:val="21"/>
              </w:rPr>
              <w:t>上海市</w:t>
            </w:r>
          </w:p>
        </w:tc>
        <w:tc>
          <w:tcPr>
            <w:tcW w:w="920" w:type="dxa"/>
            <w:tcBorders>
              <w:top w:val="nil"/>
              <w:left w:val="nil"/>
              <w:bottom w:val="single" w:sz="8" w:space="0" w:color="auto"/>
              <w:right w:val="single" w:sz="8" w:space="0" w:color="auto"/>
            </w:tcBorders>
            <w:shd w:val="clear" w:color="auto" w:fill="auto"/>
            <w:vAlign w:val="center"/>
          </w:tcPr>
          <w:p w:rsidR="00B041EC" w:rsidRPr="00665620" w:rsidRDefault="002D04A5">
            <w:pPr>
              <w:widowControl/>
              <w:jc w:val="center"/>
              <w:rPr>
                <w:rFonts w:ascii="宋体" w:hAnsi="宋体" w:cs="宋体"/>
                <w:kern w:val="0"/>
                <w:szCs w:val="21"/>
              </w:rPr>
            </w:pPr>
            <w:r w:rsidRPr="00665620">
              <w:rPr>
                <w:rFonts w:ascii="宋体" w:hAnsi="宋体" w:cs="宋体" w:hint="eastAsia"/>
                <w:kern w:val="0"/>
                <w:szCs w:val="21"/>
              </w:rPr>
              <w:t>上海市</w:t>
            </w:r>
          </w:p>
        </w:tc>
        <w:tc>
          <w:tcPr>
            <w:tcW w:w="1060" w:type="dxa"/>
            <w:tcBorders>
              <w:top w:val="nil"/>
              <w:left w:val="nil"/>
              <w:bottom w:val="single" w:sz="8" w:space="0" w:color="auto"/>
              <w:right w:val="single" w:sz="8" w:space="0" w:color="auto"/>
            </w:tcBorders>
            <w:shd w:val="clear" w:color="auto" w:fill="auto"/>
            <w:vAlign w:val="center"/>
          </w:tcPr>
          <w:p w:rsidR="00B041EC" w:rsidRPr="00665620" w:rsidRDefault="002D04A5">
            <w:pPr>
              <w:widowControl/>
              <w:jc w:val="center"/>
              <w:rPr>
                <w:rFonts w:ascii="宋体" w:hAnsi="宋体" w:cs="宋体"/>
                <w:kern w:val="0"/>
                <w:szCs w:val="21"/>
              </w:rPr>
            </w:pPr>
            <w:r w:rsidRPr="00665620">
              <w:rPr>
                <w:rFonts w:ascii="宋体" w:hAnsi="宋体" w:cs="宋体" w:hint="eastAsia"/>
                <w:kern w:val="0"/>
                <w:szCs w:val="21"/>
              </w:rPr>
              <w:t>投资</w:t>
            </w:r>
          </w:p>
        </w:tc>
        <w:tc>
          <w:tcPr>
            <w:tcW w:w="800" w:type="dxa"/>
            <w:tcBorders>
              <w:top w:val="nil"/>
              <w:left w:val="nil"/>
              <w:bottom w:val="single" w:sz="8" w:space="0" w:color="auto"/>
              <w:right w:val="single" w:sz="8" w:space="0" w:color="auto"/>
            </w:tcBorders>
            <w:shd w:val="clear" w:color="auto" w:fill="auto"/>
            <w:vAlign w:val="center"/>
          </w:tcPr>
          <w:p w:rsidR="00B041EC" w:rsidRPr="00665620" w:rsidRDefault="00D86137">
            <w:pPr>
              <w:widowControl/>
              <w:jc w:val="right"/>
              <w:rPr>
                <w:rFonts w:ascii="宋体" w:hAnsi="宋体" w:cs="宋体"/>
                <w:kern w:val="0"/>
                <w:szCs w:val="21"/>
              </w:rPr>
            </w:pPr>
            <w:r w:rsidRPr="00665620">
              <w:rPr>
                <w:rFonts w:ascii="宋体" w:hAnsi="宋体" w:cs="宋体" w:hint="eastAsia"/>
                <w:kern w:val="0"/>
                <w:szCs w:val="21"/>
              </w:rPr>
              <w:t>100</w:t>
            </w:r>
            <w:r w:rsidR="002D04A5" w:rsidRPr="00665620">
              <w:rPr>
                <w:rFonts w:ascii="宋体" w:hAnsi="宋体" w:cs="宋体" w:hint="eastAsia"/>
                <w:kern w:val="0"/>
                <w:szCs w:val="21"/>
              </w:rPr>
              <w:t xml:space="preserve">　</w:t>
            </w:r>
          </w:p>
        </w:tc>
        <w:tc>
          <w:tcPr>
            <w:tcW w:w="640" w:type="dxa"/>
            <w:tcBorders>
              <w:top w:val="nil"/>
              <w:left w:val="nil"/>
              <w:bottom w:val="single" w:sz="8" w:space="0" w:color="auto"/>
              <w:right w:val="single" w:sz="8" w:space="0" w:color="auto"/>
            </w:tcBorders>
            <w:shd w:val="clear" w:color="auto" w:fill="auto"/>
            <w:vAlign w:val="center"/>
          </w:tcPr>
          <w:p w:rsidR="00B041EC" w:rsidRPr="00665620" w:rsidRDefault="00B041EC">
            <w:pPr>
              <w:widowControl/>
              <w:jc w:val="center"/>
              <w:rPr>
                <w:rFonts w:ascii="宋体" w:hAnsi="宋体" w:cs="宋体"/>
                <w:kern w:val="0"/>
                <w:szCs w:val="21"/>
              </w:rPr>
            </w:pPr>
          </w:p>
        </w:tc>
        <w:tc>
          <w:tcPr>
            <w:tcW w:w="1360" w:type="dxa"/>
            <w:tcBorders>
              <w:top w:val="nil"/>
              <w:left w:val="nil"/>
              <w:bottom w:val="single" w:sz="8" w:space="0" w:color="auto"/>
              <w:right w:val="nil"/>
            </w:tcBorders>
            <w:shd w:val="clear" w:color="auto" w:fill="auto"/>
            <w:vAlign w:val="center"/>
          </w:tcPr>
          <w:p w:rsidR="00B041EC" w:rsidRPr="00665620" w:rsidRDefault="002D04A5">
            <w:pPr>
              <w:widowControl/>
              <w:jc w:val="center"/>
              <w:rPr>
                <w:rFonts w:ascii="宋体" w:hAnsi="宋体" w:cs="宋体"/>
                <w:kern w:val="0"/>
                <w:szCs w:val="21"/>
              </w:rPr>
            </w:pPr>
            <w:r w:rsidRPr="00665620">
              <w:rPr>
                <w:rFonts w:ascii="宋体" w:hAnsi="宋体" w:cs="宋体" w:hint="eastAsia"/>
                <w:kern w:val="0"/>
                <w:szCs w:val="21"/>
              </w:rPr>
              <w:t>设立</w:t>
            </w:r>
          </w:p>
        </w:tc>
      </w:tr>
    </w:tbl>
    <w:p w:rsidR="00B041EC" w:rsidRDefault="00B041EC" w:rsidP="00D52FF4">
      <w:pPr>
        <w:autoSpaceDE w:val="0"/>
        <w:autoSpaceDN w:val="0"/>
        <w:adjustRightInd w:val="0"/>
        <w:spacing w:afterLines="50" w:after="156" w:line="360" w:lineRule="auto"/>
        <w:rPr>
          <w:rFonts w:ascii="Times New Roman" w:hAnsi="宋体"/>
          <w:kern w:val="0"/>
          <w:sz w:val="24"/>
          <w:szCs w:val="24"/>
          <w:lang w:val="zh-CN"/>
        </w:rPr>
      </w:pPr>
    </w:p>
    <w:p w:rsidR="00B041EC" w:rsidRDefault="002D04A5" w:rsidP="00D52FF4">
      <w:pPr>
        <w:autoSpaceDE w:val="0"/>
        <w:autoSpaceDN w:val="0"/>
        <w:adjustRightInd w:val="0"/>
        <w:spacing w:afterLines="50" w:after="156" w:line="360" w:lineRule="auto"/>
        <w:rPr>
          <w:rFonts w:ascii="Times New Roman" w:hAnsi="宋体"/>
          <w:kern w:val="0"/>
          <w:sz w:val="24"/>
          <w:szCs w:val="24"/>
          <w:lang w:val="zh-CN"/>
        </w:rPr>
      </w:pPr>
      <w:r>
        <w:rPr>
          <w:rFonts w:ascii="Times New Roman" w:hAnsi="宋体" w:hint="eastAsia"/>
          <w:kern w:val="0"/>
          <w:sz w:val="24"/>
          <w:szCs w:val="24"/>
          <w:lang w:val="zh-CN"/>
        </w:rPr>
        <w:t>（二）主要子公司财务数据</w:t>
      </w:r>
    </w:p>
    <w:p w:rsidR="00B041EC" w:rsidRDefault="002D04A5">
      <w:pPr>
        <w:autoSpaceDE w:val="0"/>
        <w:autoSpaceDN w:val="0"/>
        <w:adjustRightInd w:val="0"/>
        <w:spacing w:line="360" w:lineRule="auto"/>
        <w:ind w:firstLineChars="200" w:firstLine="480"/>
        <w:rPr>
          <w:rFonts w:ascii="宋体" w:hAnsi="宋体"/>
          <w:sz w:val="24"/>
          <w:szCs w:val="24"/>
        </w:rPr>
      </w:pPr>
      <w:r>
        <w:rPr>
          <w:rFonts w:ascii="宋体" w:hAnsi="宋体" w:hint="eastAsia"/>
          <w:kern w:val="0"/>
          <w:sz w:val="24"/>
          <w:szCs w:val="24"/>
          <w:lang w:val="zh-CN"/>
        </w:rPr>
        <w:t>江</w:t>
      </w:r>
      <w:r>
        <w:rPr>
          <w:rFonts w:ascii="宋体" w:hAnsi="宋体" w:hint="eastAsia"/>
          <w:sz w:val="24"/>
          <w:szCs w:val="24"/>
        </w:rPr>
        <w:t>阴华西化工码头有限公司</w:t>
      </w:r>
      <w:r w:rsidR="00321BA0">
        <w:rPr>
          <w:rFonts w:ascii="宋体" w:hAnsi="宋体" w:hint="eastAsia"/>
          <w:sz w:val="24"/>
          <w:szCs w:val="24"/>
        </w:rPr>
        <w:t>2023年</w:t>
      </w:r>
      <w:r w:rsidR="00C11CB7">
        <w:rPr>
          <w:rFonts w:ascii="宋体" w:hAnsi="宋体" w:hint="eastAsia"/>
          <w:sz w:val="24"/>
          <w:szCs w:val="24"/>
        </w:rPr>
        <w:t>度</w:t>
      </w:r>
      <w:r>
        <w:rPr>
          <w:rFonts w:ascii="宋体" w:hAnsi="宋体" w:hint="eastAsia"/>
          <w:sz w:val="24"/>
          <w:szCs w:val="24"/>
        </w:rPr>
        <w:t>实现营业收入</w:t>
      </w:r>
      <w:r w:rsidR="00C11CB7">
        <w:rPr>
          <w:rFonts w:ascii="宋体" w:hAnsi="宋体" w:hint="eastAsia"/>
          <w:sz w:val="24"/>
          <w:szCs w:val="24"/>
        </w:rPr>
        <w:t>29</w:t>
      </w:r>
      <w:r>
        <w:rPr>
          <w:rFonts w:ascii="宋体" w:hAnsi="宋体" w:hint="eastAsia"/>
          <w:sz w:val="24"/>
          <w:szCs w:val="24"/>
        </w:rPr>
        <w:t>,</w:t>
      </w:r>
      <w:r w:rsidR="00C11CB7">
        <w:rPr>
          <w:rFonts w:ascii="宋体" w:hAnsi="宋体" w:hint="eastAsia"/>
          <w:sz w:val="24"/>
          <w:szCs w:val="24"/>
        </w:rPr>
        <w:t>777</w:t>
      </w:r>
      <w:r>
        <w:rPr>
          <w:rFonts w:ascii="宋体" w:hAnsi="宋体" w:hint="eastAsia"/>
          <w:sz w:val="24"/>
          <w:szCs w:val="24"/>
        </w:rPr>
        <w:t>.</w:t>
      </w:r>
      <w:r w:rsidR="00C11CB7">
        <w:rPr>
          <w:rFonts w:ascii="宋体" w:hAnsi="宋体" w:hint="eastAsia"/>
          <w:sz w:val="24"/>
          <w:szCs w:val="24"/>
        </w:rPr>
        <w:t>64万元，较上年度减少</w:t>
      </w:r>
      <w:r>
        <w:rPr>
          <w:rFonts w:ascii="宋体" w:hAnsi="宋体" w:hint="eastAsia"/>
          <w:sz w:val="24"/>
          <w:szCs w:val="24"/>
        </w:rPr>
        <w:t>了</w:t>
      </w:r>
      <w:r w:rsidR="00C11CB7">
        <w:rPr>
          <w:rFonts w:ascii="宋体" w:hAnsi="宋体" w:hint="eastAsia"/>
          <w:sz w:val="24"/>
          <w:szCs w:val="24"/>
        </w:rPr>
        <w:t>7</w:t>
      </w:r>
      <w:r>
        <w:rPr>
          <w:rFonts w:ascii="宋体" w:hAnsi="宋体" w:hint="eastAsia"/>
          <w:sz w:val="24"/>
          <w:szCs w:val="24"/>
        </w:rPr>
        <w:t>.</w:t>
      </w:r>
      <w:r w:rsidR="00C11CB7">
        <w:rPr>
          <w:rFonts w:ascii="宋体" w:hAnsi="宋体" w:hint="eastAsia"/>
          <w:sz w:val="24"/>
          <w:szCs w:val="24"/>
        </w:rPr>
        <w:t>31</w:t>
      </w:r>
      <w:r>
        <w:rPr>
          <w:rFonts w:ascii="宋体" w:hAnsi="宋体" w:hint="eastAsia"/>
          <w:sz w:val="24"/>
          <w:szCs w:val="24"/>
        </w:rPr>
        <w:t>%，实现净利润</w:t>
      </w:r>
      <w:r w:rsidR="00C11CB7">
        <w:rPr>
          <w:rFonts w:ascii="宋体" w:hAnsi="宋体" w:hint="eastAsia"/>
          <w:sz w:val="24"/>
          <w:szCs w:val="24"/>
        </w:rPr>
        <w:t>8</w:t>
      </w:r>
      <w:r>
        <w:rPr>
          <w:rFonts w:ascii="宋体" w:hAnsi="宋体" w:hint="eastAsia"/>
          <w:sz w:val="24"/>
          <w:szCs w:val="24"/>
        </w:rPr>
        <w:t>,</w:t>
      </w:r>
      <w:r w:rsidR="00C11CB7">
        <w:rPr>
          <w:rFonts w:ascii="宋体" w:hAnsi="宋体" w:hint="eastAsia"/>
          <w:sz w:val="24"/>
          <w:szCs w:val="24"/>
        </w:rPr>
        <w:t>665</w:t>
      </w:r>
      <w:r>
        <w:rPr>
          <w:rFonts w:ascii="宋体" w:hAnsi="宋体" w:hint="eastAsia"/>
          <w:sz w:val="24"/>
          <w:szCs w:val="24"/>
        </w:rPr>
        <w:t>.</w:t>
      </w:r>
      <w:r w:rsidR="00C11CB7">
        <w:rPr>
          <w:rFonts w:ascii="宋体" w:hAnsi="宋体" w:hint="eastAsia"/>
          <w:sz w:val="24"/>
          <w:szCs w:val="24"/>
        </w:rPr>
        <w:t>39万元，较上年度减少</w:t>
      </w:r>
      <w:r>
        <w:rPr>
          <w:rFonts w:ascii="宋体" w:hAnsi="宋体" w:hint="eastAsia"/>
          <w:sz w:val="24"/>
          <w:szCs w:val="24"/>
        </w:rPr>
        <w:t>了</w:t>
      </w:r>
      <w:r w:rsidR="009A3B8F">
        <w:rPr>
          <w:rFonts w:ascii="宋体" w:hAnsi="宋体" w:hint="eastAsia"/>
          <w:sz w:val="24"/>
          <w:szCs w:val="24"/>
        </w:rPr>
        <w:t>1</w:t>
      </w:r>
      <w:r w:rsidR="00C11CB7">
        <w:rPr>
          <w:rFonts w:ascii="宋体" w:hAnsi="宋体" w:hint="eastAsia"/>
          <w:sz w:val="24"/>
          <w:szCs w:val="24"/>
        </w:rPr>
        <w:t>4</w:t>
      </w:r>
      <w:r>
        <w:rPr>
          <w:rFonts w:ascii="宋体" w:hAnsi="宋体" w:hint="eastAsia"/>
          <w:sz w:val="24"/>
          <w:szCs w:val="24"/>
        </w:rPr>
        <w:t>.</w:t>
      </w:r>
      <w:r w:rsidR="00C11CB7">
        <w:rPr>
          <w:rFonts w:ascii="宋体" w:hAnsi="宋体" w:hint="eastAsia"/>
          <w:sz w:val="24"/>
          <w:szCs w:val="24"/>
        </w:rPr>
        <w:t>19</w:t>
      </w:r>
      <w:r>
        <w:rPr>
          <w:rFonts w:ascii="宋体" w:hAnsi="宋体" w:hint="eastAsia"/>
          <w:sz w:val="24"/>
          <w:szCs w:val="24"/>
        </w:rPr>
        <w:t>%。江阴华西</w:t>
      </w:r>
      <w:proofErr w:type="gramStart"/>
      <w:r>
        <w:rPr>
          <w:rFonts w:ascii="宋体" w:hAnsi="宋体" w:hint="eastAsia"/>
          <w:sz w:val="24"/>
          <w:szCs w:val="24"/>
        </w:rPr>
        <w:t>村资本</w:t>
      </w:r>
      <w:proofErr w:type="gramEnd"/>
      <w:r>
        <w:rPr>
          <w:rFonts w:ascii="宋体" w:hAnsi="宋体" w:hint="eastAsia"/>
          <w:sz w:val="24"/>
          <w:szCs w:val="24"/>
        </w:rPr>
        <w:t>有限公司</w:t>
      </w:r>
      <w:r w:rsidR="00C11CB7">
        <w:rPr>
          <w:rFonts w:ascii="宋体" w:hAnsi="宋体" w:hint="eastAsia"/>
          <w:sz w:val="24"/>
          <w:szCs w:val="24"/>
        </w:rPr>
        <w:t>2023年度</w:t>
      </w:r>
      <w:r w:rsidR="0035396B">
        <w:rPr>
          <w:rFonts w:ascii="宋体" w:hAnsi="宋体" w:hint="eastAsia"/>
          <w:sz w:val="24"/>
          <w:szCs w:val="24"/>
        </w:rPr>
        <w:t>实现</w:t>
      </w:r>
      <w:r>
        <w:rPr>
          <w:rFonts w:ascii="宋体" w:hAnsi="宋体" w:hint="eastAsia"/>
          <w:sz w:val="24"/>
          <w:szCs w:val="24"/>
        </w:rPr>
        <w:t>营业收入</w:t>
      </w:r>
      <w:r w:rsidR="00C11CB7">
        <w:rPr>
          <w:rFonts w:ascii="宋体" w:hAnsi="宋体" w:hint="eastAsia"/>
          <w:sz w:val="24"/>
          <w:szCs w:val="24"/>
        </w:rPr>
        <w:t>70</w:t>
      </w:r>
      <w:r>
        <w:rPr>
          <w:rFonts w:ascii="宋体" w:hAnsi="宋体" w:hint="eastAsia"/>
          <w:sz w:val="24"/>
          <w:szCs w:val="24"/>
        </w:rPr>
        <w:t>,</w:t>
      </w:r>
      <w:r w:rsidR="00C11CB7">
        <w:rPr>
          <w:rFonts w:ascii="宋体" w:hAnsi="宋体" w:hint="eastAsia"/>
          <w:sz w:val="24"/>
          <w:szCs w:val="24"/>
        </w:rPr>
        <w:t>985</w:t>
      </w:r>
      <w:r>
        <w:rPr>
          <w:rFonts w:ascii="宋体" w:hAnsi="宋体" w:hint="eastAsia"/>
          <w:sz w:val="24"/>
          <w:szCs w:val="24"/>
        </w:rPr>
        <w:t>.</w:t>
      </w:r>
      <w:r w:rsidR="00C11CB7">
        <w:rPr>
          <w:rFonts w:ascii="宋体" w:hAnsi="宋体" w:hint="eastAsia"/>
          <w:sz w:val="24"/>
          <w:szCs w:val="24"/>
        </w:rPr>
        <w:t>82</w:t>
      </w:r>
      <w:r w:rsidR="009A3B8F">
        <w:rPr>
          <w:rFonts w:ascii="宋体" w:hAnsi="宋体" w:hint="eastAsia"/>
          <w:sz w:val="24"/>
          <w:szCs w:val="24"/>
        </w:rPr>
        <w:t>万元，较上年度</w:t>
      </w:r>
      <w:r w:rsidR="00C11CB7">
        <w:rPr>
          <w:rFonts w:ascii="宋体" w:hAnsi="宋体" w:hint="eastAsia"/>
          <w:sz w:val="24"/>
          <w:szCs w:val="24"/>
        </w:rPr>
        <w:t>增加</w:t>
      </w:r>
      <w:r>
        <w:rPr>
          <w:rFonts w:ascii="宋体" w:hAnsi="宋体" w:hint="eastAsia"/>
          <w:sz w:val="24"/>
          <w:szCs w:val="24"/>
        </w:rPr>
        <w:t>了</w:t>
      </w:r>
      <w:r w:rsidR="00C11CB7">
        <w:rPr>
          <w:rFonts w:ascii="宋体" w:hAnsi="宋体" w:hint="eastAsia"/>
          <w:sz w:val="24"/>
          <w:szCs w:val="24"/>
        </w:rPr>
        <w:t>42</w:t>
      </w:r>
      <w:r>
        <w:rPr>
          <w:rFonts w:ascii="宋体" w:hAnsi="宋体" w:hint="eastAsia"/>
          <w:sz w:val="24"/>
          <w:szCs w:val="24"/>
        </w:rPr>
        <w:t>.</w:t>
      </w:r>
      <w:r w:rsidR="00C11CB7">
        <w:rPr>
          <w:rFonts w:ascii="宋体" w:hAnsi="宋体" w:hint="eastAsia"/>
          <w:sz w:val="24"/>
          <w:szCs w:val="24"/>
        </w:rPr>
        <w:t>31</w:t>
      </w:r>
      <w:r>
        <w:rPr>
          <w:rFonts w:ascii="宋体" w:hAnsi="宋体" w:hint="eastAsia"/>
          <w:sz w:val="24"/>
          <w:szCs w:val="24"/>
        </w:rPr>
        <w:t>%，实现净利润</w:t>
      </w:r>
      <w:r w:rsidR="0035396B">
        <w:rPr>
          <w:rFonts w:ascii="宋体" w:hAnsi="宋体" w:hint="eastAsia"/>
          <w:sz w:val="24"/>
          <w:szCs w:val="24"/>
        </w:rPr>
        <w:t>240</w:t>
      </w:r>
      <w:r>
        <w:rPr>
          <w:rFonts w:ascii="宋体" w:hAnsi="宋体" w:hint="eastAsia"/>
          <w:sz w:val="24"/>
          <w:szCs w:val="24"/>
        </w:rPr>
        <w:t>.</w:t>
      </w:r>
      <w:r w:rsidR="0035396B">
        <w:rPr>
          <w:rFonts w:ascii="宋体" w:hAnsi="宋体" w:hint="eastAsia"/>
          <w:sz w:val="24"/>
          <w:szCs w:val="24"/>
        </w:rPr>
        <w:t>87</w:t>
      </w:r>
      <w:r>
        <w:rPr>
          <w:rFonts w:ascii="宋体" w:hAnsi="宋体" w:hint="eastAsia"/>
          <w:sz w:val="24"/>
          <w:szCs w:val="24"/>
        </w:rPr>
        <w:t xml:space="preserve">万元, </w:t>
      </w:r>
      <w:r w:rsidR="009A3B8F">
        <w:rPr>
          <w:rFonts w:ascii="宋体" w:hAnsi="宋体" w:hint="eastAsia"/>
          <w:sz w:val="24"/>
          <w:szCs w:val="24"/>
        </w:rPr>
        <w:t>较上年度</w:t>
      </w:r>
      <w:r w:rsidR="00C11CB7">
        <w:rPr>
          <w:rFonts w:ascii="宋体" w:hAnsi="宋体" w:hint="eastAsia"/>
          <w:sz w:val="24"/>
          <w:szCs w:val="24"/>
        </w:rPr>
        <w:t>增加</w:t>
      </w:r>
      <w:r>
        <w:rPr>
          <w:rFonts w:ascii="宋体" w:hAnsi="宋体" w:hint="eastAsia"/>
          <w:sz w:val="24"/>
          <w:szCs w:val="24"/>
        </w:rPr>
        <w:t>了</w:t>
      </w:r>
      <w:r w:rsidR="0035396B">
        <w:rPr>
          <w:rFonts w:ascii="宋体" w:hAnsi="宋体" w:hint="eastAsia"/>
          <w:sz w:val="24"/>
          <w:szCs w:val="24"/>
        </w:rPr>
        <w:t>107</w:t>
      </w:r>
      <w:r w:rsidR="00CC1A36">
        <w:rPr>
          <w:rFonts w:ascii="宋体" w:hAnsi="宋体" w:hint="eastAsia"/>
          <w:sz w:val="24"/>
          <w:szCs w:val="24"/>
        </w:rPr>
        <w:t>.</w:t>
      </w:r>
      <w:r w:rsidR="00C11CB7">
        <w:rPr>
          <w:rFonts w:ascii="宋体" w:hAnsi="宋体" w:hint="eastAsia"/>
          <w:sz w:val="24"/>
          <w:szCs w:val="24"/>
        </w:rPr>
        <w:t>9</w:t>
      </w:r>
      <w:r w:rsidR="0035396B">
        <w:rPr>
          <w:rFonts w:ascii="宋体" w:hAnsi="宋体" w:hint="eastAsia"/>
          <w:sz w:val="24"/>
          <w:szCs w:val="24"/>
        </w:rPr>
        <w:t>5</w:t>
      </w:r>
      <w:r>
        <w:rPr>
          <w:rFonts w:ascii="宋体" w:hAnsi="宋体" w:hint="eastAsia"/>
          <w:sz w:val="24"/>
          <w:szCs w:val="24"/>
        </w:rPr>
        <w:t>%。部分财务数据如下：</w:t>
      </w:r>
    </w:p>
    <w:tbl>
      <w:tblPr>
        <w:tblW w:w="9551" w:type="dxa"/>
        <w:tblInd w:w="-34" w:type="dxa"/>
        <w:tblLook w:val="04A0" w:firstRow="1" w:lastRow="0" w:firstColumn="1" w:lastColumn="0" w:noHBand="0" w:noVBand="1"/>
      </w:tblPr>
      <w:tblGrid>
        <w:gridCol w:w="1702"/>
        <w:gridCol w:w="1156"/>
        <w:gridCol w:w="1206"/>
        <w:gridCol w:w="1385"/>
        <w:gridCol w:w="1440"/>
        <w:gridCol w:w="1220"/>
        <w:gridCol w:w="1247"/>
        <w:gridCol w:w="195"/>
      </w:tblGrid>
      <w:tr w:rsidR="00B041EC">
        <w:trPr>
          <w:trHeight w:val="375"/>
        </w:trPr>
        <w:tc>
          <w:tcPr>
            <w:tcW w:w="1702" w:type="dxa"/>
            <w:tcBorders>
              <w:top w:val="nil"/>
              <w:left w:val="nil"/>
              <w:bottom w:val="nil"/>
              <w:right w:val="nil"/>
            </w:tcBorders>
            <w:shd w:val="clear" w:color="auto" w:fill="auto"/>
            <w:noWrap/>
            <w:vAlign w:val="center"/>
          </w:tcPr>
          <w:p w:rsidR="00B041EC" w:rsidRDefault="00B041EC">
            <w:pPr>
              <w:widowControl/>
              <w:jc w:val="left"/>
              <w:rPr>
                <w:rFonts w:ascii="宋体" w:hAnsi="宋体" w:cs="宋体"/>
                <w:kern w:val="0"/>
                <w:sz w:val="22"/>
              </w:rPr>
            </w:pPr>
          </w:p>
        </w:tc>
        <w:tc>
          <w:tcPr>
            <w:tcW w:w="1156" w:type="dxa"/>
            <w:tcBorders>
              <w:top w:val="nil"/>
              <w:left w:val="nil"/>
              <w:bottom w:val="nil"/>
              <w:right w:val="nil"/>
            </w:tcBorders>
            <w:shd w:val="clear" w:color="auto" w:fill="auto"/>
            <w:noWrap/>
            <w:vAlign w:val="center"/>
          </w:tcPr>
          <w:p w:rsidR="00B041EC" w:rsidRDefault="00B041EC">
            <w:pPr>
              <w:widowControl/>
              <w:jc w:val="left"/>
              <w:rPr>
                <w:rFonts w:ascii="宋体" w:hAnsi="宋体" w:cs="宋体"/>
                <w:kern w:val="0"/>
                <w:sz w:val="22"/>
              </w:rPr>
            </w:pPr>
          </w:p>
        </w:tc>
        <w:tc>
          <w:tcPr>
            <w:tcW w:w="1206" w:type="dxa"/>
            <w:tcBorders>
              <w:top w:val="nil"/>
              <w:left w:val="nil"/>
              <w:bottom w:val="nil"/>
              <w:right w:val="nil"/>
            </w:tcBorders>
            <w:shd w:val="clear" w:color="auto" w:fill="auto"/>
            <w:noWrap/>
            <w:vAlign w:val="center"/>
          </w:tcPr>
          <w:p w:rsidR="00B041EC" w:rsidRDefault="00B041EC">
            <w:pPr>
              <w:widowControl/>
              <w:jc w:val="left"/>
              <w:rPr>
                <w:rFonts w:ascii="宋体" w:hAnsi="宋体" w:cs="宋体"/>
                <w:kern w:val="0"/>
                <w:sz w:val="22"/>
              </w:rPr>
            </w:pPr>
          </w:p>
        </w:tc>
        <w:tc>
          <w:tcPr>
            <w:tcW w:w="1385" w:type="dxa"/>
            <w:tcBorders>
              <w:top w:val="nil"/>
              <w:left w:val="nil"/>
              <w:bottom w:val="nil"/>
              <w:right w:val="nil"/>
            </w:tcBorders>
            <w:shd w:val="clear" w:color="auto" w:fill="auto"/>
            <w:noWrap/>
            <w:vAlign w:val="center"/>
          </w:tcPr>
          <w:p w:rsidR="00B041EC" w:rsidRDefault="00B041EC">
            <w:pPr>
              <w:widowControl/>
              <w:jc w:val="left"/>
              <w:rPr>
                <w:rFonts w:ascii="宋体" w:hAnsi="宋体" w:cs="宋体"/>
                <w:kern w:val="0"/>
                <w:sz w:val="22"/>
              </w:rPr>
            </w:pPr>
          </w:p>
        </w:tc>
        <w:tc>
          <w:tcPr>
            <w:tcW w:w="1440" w:type="dxa"/>
            <w:tcBorders>
              <w:top w:val="nil"/>
              <w:left w:val="nil"/>
              <w:bottom w:val="nil"/>
              <w:right w:val="nil"/>
            </w:tcBorders>
            <w:shd w:val="clear" w:color="auto" w:fill="auto"/>
            <w:noWrap/>
            <w:vAlign w:val="center"/>
          </w:tcPr>
          <w:p w:rsidR="00B041EC" w:rsidRDefault="00B041EC">
            <w:pPr>
              <w:widowControl/>
              <w:jc w:val="left"/>
              <w:rPr>
                <w:rFonts w:ascii="宋体" w:hAnsi="宋体" w:cs="宋体"/>
                <w:kern w:val="0"/>
                <w:sz w:val="22"/>
              </w:rPr>
            </w:pPr>
          </w:p>
        </w:tc>
        <w:tc>
          <w:tcPr>
            <w:tcW w:w="2662" w:type="dxa"/>
            <w:gridSpan w:val="3"/>
            <w:tcBorders>
              <w:top w:val="nil"/>
              <w:left w:val="nil"/>
              <w:bottom w:val="nil"/>
              <w:right w:val="nil"/>
            </w:tcBorders>
            <w:shd w:val="clear" w:color="auto" w:fill="auto"/>
            <w:noWrap/>
            <w:vAlign w:val="center"/>
          </w:tcPr>
          <w:p w:rsidR="00B041EC" w:rsidRDefault="002D04A5">
            <w:pPr>
              <w:widowControl/>
              <w:jc w:val="left"/>
              <w:rPr>
                <w:rFonts w:ascii="宋体" w:hAnsi="宋体" w:cs="宋体"/>
                <w:kern w:val="0"/>
                <w:sz w:val="22"/>
              </w:rPr>
            </w:pPr>
            <w:r>
              <w:rPr>
                <w:rFonts w:ascii="宋体" w:hAnsi="宋体" w:cs="宋体" w:hint="eastAsia"/>
                <w:kern w:val="0"/>
                <w:sz w:val="22"/>
              </w:rPr>
              <w:t>单位：万元</w:t>
            </w:r>
          </w:p>
        </w:tc>
      </w:tr>
      <w:tr w:rsidR="00B041EC">
        <w:trPr>
          <w:gridAfter w:val="1"/>
          <w:wAfter w:w="195" w:type="dxa"/>
          <w:trHeight w:val="825"/>
        </w:trPr>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41EC" w:rsidRPr="00665620" w:rsidRDefault="002D04A5">
            <w:pPr>
              <w:widowControl/>
              <w:jc w:val="center"/>
              <w:rPr>
                <w:rFonts w:ascii="宋体" w:hAnsi="宋体" w:cs="宋体"/>
                <w:kern w:val="0"/>
                <w:szCs w:val="21"/>
              </w:rPr>
            </w:pPr>
            <w:r w:rsidRPr="00665620">
              <w:rPr>
                <w:rFonts w:ascii="宋体" w:hAnsi="宋体" w:cs="宋体" w:hint="eastAsia"/>
                <w:kern w:val="0"/>
                <w:szCs w:val="21"/>
              </w:rPr>
              <w:t>单位名称</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B041EC" w:rsidRPr="00665620" w:rsidRDefault="002D04A5">
            <w:pPr>
              <w:widowControl/>
              <w:jc w:val="center"/>
              <w:rPr>
                <w:rFonts w:ascii="宋体" w:hAnsi="宋体" w:cs="宋体"/>
                <w:kern w:val="0"/>
                <w:szCs w:val="21"/>
              </w:rPr>
            </w:pPr>
            <w:r w:rsidRPr="00665620">
              <w:rPr>
                <w:rFonts w:ascii="宋体" w:hAnsi="宋体" w:cs="宋体" w:hint="eastAsia"/>
                <w:kern w:val="0"/>
                <w:szCs w:val="21"/>
              </w:rPr>
              <w:t>持股比例</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B041EC" w:rsidRPr="00665620" w:rsidRDefault="002D04A5">
            <w:pPr>
              <w:widowControl/>
              <w:jc w:val="center"/>
              <w:rPr>
                <w:rFonts w:ascii="宋体" w:hAnsi="宋体" w:cs="宋体"/>
                <w:kern w:val="0"/>
                <w:szCs w:val="21"/>
              </w:rPr>
            </w:pPr>
            <w:r w:rsidRPr="00665620">
              <w:rPr>
                <w:rFonts w:ascii="宋体" w:hAnsi="宋体" w:cs="宋体" w:hint="eastAsia"/>
                <w:kern w:val="0"/>
                <w:szCs w:val="21"/>
              </w:rPr>
              <w:t>资产总额</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rsidR="00B041EC" w:rsidRPr="00665620" w:rsidRDefault="002D04A5">
            <w:pPr>
              <w:widowControl/>
              <w:jc w:val="center"/>
              <w:rPr>
                <w:rFonts w:ascii="宋体" w:hAnsi="宋体" w:cs="宋体"/>
                <w:kern w:val="0"/>
                <w:szCs w:val="21"/>
              </w:rPr>
            </w:pPr>
            <w:r w:rsidRPr="00665620">
              <w:rPr>
                <w:rFonts w:ascii="宋体" w:hAnsi="宋体" w:cs="宋体" w:hint="eastAsia"/>
                <w:kern w:val="0"/>
                <w:szCs w:val="21"/>
              </w:rPr>
              <w:t>负债总额</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041EC" w:rsidRPr="00665620" w:rsidRDefault="0021535F">
            <w:pPr>
              <w:widowControl/>
              <w:jc w:val="center"/>
              <w:rPr>
                <w:rFonts w:ascii="宋体" w:hAnsi="宋体" w:cs="宋体"/>
                <w:kern w:val="0"/>
                <w:szCs w:val="21"/>
              </w:rPr>
            </w:pPr>
            <w:r>
              <w:rPr>
                <w:rFonts w:ascii="宋体" w:hAnsi="宋体" w:cs="宋体" w:hint="eastAsia"/>
                <w:kern w:val="0"/>
                <w:szCs w:val="21"/>
              </w:rPr>
              <w:t>股东</w:t>
            </w:r>
            <w:r w:rsidR="002D04A5" w:rsidRPr="00665620">
              <w:rPr>
                <w:rFonts w:ascii="宋体" w:hAnsi="宋体" w:cs="宋体" w:hint="eastAsia"/>
                <w:kern w:val="0"/>
                <w:szCs w:val="21"/>
              </w:rPr>
              <w:t>权益</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rsidR="00B041EC" w:rsidRPr="00665620" w:rsidRDefault="002D04A5">
            <w:pPr>
              <w:widowControl/>
              <w:jc w:val="center"/>
              <w:rPr>
                <w:rFonts w:ascii="宋体" w:hAnsi="宋体" w:cs="宋体"/>
                <w:kern w:val="0"/>
                <w:szCs w:val="21"/>
              </w:rPr>
            </w:pPr>
            <w:r w:rsidRPr="00665620">
              <w:rPr>
                <w:rFonts w:ascii="宋体" w:hAnsi="宋体" w:cs="宋体" w:hint="eastAsia"/>
                <w:kern w:val="0"/>
                <w:szCs w:val="21"/>
              </w:rPr>
              <w:t>营业收入</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B041EC" w:rsidRPr="00665620" w:rsidRDefault="002D04A5">
            <w:pPr>
              <w:widowControl/>
              <w:jc w:val="center"/>
              <w:rPr>
                <w:rFonts w:ascii="Times New Roman" w:eastAsia="Times New Roman" w:hAnsi="Times New Roman"/>
                <w:kern w:val="0"/>
                <w:szCs w:val="21"/>
              </w:rPr>
            </w:pPr>
            <w:r w:rsidRPr="00665620">
              <w:rPr>
                <w:rFonts w:ascii="宋体" w:hAnsi="宋体" w:cs="宋体" w:hint="eastAsia"/>
                <w:kern w:val="0"/>
                <w:szCs w:val="21"/>
              </w:rPr>
              <w:t>净利润</w:t>
            </w:r>
          </w:p>
        </w:tc>
      </w:tr>
      <w:tr w:rsidR="00BE2DDA">
        <w:trPr>
          <w:gridAfter w:val="1"/>
          <w:wAfter w:w="195" w:type="dxa"/>
          <w:trHeight w:val="870"/>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BE2DDA" w:rsidRPr="00665620" w:rsidRDefault="00BE2DDA">
            <w:pPr>
              <w:widowControl/>
              <w:jc w:val="left"/>
              <w:rPr>
                <w:rFonts w:ascii="宋体" w:hAnsi="宋体" w:cs="宋体"/>
                <w:kern w:val="0"/>
                <w:szCs w:val="21"/>
              </w:rPr>
            </w:pPr>
            <w:r w:rsidRPr="00665620">
              <w:rPr>
                <w:rFonts w:ascii="宋体" w:hAnsi="宋体" w:cs="宋体" w:hint="eastAsia"/>
                <w:kern w:val="0"/>
                <w:szCs w:val="21"/>
              </w:rPr>
              <w:t>江阴华西化工码头有限公司</w:t>
            </w:r>
          </w:p>
        </w:tc>
        <w:tc>
          <w:tcPr>
            <w:tcW w:w="11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2DDA" w:rsidRPr="00665620" w:rsidRDefault="00BE2DDA" w:rsidP="00224F11">
            <w:pPr>
              <w:widowControl/>
              <w:jc w:val="center"/>
              <w:rPr>
                <w:rFonts w:asciiTheme="minorEastAsia" w:eastAsiaTheme="minorEastAsia" w:hAnsiTheme="minorEastAsia"/>
                <w:kern w:val="0"/>
                <w:szCs w:val="21"/>
              </w:rPr>
            </w:pPr>
            <w:r w:rsidRPr="00665620">
              <w:rPr>
                <w:rFonts w:asciiTheme="minorEastAsia" w:eastAsiaTheme="minorEastAsia" w:hAnsiTheme="minorEastAsia"/>
                <w:kern w:val="0"/>
                <w:szCs w:val="21"/>
              </w:rPr>
              <w:t>100%</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2DDA" w:rsidRPr="00665620" w:rsidRDefault="00BE2DDA" w:rsidP="00C11CB7">
            <w:pPr>
              <w:widowControl/>
              <w:jc w:val="right"/>
              <w:rPr>
                <w:rFonts w:asciiTheme="minorEastAsia" w:eastAsiaTheme="minorEastAsia" w:hAnsiTheme="minorEastAsia"/>
                <w:kern w:val="0"/>
                <w:szCs w:val="21"/>
              </w:rPr>
            </w:pPr>
            <w:r w:rsidRPr="00665620">
              <w:rPr>
                <w:rFonts w:asciiTheme="minorEastAsia" w:eastAsiaTheme="minorEastAsia" w:hAnsiTheme="minorEastAsia" w:hint="eastAsia"/>
                <w:kern w:val="0"/>
                <w:szCs w:val="21"/>
              </w:rPr>
              <w:t>6</w:t>
            </w:r>
            <w:r w:rsidR="00C11CB7" w:rsidRPr="00665620">
              <w:rPr>
                <w:rFonts w:asciiTheme="minorEastAsia" w:eastAsiaTheme="minorEastAsia" w:hAnsiTheme="minorEastAsia" w:hint="eastAsia"/>
                <w:kern w:val="0"/>
                <w:szCs w:val="21"/>
              </w:rPr>
              <w:t>1</w:t>
            </w:r>
            <w:r w:rsidRPr="00665620">
              <w:rPr>
                <w:rFonts w:asciiTheme="minorEastAsia" w:eastAsiaTheme="minorEastAsia" w:hAnsiTheme="minorEastAsia" w:hint="eastAsia"/>
                <w:kern w:val="0"/>
                <w:szCs w:val="21"/>
              </w:rPr>
              <w:t>,</w:t>
            </w:r>
            <w:r w:rsidR="00C11CB7" w:rsidRPr="00665620">
              <w:rPr>
                <w:rFonts w:asciiTheme="minorEastAsia" w:eastAsiaTheme="minorEastAsia" w:hAnsiTheme="minorEastAsia" w:hint="eastAsia"/>
                <w:kern w:val="0"/>
                <w:szCs w:val="21"/>
              </w:rPr>
              <w:t>894</w:t>
            </w:r>
            <w:r w:rsidRPr="00665620">
              <w:rPr>
                <w:rFonts w:asciiTheme="minorEastAsia" w:eastAsiaTheme="minorEastAsia" w:hAnsiTheme="minorEastAsia" w:hint="eastAsia"/>
                <w:kern w:val="0"/>
                <w:szCs w:val="21"/>
              </w:rPr>
              <w:t>.</w:t>
            </w:r>
            <w:r w:rsidR="00C11CB7" w:rsidRPr="00665620">
              <w:rPr>
                <w:rFonts w:asciiTheme="minorEastAsia" w:eastAsiaTheme="minorEastAsia" w:hAnsiTheme="minorEastAsia" w:hint="eastAsia"/>
                <w:kern w:val="0"/>
                <w:szCs w:val="21"/>
              </w:rPr>
              <w:t>48</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2DDA" w:rsidRPr="00665620" w:rsidRDefault="00C11CB7" w:rsidP="00C11CB7">
            <w:pPr>
              <w:widowControl/>
              <w:jc w:val="right"/>
              <w:rPr>
                <w:rFonts w:asciiTheme="minorEastAsia" w:eastAsiaTheme="minorEastAsia" w:hAnsiTheme="minorEastAsia"/>
                <w:kern w:val="0"/>
                <w:szCs w:val="21"/>
              </w:rPr>
            </w:pPr>
            <w:r w:rsidRPr="00665620">
              <w:rPr>
                <w:rFonts w:asciiTheme="minorEastAsia" w:eastAsiaTheme="minorEastAsia" w:hAnsiTheme="minorEastAsia" w:hint="eastAsia"/>
                <w:kern w:val="0"/>
                <w:szCs w:val="21"/>
              </w:rPr>
              <w:t>3</w:t>
            </w:r>
            <w:r w:rsidR="00BE2DDA" w:rsidRPr="00665620">
              <w:rPr>
                <w:rFonts w:asciiTheme="minorEastAsia" w:eastAsiaTheme="minorEastAsia" w:hAnsiTheme="minorEastAsia" w:hint="eastAsia"/>
                <w:kern w:val="0"/>
                <w:szCs w:val="21"/>
              </w:rPr>
              <w:t>,</w:t>
            </w:r>
            <w:r w:rsidRPr="00665620">
              <w:rPr>
                <w:rFonts w:asciiTheme="minorEastAsia" w:eastAsiaTheme="minorEastAsia" w:hAnsiTheme="minorEastAsia" w:hint="eastAsia"/>
                <w:kern w:val="0"/>
                <w:szCs w:val="21"/>
              </w:rPr>
              <w:t>685</w:t>
            </w:r>
            <w:r w:rsidR="00BE2DDA" w:rsidRPr="00665620">
              <w:rPr>
                <w:rFonts w:asciiTheme="minorEastAsia" w:eastAsiaTheme="minorEastAsia" w:hAnsiTheme="minorEastAsia" w:hint="eastAsia"/>
                <w:kern w:val="0"/>
                <w:szCs w:val="21"/>
              </w:rPr>
              <w:t>.</w:t>
            </w:r>
            <w:r w:rsidRPr="00665620">
              <w:rPr>
                <w:rFonts w:asciiTheme="minorEastAsia" w:eastAsiaTheme="minorEastAsia" w:hAnsiTheme="minorEastAsia" w:hint="eastAsia"/>
                <w:kern w:val="0"/>
                <w:szCs w:val="21"/>
              </w:rPr>
              <w:t>48</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2DDA" w:rsidRPr="00665620" w:rsidRDefault="00BE2DDA" w:rsidP="00C11CB7">
            <w:pPr>
              <w:widowControl/>
              <w:jc w:val="right"/>
              <w:rPr>
                <w:rFonts w:asciiTheme="minorEastAsia" w:eastAsiaTheme="minorEastAsia" w:hAnsiTheme="minorEastAsia"/>
                <w:kern w:val="0"/>
                <w:szCs w:val="21"/>
              </w:rPr>
            </w:pPr>
            <w:r w:rsidRPr="00665620">
              <w:rPr>
                <w:rFonts w:asciiTheme="minorEastAsia" w:eastAsiaTheme="minorEastAsia" w:hAnsiTheme="minorEastAsia" w:hint="eastAsia"/>
                <w:kern w:val="0"/>
                <w:szCs w:val="21"/>
              </w:rPr>
              <w:t>5</w:t>
            </w:r>
            <w:r w:rsidR="00C11CB7" w:rsidRPr="00665620">
              <w:rPr>
                <w:rFonts w:asciiTheme="minorEastAsia" w:eastAsiaTheme="minorEastAsia" w:hAnsiTheme="minorEastAsia" w:hint="eastAsia"/>
                <w:kern w:val="0"/>
                <w:szCs w:val="21"/>
              </w:rPr>
              <w:t>8</w:t>
            </w:r>
            <w:r w:rsidRPr="00665620">
              <w:rPr>
                <w:rFonts w:asciiTheme="minorEastAsia" w:eastAsiaTheme="minorEastAsia" w:hAnsiTheme="minorEastAsia" w:hint="eastAsia"/>
                <w:kern w:val="0"/>
                <w:szCs w:val="21"/>
              </w:rPr>
              <w:t>,</w:t>
            </w:r>
            <w:r w:rsidR="00C11CB7" w:rsidRPr="00665620">
              <w:rPr>
                <w:rFonts w:asciiTheme="minorEastAsia" w:eastAsiaTheme="minorEastAsia" w:hAnsiTheme="minorEastAsia" w:hint="eastAsia"/>
                <w:kern w:val="0"/>
                <w:szCs w:val="21"/>
              </w:rPr>
              <w:t>209</w:t>
            </w:r>
            <w:r w:rsidRPr="00665620">
              <w:rPr>
                <w:rFonts w:asciiTheme="minorEastAsia" w:eastAsiaTheme="minorEastAsia" w:hAnsiTheme="minorEastAsia" w:hint="eastAsia"/>
                <w:kern w:val="0"/>
                <w:szCs w:val="21"/>
              </w:rPr>
              <w:t>.</w:t>
            </w:r>
            <w:r w:rsidR="00C11CB7" w:rsidRPr="00665620">
              <w:rPr>
                <w:rFonts w:asciiTheme="minorEastAsia" w:eastAsiaTheme="minorEastAsia" w:hAnsiTheme="minorEastAsia" w:hint="eastAsia"/>
                <w:kern w:val="0"/>
                <w:szCs w:val="21"/>
              </w:rPr>
              <w:t>00</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2DDA" w:rsidRPr="00665620" w:rsidRDefault="00C11CB7" w:rsidP="00C11CB7">
            <w:pPr>
              <w:widowControl/>
              <w:jc w:val="right"/>
              <w:rPr>
                <w:rFonts w:asciiTheme="minorEastAsia" w:eastAsiaTheme="minorEastAsia" w:hAnsiTheme="minorEastAsia"/>
                <w:kern w:val="0"/>
                <w:szCs w:val="21"/>
              </w:rPr>
            </w:pPr>
            <w:r w:rsidRPr="00665620">
              <w:rPr>
                <w:rFonts w:asciiTheme="minorEastAsia" w:eastAsiaTheme="minorEastAsia" w:hAnsiTheme="minorEastAsia" w:hint="eastAsia"/>
                <w:kern w:val="0"/>
                <w:szCs w:val="21"/>
              </w:rPr>
              <w:t>29</w:t>
            </w:r>
            <w:r w:rsidR="00BE2DDA" w:rsidRPr="00665620">
              <w:rPr>
                <w:rFonts w:asciiTheme="minorEastAsia" w:eastAsiaTheme="minorEastAsia" w:hAnsiTheme="minorEastAsia" w:hint="eastAsia"/>
                <w:kern w:val="0"/>
                <w:szCs w:val="21"/>
              </w:rPr>
              <w:t>,</w:t>
            </w:r>
            <w:r w:rsidRPr="00665620">
              <w:rPr>
                <w:rFonts w:asciiTheme="minorEastAsia" w:eastAsiaTheme="minorEastAsia" w:hAnsiTheme="minorEastAsia" w:hint="eastAsia"/>
                <w:kern w:val="0"/>
                <w:szCs w:val="21"/>
              </w:rPr>
              <w:t>777</w:t>
            </w:r>
            <w:r w:rsidR="00BE2DDA" w:rsidRPr="00665620">
              <w:rPr>
                <w:rFonts w:asciiTheme="minorEastAsia" w:eastAsiaTheme="minorEastAsia" w:hAnsiTheme="minorEastAsia" w:hint="eastAsia"/>
                <w:kern w:val="0"/>
                <w:szCs w:val="21"/>
              </w:rPr>
              <w:t>.</w:t>
            </w:r>
            <w:r w:rsidRPr="00665620">
              <w:rPr>
                <w:rFonts w:asciiTheme="minorEastAsia" w:eastAsiaTheme="minorEastAsia" w:hAnsiTheme="minorEastAsia" w:hint="eastAsia"/>
                <w:kern w:val="0"/>
                <w:szCs w:val="21"/>
              </w:rPr>
              <w:t>64</w:t>
            </w:r>
          </w:p>
        </w:tc>
        <w:tc>
          <w:tcPr>
            <w:tcW w:w="12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2DDA" w:rsidRPr="00665620" w:rsidRDefault="00C11CB7" w:rsidP="00C11CB7">
            <w:pPr>
              <w:widowControl/>
              <w:jc w:val="right"/>
              <w:rPr>
                <w:rFonts w:asciiTheme="minorEastAsia" w:eastAsiaTheme="minorEastAsia" w:hAnsiTheme="minorEastAsia"/>
                <w:kern w:val="0"/>
                <w:szCs w:val="21"/>
              </w:rPr>
            </w:pPr>
            <w:r w:rsidRPr="00665620">
              <w:rPr>
                <w:rFonts w:asciiTheme="minorEastAsia" w:eastAsiaTheme="minorEastAsia" w:hAnsiTheme="minorEastAsia" w:hint="eastAsia"/>
                <w:kern w:val="0"/>
                <w:szCs w:val="21"/>
              </w:rPr>
              <w:t>8</w:t>
            </w:r>
            <w:r w:rsidR="00BE2DDA" w:rsidRPr="00665620">
              <w:rPr>
                <w:rFonts w:asciiTheme="minorEastAsia" w:eastAsiaTheme="minorEastAsia" w:hAnsiTheme="minorEastAsia" w:hint="eastAsia"/>
                <w:kern w:val="0"/>
                <w:szCs w:val="21"/>
              </w:rPr>
              <w:t>,</w:t>
            </w:r>
            <w:r w:rsidRPr="00665620">
              <w:rPr>
                <w:rFonts w:asciiTheme="minorEastAsia" w:eastAsiaTheme="minorEastAsia" w:hAnsiTheme="minorEastAsia" w:hint="eastAsia"/>
                <w:kern w:val="0"/>
                <w:szCs w:val="21"/>
              </w:rPr>
              <w:t>665</w:t>
            </w:r>
            <w:r w:rsidR="00BE2DDA" w:rsidRPr="00665620">
              <w:rPr>
                <w:rFonts w:asciiTheme="minorEastAsia" w:eastAsiaTheme="minorEastAsia" w:hAnsiTheme="minorEastAsia" w:hint="eastAsia"/>
                <w:kern w:val="0"/>
                <w:szCs w:val="21"/>
              </w:rPr>
              <w:t>.</w:t>
            </w:r>
            <w:r w:rsidRPr="00665620">
              <w:rPr>
                <w:rFonts w:asciiTheme="minorEastAsia" w:eastAsiaTheme="minorEastAsia" w:hAnsiTheme="minorEastAsia" w:hint="eastAsia"/>
                <w:kern w:val="0"/>
                <w:szCs w:val="21"/>
              </w:rPr>
              <w:t>39</w:t>
            </w:r>
          </w:p>
        </w:tc>
      </w:tr>
      <w:tr w:rsidR="00BE2DDA">
        <w:trPr>
          <w:gridAfter w:val="1"/>
          <w:wAfter w:w="195" w:type="dxa"/>
          <w:trHeight w:val="825"/>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BE2DDA" w:rsidRPr="00665620" w:rsidRDefault="00BE2DDA">
            <w:pPr>
              <w:widowControl/>
              <w:jc w:val="left"/>
              <w:rPr>
                <w:rFonts w:ascii="宋体" w:hAnsi="宋体" w:cs="宋体"/>
                <w:kern w:val="0"/>
                <w:szCs w:val="21"/>
              </w:rPr>
            </w:pPr>
            <w:r w:rsidRPr="00665620">
              <w:rPr>
                <w:rFonts w:ascii="宋体" w:hAnsi="宋体" w:cs="宋体" w:hint="eastAsia"/>
                <w:kern w:val="0"/>
                <w:szCs w:val="21"/>
              </w:rPr>
              <w:lastRenderedPageBreak/>
              <w:t>江阴华西</w:t>
            </w:r>
            <w:proofErr w:type="gramStart"/>
            <w:r w:rsidRPr="00665620">
              <w:rPr>
                <w:rFonts w:ascii="宋体" w:hAnsi="宋体" w:cs="宋体" w:hint="eastAsia"/>
                <w:kern w:val="0"/>
                <w:szCs w:val="21"/>
              </w:rPr>
              <w:t>村资本</w:t>
            </w:r>
            <w:proofErr w:type="gramEnd"/>
            <w:r w:rsidRPr="00665620">
              <w:rPr>
                <w:rFonts w:ascii="宋体" w:hAnsi="宋体" w:cs="宋体" w:hint="eastAsia"/>
                <w:kern w:val="0"/>
                <w:szCs w:val="21"/>
              </w:rPr>
              <w:t>有限公司</w:t>
            </w:r>
          </w:p>
        </w:tc>
        <w:tc>
          <w:tcPr>
            <w:tcW w:w="11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2DDA" w:rsidRPr="00665620" w:rsidRDefault="00BE2DDA">
            <w:pPr>
              <w:widowControl/>
              <w:jc w:val="center"/>
              <w:rPr>
                <w:rFonts w:asciiTheme="minorEastAsia" w:eastAsiaTheme="minorEastAsia" w:hAnsiTheme="minorEastAsia"/>
                <w:kern w:val="0"/>
                <w:szCs w:val="21"/>
              </w:rPr>
            </w:pPr>
            <w:r w:rsidRPr="00665620">
              <w:rPr>
                <w:rFonts w:asciiTheme="minorEastAsia" w:eastAsiaTheme="minorEastAsia" w:hAnsiTheme="minorEastAsia"/>
                <w:kern w:val="0"/>
                <w:szCs w:val="21"/>
              </w:rPr>
              <w:t>100%</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2DDA" w:rsidRPr="00665620" w:rsidRDefault="00BE2DDA" w:rsidP="0035396B">
            <w:pPr>
              <w:widowControl/>
              <w:jc w:val="right"/>
              <w:rPr>
                <w:rFonts w:asciiTheme="minorEastAsia" w:eastAsiaTheme="minorEastAsia" w:hAnsiTheme="minorEastAsia"/>
                <w:kern w:val="0"/>
                <w:szCs w:val="21"/>
              </w:rPr>
            </w:pPr>
            <w:r w:rsidRPr="00665620">
              <w:rPr>
                <w:rFonts w:asciiTheme="minorEastAsia" w:eastAsiaTheme="minorEastAsia" w:hAnsiTheme="minorEastAsia" w:hint="eastAsia"/>
                <w:kern w:val="0"/>
                <w:szCs w:val="21"/>
              </w:rPr>
              <w:t>74,</w:t>
            </w:r>
            <w:r w:rsidR="0035396B" w:rsidRPr="00665620">
              <w:rPr>
                <w:rFonts w:asciiTheme="minorEastAsia" w:eastAsiaTheme="minorEastAsia" w:hAnsiTheme="minorEastAsia" w:hint="eastAsia"/>
                <w:kern w:val="0"/>
                <w:szCs w:val="21"/>
              </w:rPr>
              <w:t>872</w:t>
            </w:r>
            <w:r w:rsidRPr="00665620">
              <w:rPr>
                <w:rFonts w:asciiTheme="minorEastAsia" w:eastAsiaTheme="minorEastAsia" w:hAnsiTheme="minorEastAsia" w:hint="eastAsia"/>
                <w:kern w:val="0"/>
                <w:szCs w:val="21"/>
              </w:rPr>
              <w:t>.</w:t>
            </w:r>
            <w:r w:rsidR="0035396B" w:rsidRPr="00665620">
              <w:rPr>
                <w:rFonts w:asciiTheme="minorEastAsia" w:eastAsiaTheme="minorEastAsia" w:hAnsiTheme="minorEastAsia" w:hint="eastAsia"/>
                <w:kern w:val="0"/>
                <w:szCs w:val="21"/>
              </w:rPr>
              <w:t>64</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2DDA" w:rsidRPr="00665620" w:rsidRDefault="00C11CB7" w:rsidP="00C11CB7">
            <w:pPr>
              <w:widowControl/>
              <w:jc w:val="right"/>
              <w:rPr>
                <w:rFonts w:asciiTheme="minorEastAsia" w:eastAsiaTheme="minorEastAsia" w:hAnsiTheme="minorEastAsia"/>
                <w:kern w:val="0"/>
                <w:szCs w:val="21"/>
              </w:rPr>
            </w:pPr>
            <w:r w:rsidRPr="00665620">
              <w:rPr>
                <w:rFonts w:asciiTheme="minorEastAsia" w:eastAsiaTheme="minorEastAsia" w:hAnsiTheme="minorEastAsia" w:hint="eastAsia"/>
                <w:kern w:val="0"/>
                <w:szCs w:val="21"/>
              </w:rPr>
              <w:t>85</w:t>
            </w:r>
            <w:r w:rsidR="00BE2DDA" w:rsidRPr="00665620">
              <w:rPr>
                <w:rFonts w:asciiTheme="minorEastAsia" w:eastAsiaTheme="minorEastAsia" w:hAnsiTheme="minorEastAsia" w:hint="eastAsia"/>
                <w:kern w:val="0"/>
                <w:szCs w:val="21"/>
              </w:rPr>
              <w:t>.</w:t>
            </w:r>
            <w:r w:rsidRPr="00665620">
              <w:rPr>
                <w:rFonts w:asciiTheme="minorEastAsia" w:eastAsiaTheme="minorEastAsia" w:hAnsiTheme="minorEastAsia" w:hint="eastAsia"/>
                <w:kern w:val="0"/>
                <w:szCs w:val="21"/>
              </w:rPr>
              <w:t>43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2DDA" w:rsidRPr="00665620" w:rsidRDefault="00BE2DDA" w:rsidP="0035396B">
            <w:pPr>
              <w:widowControl/>
              <w:jc w:val="right"/>
              <w:rPr>
                <w:rFonts w:asciiTheme="minorEastAsia" w:eastAsiaTheme="minorEastAsia" w:hAnsiTheme="minorEastAsia"/>
                <w:kern w:val="0"/>
                <w:szCs w:val="21"/>
              </w:rPr>
            </w:pPr>
            <w:r w:rsidRPr="00665620">
              <w:rPr>
                <w:rFonts w:asciiTheme="minorEastAsia" w:eastAsiaTheme="minorEastAsia" w:hAnsiTheme="minorEastAsia" w:hint="eastAsia"/>
                <w:kern w:val="0"/>
                <w:szCs w:val="21"/>
              </w:rPr>
              <w:t>74,</w:t>
            </w:r>
            <w:r w:rsidR="0035396B" w:rsidRPr="00665620">
              <w:rPr>
                <w:rFonts w:asciiTheme="minorEastAsia" w:eastAsiaTheme="minorEastAsia" w:hAnsiTheme="minorEastAsia" w:hint="eastAsia"/>
                <w:kern w:val="0"/>
                <w:szCs w:val="21"/>
              </w:rPr>
              <w:t>787</w:t>
            </w:r>
            <w:r w:rsidRPr="00665620">
              <w:rPr>
                <w:rFonts w:asciiTheme="minorEastAsia" w:eastAsiaTheme="minorEastAsia" w:hAnsiTheme="minorEastAsia" w:hint="eastAsia"/>
                <w:kern w:val="0"/>
                <w:szCs w:val="21"/>
              </w:rPr>
              <w:t>.</w:t>
            </w:r>
            <w:r w:rsidR="0035396B" w:rsidRPr="00665620">
              <w:rPr>
                <w:rFonts w:asciiTheme="minorEastAsia" w:eastAsiaTheme="minorEastAsia" w:hAnsiTheme="minorEastAsia" w:hint="eastAsia"/>
                <w:kern w:val="0"/>
                <w:szCs w:val="21"/>
              </w:rPr>
              <w:t>21</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2DDA" w:rsidRPr="00665620" w:rsidRDefault="00C11CB7" w:rsidP="00C11CB7">
            <w:pPr>
              <w:widowControl/>
              <w:jc w:val="right"/>
              <w:rPr>
                <w:rFonts w:asciiTheme="minorEastAsia" w:eastAsiaTheme="minorEastAsia" w:hAnsiTheme="minorEastAsia"/>
                <w:kern w:val="0"/>
                <w:szCs w:val="21"/>
              </w:rPr>
            </w:pPr>
            <w:r w:rsidRPr="00665620">
              <w:rPr>
                <w:rFonts w:asciiTheme="minorEastAsia" w:eastAsiaTheme="minorEastAsia" w:hAnsiTheme="minorEastAsia" w:hint="eastAsia"/>
                <w:kern w:val="0"/>
                <w:szCs w:val="21"/>
              </w:rPr>
              <w:t>70</w:t>
            </w:r>
            <w:r w:rsidR="00BE2DDA" w:rsidRPr="00665620">
              <w:rPr>
                <w:rFonts w:asciiTheme="minorEastAsia" w:eastAsiaTheme="minorEastAsia" w:hAnsiTheme="minorEastAsia" w:hint="eastAsia"/>
                <w:kern w:val="0"/>
                <w:szCs w:val="21"/>
              </w:rPr>
              <w:t>,</w:t>
            </w:r>
            <w:r w:rsidRPr="00665620">
              <w:rPr>
                <w:rFonts w:asciiTheme="minorEastAsia" w:eastAsiaTheme="minorEastAsia" w:hAnsiTheme="minorEastAsia" w:hint="eastAsia"/>
                <w:kern w:val="0"/>
                <w:szCs w:val="21"/>
              </w:rPr>
              <w:t>985</w:t>
            </w:r>
            <w:r w:rsidR="00BE2DDA" w:rsidRPr="00665620">
              <w:rPr>
                <w:rFonts w:asciiTheme="minorEastAsia" w:eastAsiaTheme="minorEastAsia" w:hAnsiTheme="minorEastAsia" w:hint="eastAsia"/>
                <w:kern w:val="0"/>
                <w:szCs w:val="21"/>
              </w:rPr>
              <w:t>.</w:t>
            </w:r>
            <w:r w:rsidRPr="00665620">
              <w:rPr>
                <w:rFonts w:asciiTheme="minorEastAsia" w:eastAsiaTheme="minorEastAsia" w:hAnsiTheme="minorEastAsia" w:hint="eastAsia"/>
                <w:kern w:val="0"/>
                <w:szCs w:val="21"/>
              </w:rPr>
              <w:t>82</w:t>
            </w:r>
          </w:p>
        </w:tc>
        <w:tc>
          <w:tcPr>
            <w:tcW w:w="12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2DDA" w:rsidRPr="00665620" w:rsidRDefault="0035396B" w:rsidP="0035396B">
            <w:pPr>
              <w:widowControl/>
              <w:jc w:val="right"/>
              <w:rPr>
                <w:rFonts w:asciiTheme="minorEastAsia" w:eastAsiaTheme="minorEastAsia" w:hAnsiTheme="minorEastAsia"/>
                <w:kern w:val="0"/>
                <w:szCs w:val="21"/>
              </w:rPr>
            </w:pPr>
            <w:r w:rsidRPr="00665620">
              <w:rPr>
                <w:rFonts w:asciiTheme="minorEastAsia" w:eastAsiaTheme="minorEastAsia" w:hAnsiTheme="minorEastAsia" w:hint="eastAsia"/>
                <w:kern w:val="0"/>
                <w:szCs w:val="21"/>
              </w:rPr>
              <w:t>240</w:t>
            </w:r>
            <w:r w:rsidR="00BE2DDA" w:rsidRPr="00665620">
              <w:rPr>
                <w:rFonts w:asciiTheme="minorEastAsia" w:eastAsiaTheme="minorEastAsia" w:hAnsiTheme="minorEastAsia" w:hint="eastAsia"/>
                <w:kern w:val="0"/>
                <w:szCs w:val="21"/>
              </w:rPr>
              <w:t>.</w:t>
            </w:r>
            <w:r w:rsidRPr="00665620">
              <w:rPr>
                <w:rFonts w:asciiTheme="minorEastAsia" w:eastAsiaTheme="minorEastAsia" w:hAnsiTheme="minorEastAsia" w:hint="eastAsia"/>
                <w:kern w:val="0"/>
                <w:szCs w:val="21"/>
              </w:rPr>
              <w:t>87</w:t>
            </w:r>
          </w:p>
        </w:tc>
      </w:tr>
    </w:tbl>
    <w:p w:rsidR="00B041EC" w:rsidRDefault="002D04A5">
      <w:pPr>
        <w:snapToGrid w:val="0"/>
        <w:spacing w:line="360" w:lineRule="auto"/>
        <w:rPr>
          <w:rFonts w:ascii="宋体" w:hAnsi="宋体"/>
          <w:szCs w:val="21"/>
        </w:rPr>
      </w:pPr>
      <w:r>
        <w:rPr>
          <w:rFonts w:ascii="宋体" w:hAnsi="宋体" w:hint="eastAsia"/>
          <w:szCs w:val="21"/>
        </w:rPr>
        <w:t>（注：系各单位合并报表数据）</w:t>
      </w:r>
    </w:p>
    <w:p w:rsidR="00B041EC" w:rsidRDefault="002D04A5" w:rsidP="00D52FF4">
      <w:pPr>
        <w:autoSpaceDE w:val="0"/>
        <w:autoSpaceDN w:val="0"/>
        <w:adjustRightInd w:val="0"/>
        <w:spacing w:afterLines="50" w:after="156" w:line="360" w:lineRule="auto"/>
        <w:rPr>
          <w:rFonts w:ascii="Times New Roman" w:hAnsi="宋体"/>
          <w:b/>
          <w:kern w:val="0"/>
          <w:sz w:val="24"/>
          <w:szCs w:val="24"/>
          <w:lang w:val="zh-CN"/>
        </w:rPr>
      </w:pPr>
      <w:r>
        <w:rPr>
          <w:rFonts w:ascii="Times New Roman" w:hAnsi="宋体" w:hint="eastAsia"/>
          <w:b/>
          <w:kern w:val="0"/>
          <w:sz w:val="24"/>
          <w:szCs w:val="24"/>
          <w:lang w:val="zh-CN"/>
        </w:rPr>
        <w:t>五、其他主要财务指标</w:t>
      </w:r>
    </w:p>
    <w:tbl>
      <w:tblPr>
        <w:tblW w:w="8237" w:type="dxa"/>
        <w:tblInd w:w="93" w:type="dxa"/>
        <w:tblLook w:val="04A0" w:firstRow="1" w:lastRow="0" w:firstColumn="1" w:lastColumn="0" w:noHBand="0" w:noVBand="1"/>
      </w:tblPr>
      <w:tblGrid>
        <w:gridCol w:w="2895"/>
        <w:gridCol w:w="1980"/>
        <w:gridCol w:w="1800"/>
        <w:gridCol w:w="1562"/>
      </w:tblGrid>
      <w:tr w:rsidR="00B041EC">
        <w:trPr>
          <w:trHeight w:val="637"/>
        </w:trPr>
        <w:tc>
          <w:tcPr>
            <w:tcW w:w="28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41EC" w:rsidRPr="00665620" w:rsidRDefault="002D04A5" w:rsidP="00665620">
            <w:pPr>
              <w:widowControl/>
              <w:adjustRightInd w:val="0"/>
              <w:snapToGrid w:val="0"/>
              <w:jc w:val="center"/>
              <w:rPr>
                <w:rFonts w:asciiTheme="minorEastAsia" w:eastAsiaTheme="minorEastAsia" w:hAnsiTheme="minorEastAsia" w:cs="宋体"/>
                <w:kern w:val="0"/>
                <w:szCs w:val="21"/>
              </w:rPr>
            </w:pPr>
            <w:r w:rsidRPr="00665620">
              <w:rPr>
                <w:rFonts w:asciiTheme="minorEastAsia" w:eastAsiaTheme="minorEastAsia" w:hAnsiTheme="minorEastAsia" w:cs="宋体" w:hint="eastAsia"/>
                <w:kern w:val="0"/>
                <w:szCs w:val="21"/>
              </w:rPr>
              <w:t>财务指标</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B041EC" w:rsidRPr="00665620" w:rsidRDefault="00321BA0" w:rsidP="00665620">
            <w:pPr>
              <w:widowControl/>
              <w:adjustRightInd w:val="0"/>
              <w:snapToGrid w:val="0"/>
              <w:jc w:val="center"/>
              <w:rPr>
                <w:rFonts w:asciiTheme="minorEastAsia" w:eastAsiaTheme="minorEastAsia" w:hAnsiTheme="minorEastAsia" w:cs="宋体"/>
                <w:kern w:val="0"/>
                <w:szCs w:val="21"/>
              </w:rPr>
            </w:pPr>
            <w:r w:rsidRPr="00665620">
              <w:rPr>
                <w:rFonts w:asciiTheme="minorEastAsia" w:eastAsiaTheme="minorEastAsia" w:hAnsiTheme="minorEastAsia" w:cs="宋体"/>
                <w:kern w:val="0"/>
                <w:szCs w:val="21"/>
              </w:rPr>
              <w:t>2023年</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B041EC" w:rsidRPr="00665620" w:rsidRDefault="002D04A5" w:rsidP="00665620">
            <w:pPr>
              <w:widowControl/>
              <w:adjustRightInd w:val="0"/>
              <w:snapToGrid w:val="0"/>
              <w:jc w:val="center"/>
              <w:rPr>
                <w:rFonts w:asciiTheme="minorEastAsia" w:eastAsiaTheme="minorEastAsia" w:hAnsiTheme="minorEastAsia" w:cs="宋体"/>
                <w:kern w:val="0"/>
                <w:szCs w:val="21"/>
              </w:rPr>
            </w:pPr>
            <w:r w:rsidRPr="00665620">
              <w:rPr>
                <w:rFonts w:asciiTheme="minorEastAsia" w:eastAsiaTheme="minorEastAsia" w:hAnsiTheme="minorEastAsia" w:cs="宋体"/>
                <w:kern w:val="0"/>
                <w:szCs w:val="21"/>
              </w:rPr>
              <w:t>20</w:t>
            </w:r>
            <w:r w:rsidRPr="00665620">
              <w:rPr>
                <w:rFonts w:asciiTheme="minorEastAsia" w:eastAsiaTheme="minorEastAsia" w:hAnsiTheme="minorEastAsia" w:cs="宋体" w:hint="eastAsia"/>
                <w:kern w:val="0"/>
                <w:szCs w:val="21"/>
              </w:rPr>
              <w:t>2</w:t>
            </w:r>
            <w:r w:rsidR="007208F6" w:rsidRPr="00665620">
              <w:rPr>
                <w:rFonts w:asciiTheme="minorEastAsia" w:eastAsiaTheme="minorEastAsia" w:hAnsiTheme="minorEastAsia" w:cs="宋体" w:hint="eastAsia"/>
                <w:kern w:val="0"/>
                <w:szCs w:val="21"/>
              </w:rPr>
              <w:t>2</w:t>
            </w:r>
            <w:r w:rsidRPr="00665620">
              <w:rPr>
                <w:rFonts w:asciiTheme="minorEastAsia" w:eastAsiaTheme="minorEastAsia" w:hAnsiTheme="minorEastAsia" w:cs="宋体" w:hint="eastAsia"/>
                <w:kern w:val="0"/>
                <w:szCs w:val="21"/>
              </w:rPr>
              <w:t>年</w:t>
            </w:r>
          </w:p>
        </w:tc>
        <w:tc>
          <w:tcPr>
            <w:tcW w:w="1562" w:type="dxa"/>
            <w:tcBorders>
              <w:top w:val="single" w:sz="4" w:space="0" w:color="auto"/>
              <w:left w:val="nil"/>
              <w:bottom w:val="single" w:sz="4" w:space="0" w:color="auto"/>
              <w:right w:val="single" w:sz="4" w:space="0" w:color="auto"/>
            </w:tcBorders>
            <w:shd w:val="clear" w:color="auto" w:fill="auto"/>
            <w:noWrap/>
            <w:vAlign w:val="center"/>
          </w:tcPr>
          <w:p w:rsidR="00B041EC" w:rsidRPr="00665620" w:rsidRDefault="002D04A5" w:rsidP="00665620">
            <w:pPr>
              <w:widowControl/>
              <w:adjustRightInd w:val="0"/>
              <w:snapToGrid w:val="0"/>
              <w:jc w:val="center"/>
              <w:rPr>
                <w:rFonts w:asciiTheme="minorEastAsia" w:eastAsiaTheme="minorEastAsia" w:hAnsiTheme="minorEastAsia" w:cs="宋体"/>
                <w:kern w:val="0"/>
                <w:szCs w:val="21"/>
              </w:rPr>
            </w:pPr>
            <w:r w:rsidRPr="00665620">
              <w:rPr>
                <w:rFonts w:asciiTheme="minorEastAsia" w:eastAsiaTheme="minorEastAsia" w:hAnsiTheme="minorEastAsia" w:cs="宋体" w:hint="eastAsia"/>
                <w:kern w:val="0"/>
                <w:szCs w:val="21"/>
              </w:rPr>
              <w:t>增减</w:t>
            </w:r>
            <w:r w:rsidRPr="00665620">
              <w:rPr>
                <w:rFonts w:asciiTheme="minorEastAsia" w:eastAsiaTheme="minorEastAsia" w:hAnsiTheme="minorEastAsia" w:cs="宋体"/>
                <w:kern w:val="0"/>
                <w:szCs w:val="21"/>
              </w:rPr>
              <w:t>+-</w:t>
            </w:r>
          </w:p>
        </w:tc>
      </w:tr>
      <w:tr w:rsidR="005669BD">
        <w:trPr>
          <w:trHeight w:val="703"/>
        </w:trPr>
        <w:tc>
          <w:tcPr>
            <w:tcW w:w="2895" w:type="dxa"/>
            <w:tcBorders>
              <w:top w:val="nil"/>
              <w:left w:val="single" w:sz="4" w:space="0" w:color="auto"/>
              <w:bottom w:val="single" w:sz="4" w:space="0" w:color="auto"/>
              <w:right w:val="single" w:sz="4" w:space="0" w:color="auto"/>
            </w:tcBorders>
            <w:shd w:val="clear" w:color="auto" w:fill="auto"/>
            <w:noWrap/>
            <w:vAlign w:val="center"/>
          </w:tcPr>
          <w:p w:rsidR="005669BD" w:rsidRPr="00665620" w:rsidRDefault="005669BD" w:rsidP="00665620">
            <w:pPr>
              <w:widowControl/>
              <w:adjustRightInd w:val="0"/>
              <w:snapToGrid w:val="0"/>
              <w:jc w:val="center"/>
              <w:rPr>
                <w:rFonts w:asciiTheme="minorEastAsia" w:eastAsiaTheme="minorEastAsia" w:hAnsiTheme="minorEastAsia" w:cs="宋体"/>
                <w:kern w:val="0"/>
                <w:szCs w:val="21"/>
              </w:rPr>
            </w:pPr>
            <w:r w:rsidRPr="00665620">
              <w:rPr>
                <w:rFonts w:asciiTheme="minorEastAsia" w:eastAsiaTheme="minorEastAsia" w:hAnsiTheme="minorEastAsia" w:cs="宋体" w:hint="eastAsia"/>
                <w:kern w:val="0"/>
                <w:szCs w:val="21"/>
              </w:rPr>
              <w:t>净利润率</w:t>
            </w:r>
          </w:p>
        </w:tc>
        <w:tc>
          <w:tcPr>
            <w:tcW w:w="1980" w:type="dxa"/>
            <w:tcBorders>
              <w:top w:val="nil"/>
              <w:left w:val="nil"/>
              <w:bottom w:val="single" w:sz="4" w:space="0" w:color="auto"/>
              <w:right w:val="single" w:sz="4" w:space="0" w:color="auto"/>
            </w:tcBorders>
            <w:shd w:val="clear" w:color="auto" w:fill="auto"/>
            <w:noWrap/>
            <w:vAlign w:val="center"/>
          </w:tcPr>
          <w:p w:rsidR="005669BD" w:rsidRPr="00665620" w:rsidRDefault="005669BD" w:rsidP="00665620">
            <w:pPr>
              <w:widowControl/>
              <w:adjustRightInd w:val="0"/>
              <w:snapToGrid w:val="0"/>
              <w:jc w:val="center"/>
              <w:rPr>
                <w:rFonts w:asciiTheme="minorEastAsia" w:eastAsiaTheme="minorEastAsia" w:hAnsiTheme="minorEastAsia" w:cs="宋体"/>
                <w:kern w:val="0"/>
                <w:szCs w:val="21"/>
              </w:rPr>
            </w:pPr>
            <w:r w:rsidRPr="00665620">
              <w:rPr>
                <w:rFonts w:asciiTheme="minorEastAsia" w:eastAsiaTheme="minorEastAsia" w:hAnsiTheme="minorEastAsia" w:cs="宋体" w:hint="eastAsia"/>
                <w:kern w:val="0"/>
                <w:szCs w:val="21"/>
              </w:rPr>
              <w:t>2.53%</w:t>
            </w:r>
          </w:p>
        </w:tc>
        <w:tc>
          <w:tcPr>
            <w:tcW w:w="1800" w:type="dxa"/>
            <w:tcBorders>
              <w:top w:val="nil"/>
              <w:left w:val="nil"/>
              <w:bottom w:val="single" w:sz="4" w:space="0" w:color="auto"/>
              <w:right w:val="single" w:sz="4" w:space="0" w:color="auto"/>
            </w:tcBorders>
            <w:shd w:val="clear" w:color="auto" w:fill="auto"/>
            <w:noWrap/>
            <w:vAlign w:val="center"/>
          </w:tcPr>
          <w:p w:rsidR="005669BD" w:rsidRPr="00665620" w:rsidRDefault="005669BD" w:rsidP="00665620">
            <w:pPr>
              <w:widowControl/>
              <w:adjustRightInd w:val="0"/>
              <w:snapToGrid w:val="0"/>
              <w:jc w:val="center"/>
              <w:rPr>
                <w:rFonts w:asciiTheme="minorEastAsia" w:eastAsiaTheme="minorEastAsia" w:hAnsiTheme="minorEastAsia" w:cs="宋体"/>
                <w:kern w:val="0"/>
                <w:szCs w:val="21"/>
              </w:rPr>
            </w:pPr>
            <w:r w:rsidRPr="00665620">
              <w:rPr>
                <w:rFonts w:asciiTheme="minorEastAsia" w:eastAsiaTheme="minorEastAsia" w:hAnsiTheme="minorEastAsia" w:cs="宋体" w:hint="eastAsia"/>
                <w:kern w:val="0"/>
                <w:szCs w:val="21"/>
              </w:rPr>
              <w:t>7.24%</w:t>
            </w:r>
          </w:p>
        </w:tc>
        <w:tc>
          <w:tcPr>
            <w:tcW w:w="1562" w:type="dxa"/>
            <w:tcBorders>
              <w:top w:val="nil"/>
              <w:left w:val="nil"/>
              <w:bottom w:val="single" w:sz="4" w:space="0" w:color="auto"/>
              <w:right w:val="single" w:sz="4" w:space="0" w:color="auto"/>
            </w:tcBorders>
            <w:shd w:val="clear" w:color="auto" w:fill="auto"/>
            <w:noWrap/>
            <w:vAlign w:val="center"/>
          </w:tcPr>
          <w:p w:rsidR="005669BD" w:rsidRPr="00665620" w:rsidRDefault="005669BD" w:rsidP="00665620">
            <w:pPr>
              <w:widowControl/>
              <w:adjustRightInd w:val="0"/>
              <w:snapToGrid w:val="0"/>
              <w:jc w:val="center"/>
              <w:rPr>
                <w:rFonts w:asciiTheme="minorEastAsia" w:eastAsiaTheme="minorEastAsia" w:hAnsiTheme="minorEastAsia" w:cs="宋体"/>
                <w:kern w:val="0"/>
                <w:szCs w:val="21"/>
              </w:rPr>
            </w:pPr>
            <w:r w:rsidRPr="00665620">
              <w:rPr>
                <w:rFonts w:asciiTheme="minorEastAsia" w:eastAsiaTheme="minorEastAsia" w:hAnsiTheme="minorEastAsia" w:cs="宋体" w:hint="eastAsia"/>
                <w:kern w:val="0"/>
                <w:szCs w:val="21"/>
              </w:rPr>
              <w:t>-4.71%</w:t>
            </w:r>
          </w:p>
        </w:tc>
      </w:tr>
      <w:tr w:rsidR="005669BD">
        <w:trPr>
          <w:trHeight w:val="738"/>
        </w:trPr>
        <w:tc>
          <w:tcPr>
            <w:tcW w:w="28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69BD" w:rsidRPr="00665620" w:rsidRDefault="005669BD" w:rsidP="00665620">
            <w:pPr>
              <w:widowControl/>
              <w:adjustRightInd w:val="0"/>
              <w:snapToGrid w:val="0"/>
              <w:jc w:val="center"/>
              <w:rPr>
                <w:rFonts w:asciiTheme="minorEastAsia" w:eastAsiaTheme="minorEastAsia" w:hAnsiTheme="minorEastAsia" w:cs="宋体"/>
                <w:kern w:val="0"/>
                <w:szCs w:val="21"/>
              </w:rPr>
            </w:pPr>
            <w:r w:rsidRPr="00665620">
              <w:rPr>
                <w:rFonts w:asciiTheme="minorEastAsia" w:eastAsiaTheme="minorEastAsia" w:hAnsiTheme="minorEastAsia" w:cs="宋体" w:hint="eastAsia"/>
                <w:kern w:val="0"/>
                <w:szCs w:val="21"/>
              </w:rPr>
              <w:t>加权平均净资产收益率</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69BD" w:rsidRPr="00665620" w:rsidRDefault="005669BD" w:rsidP="00665620">
            <w:pPr>
              <w:widowControl/>
              <w:adjustRightInd w:val="0"/>
              <w:snapToGrid w:val="0"/>
              <w:jc w:val="center"/>
              <w:rPr>
                <w:rFonts w:asciiTheme="minorEastAsia" w:eastAsiaTheme="minorEastAsia" w:hAnsiTheme="minorEastAsia" w:cs="宋体"/>
                <w:kern w:val="0"/>
                <w:szCs w:val="21"/>
              </w:rPr>
            </w:pPr>
            <w:r w:rsidRPr="00665620">
              <w:rPr>
                <w:rFonts w:asciiTheme="minorEastAsia" w:eastAsiaTheme="minorEastAsia" w:hAnsiTheme="minorEastAsia" w:cs="宋体" w:hint="eastAsia"/>
                <w:kern w:val="0"/>
                <w:szCs w:val="21"/>
              </w:rPr>
              <w:t>1.42%</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69BD" w:rsidRPr="00665620" w:rsidRDefault="005669BD" w:rsidP="00665620">
            <w:pPr>
              <w:widowControl/>
              <w:adjustRightInd w:val="0"/>
              <w:snapToGrid w:val="0"/>
              <w:jc w:val="center"/>
              <w:rPr>
                <w:rFonts w:asciiTheme="minorEastAsia" w:eastAsiaTheme="minorEastAsia" w:hAnsiTheme="minorEastAsia" w:cs="宋体"/>
                <w:kern w:val="0"/>
                <w:szCs w:val="21"/>
              </w:rPr>
            </w:pPr>
            <w:r w:rsidRPr="00665620">
              <w:rPr>
                <w:rFonts w:asciiTheme="minorEastAsia" w:eastAsiaTheme="minorEastAsia" w:hAnsiTheme="minorEastAsia" w:cs="宋体" w:hint="eastAsia"/>
                <w:kern w:val="0"/>
                <w:szCs w:val="21"/>
              </w:rPr>
              <w:t>3.</w:t>
            </w:r>
            <w:r w:rsidR="0049185D" w:rsidRPr="00665620">
              <w:rPr>
                <w:rFonts w:asciiTheme="minorEastAsia" w:eastAsiaTheme="minorEastAsia" w:hAnsiTheme="minorEastAsia" w:cs="宋体" w:hint="eastAsia"/>
                <w:kern w:val="0"/>
                <w:szCs w:val="21"/>
              </w:rPr>
              <w:t>86</w:t>
            </w:r>
            <w:r w:rsidRPr="00665620">
              <w:rPr>
                <w:rFonts w:asciiTheme="minorEastAsia" w:eastAsiaTheme="minorEastAsia" w:hAnsiTheme="minorEastAsia" w:cs="宋体" w:hint="eastAsia"/>
                <w:kern w:val="0"/>
                <w:szCs w:val="21"/>
              </w:rPr>
              <w:t>%</w:t>
            </w:r>
          </w:p>
        </w:tc>
        <w:tc>
          <w:tcPr>
            <w:tcW w:w="1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69BD" w:rsidRPr="00665620" w:rsidRDefault="005669BD" w:rsidP="00665620">
            <w:pPr>
              <w:widowControl/>
              <w:adjustRightInd w:val="0"/>
              <w:snapToGrid w:val="0"/>
              <w:jc w:val="center"/>
              <w:rPr>
                <w:rFonts w:asciiTheme="minorEastAsia" w:eastAsiaTheme="minorEastAsia" w:hAnsiTheme="minorEastAsia" w:cs="宋体"/>
                <w:kern w:val="0"/>
                <w:szCs w:val="21"/>
              </w:rPr>
            </w:pPr>
            <w:r w:rsidRPr="00665620">
              <w:rPr>
                <w:rFonts w:asciiTheme="minorEastAsia" w:eastAsiaTheme="minorEastAsia" w:hAnsiTheme="minorEastAsia" w:cs="宋体" w:hint="eastAsia"/>
                <w:kern w:val="0"/>
                <w:szCs w:val="21"/>
              </w:rPr>
              <w:t>-2.4</w:t>
            </w:r>
            <w:r w:rsidR="0049185D" w:rsidRPr="00665620">
              <w:rPr>
                <w:rFonts w:asciiTheme="minorEastAsia" w:eastAsiaTheme="minorEastAsia" w:hAnsiTheme="minorEastAsia" w:cs="宋体" w:hint="eastAsia"/>
                <w:kern w:val="0"/>
                <w:szCs w:val="21"/>
              </w:rPr>
              <w:t>4</w:t>
            </w:r>
            <w:r w:rsidRPr="00665620">
              <w:rPr>
                <w:rFonts w:asciiTheme="minorEastAsia" w:eastAsiaTheme="minorEastAsia" w:hAnsiTheme="minorEastAsia" w:cs="宋体" w:hint="eastAsia"/>
                <w:kern w:val="0"/>
                <w:szCs w:val="21"/>
              </w:rPr>
              <w:t>%</w:t>
            </w:r>
          </w:p>
        </w:tc>
      </w:tr>
      <w:tr w:rsidR="005669BD">
        <w:trPr>
          <w:trHeight w:val="846"/>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rsidR="005669BD" w:rsidRPr="00665620" w:rsidRDefault="005669BD" w:rsidP="00665620">
            <w:pPr>
              <w:widowControl/>
              <w:adjustRightInd w:val="0"/>
              <w:snapToGrid w:val="0"/>
              <w:jc w:val="center"/>
              <w:rPr>
                <w:rFonts w:asciiTheme="minorEastAsia" w:eastAsiaTheme="minorEastAsia" w:hAnsiTheme="minorEastAsia" w:cs="宋体"/>
                <w:kern w:val="0"/>
                <w:szCs w:val="21"/>
              </w:rPr>
            </w:pPr>
            <w:r w:rsidRPr="00665620">
              <w:rPr>
                <w:rFonts w:asciiTheme="minorEastAsia" w:eastAsiaTheme="minorEastAsia" w:hAnsiTheme="minorEastAsia" w:cs="宋体" w:hint="eastAsia"/>
                <w:kern w:val="0"/>
                <w:szCs w:val="21"/>
              </w:rPr>
              <w:t>加权平均净资产收益率（扣除非经常性损益）</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5669BD" w:rsidRPr="00665620" w:rsidRDefault="005669BD" w:rsidP="00665620">
            <w:pPr>
              <w:widowControl/>
              <w:adjustRightInd w:val="0"/>
              <w:snapToGrid w:val="0"/>
              <w:jc w:val="center"/>
              <w:rPr>
                <w:rFonts w:asciiTheme="minorEastAsia" w:eastAsiaTheme="minorEastAsia" w:hAnsiTheme="minorEastAsia" w:cs="宋体"/>
                <w:kern w:val="0"/>
                <w:szCs w:val="21"/>
              </w:rPr>
            </w:pPr>
            <w:r w:rsidRPr="00665620">
              <w:rPr>
                <w:rFonts w:asciiTheme="minorEastAsia" w:eastAsiaTheme="minorEastAsia" w:hAnsiTheme="minorEastAsia" w:cs="宋体" w:hint="eastAsia"/>
                <w:kern w:val="0"/>
                <w:szCs w:val="21"/>
              </w:rPr>
              <w:t>1.37%</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5669BD" w:rsidRPr="00665620" w:rsidRDefault="005669BD" w:rsidP="00665620">
            <w:pPr>
              <w:widowControl/>
              <w:adjustRightInd w:val="0"/>
              <w:snapToGrid w:val="0"/>
              <w:jc w:val="center"/>
              <w:rPr>
                <w:rFonts w:asciiTheme="minorEastAsia" w:eastAsiaTheme="minorEastAsia" w:hAnsiTheme="minorEastAsia" w:cs="宋体"/>
                <w:kern w:val="0"/>
                <w:szCs w:val="21"/>
              </w:rPr>
            </w:pPr>
            <w:r w:rsidRPr="00665620">
              <w:rPr>
                <w:rFonts w:asciiTheme="minorEastAsia" w:eastAsiaTheme="minorEastAsia" w:hAnsiTheme="minorEastAsia" w:cs="宋体" w:hint="eastAsia"/>
                <w:kern w:val="0"/>
                <w:szCs w:val="21"/>
              </w:rPr>
              <w:t>3.7</w:t>
            </w:r>
            <w:r w:rsidR="0049185D" w:rsidRPr="00665620">
              <w:rPr>
                <w:rFonts w:asciiTheme="minorEastAsia" w:eastAsiaTheme="minorEastAsia" w:hAnsiTheme="minorEastAsia" w:cs="宋体" w:hint="eastAsia"/>
                <w:kern w:val="0"/>
                <w:szCs w:val="21"/>
              </w:rPr>
              <w:t>1</w:t>
            </w:r>
            <w:r w:rsidRPr="00665620">
              <w:rPr>
                <w:rFonts w:asciiTheme="minorEastAsia" w:eastAsiaTheme="minorEastAsia" w:hAnsiTheme="minorEastAsia" w:cs="宋体" w:hint="eastAsia"/>
                <w:kern w:val="0"/>
                <w:szCs w:val="21"/>
              </w:rPr>
              <w:t>%</w:t>
            </w:r>
          </w:p>
        </w:tc>
        <w:tc>
          <w:tcPr>
            <w:tcW w:w="1562" w:type="dxa"/>
            <w:tcBorders>
              <w:top w:val="single" w:sz="4" w:space="0" w:color="auto"/>
              <w:left w:val="nil"/>
              <w:bottom w:val="single" w:sz="4" w:space="0" w:color="auto"/>
              <w:right w:val="single" w:sz="4" w:space="0" w:color="auto"/>
            </w:tcBorders>
            <w:shd w:val="clear" w:color="auto" w:fill="auto"/>
            <w:noWrap/>
            <w:vAlign w:val="center"/>
          </w:tcPr>
          <w:p w:rsidR="005669BD" w:rsidRPr="00665620" w:rsidRDefault="005669BD" w:rsidP="00665620">
            <w:pPr>
              <w:widowControl/>
              <w:adjustRightInd w:val="0"/>
              <w:snapToGrid w:val="0"/>
              <w:jc w:val="center"/>
              <w:rPr>
                <w:rFonts w:asciiTheme="minorEastAsia" w:eastAsiaTheme="minorEastAsia" w:hAnsiTheme="minorEastAsia" w:cs="宋体"/>
                <w:kern w:val="0"/>
                <w:szCs w:val="21"/>
              </w:rPr>
            </w:pPr>
            <w:r w:rsidRPr="00665620">
              <w:rPr>
                <w:rFonts w:asciiTheme="minorEastAsia" w:eastAsiaTheme="minorEastAsia" w:hAnsiTheme="minorEastAsia" w:cs="宋体" w:hint="eastAsia"/>
                <w:kern w:val="0"/>
                <w:szCs w:val="21"/>
              </w:rPr>
              <w:t>-2.3</w:t>
            </w:r>
            <w:r w:rsidR="0049185D" w:rsidRPr="00665620">
              <w:rPr>
                <w:rFonts w:asciiTheme="minorEastAsia" w:eastAsiaTheme="minorEastAsia" w:hAnsiTheme="minorEastAsia" w:cs="宋体" w:hint="eastAsia"/>
                <w:kern w:val="0"/>
                <w:szCs w:val="21"/>
              </w:rPr>
              <w:t>4</w:t>
            </w:r>
            <w:r w:rsidRPr="00665620">
              <w:rPr>
                <w:rFonts w:asciiTheme="minorEastAsia" w:eastAsiaTheme="minorEastAsia" w:hAnsiTheme="minorEastAsia" w:cs="宋体" w:hint="eastAsia"/>
                <w:kern w:val="0"/>
                <w:szCs w:val="21"/>
              </w:rPr>
              <w:t>%</w:t>
            </w:r>
          </w:p>
        </w:tc>
      </w:tr>
      <w:tr w:rsidR="005669BD">
        <w:trPr>
          <w:trHeight w:val="728"/>
        </w:trPr>
        <w:tc>
          <w:tcPr>
            <w:tcW w:w="2895" w:type="dxa"/>
            <w:tcBorders>
              <w:top w:val="nil"/>
              <w:left w:val="single" w:sz="4" w:space="0" w:color="auto"/>
              <w:bottom w:val="single" w:sz="4" w:space="0" w:color="auto"/>
              <w:right w:val="single" w:sz="4" w:space="0" w:color="auto"/>
            </w:tcBorders>
            <w:shd w:val="clear" w:color="auto" w:fill="auto"/>
            <w:noWrap/>
            <w:vAlign w:val="center"/>
          </w:tcPr>
          <w:p w:rsidR="005669BD" w:rsidRPr="00665620" w:rsidRDefault="005669BD" w:rsidP="00665620">
            <w:pPr>
              <w:widowControl/>
              <w:adjustRightInd w:val="0"/>
              <w:snapToGrid w:val="0"/>
              <w:jc w:val="center"/>
              <w:rPr>
                <w:rFonts w:asciiTheme="minorEastAsia" w:eastAsiaTheme="minorEastAsia" w:hAnsiTheme="minorEastAsia" w:cs="宋体"/>
                <w:kern w:val="0"/>
                <w:szCs w:val="21"/>
              </w:rPr>
            </w:pPr>
            <w:r w:rsidRPr="00665620">
              <w:rPr>
                <w:rFonts w:asciiTheme="minorEastAsia" w:eastAsiaTheme="minorEastAsia" w:hAnsiTheme="minorEastAsia" w:cs="宋体" w:hint="eastAsia"/>
                <w:kern w:val="0"/>
                <w:szCs w:val="21"/>
              </w:rPr>
              <w:t>流动比率</w:t>
            </w:r>
          </w:p>
        </w:tc>
        <w:tc>
          <w:tcPr>
            <w:tcW w:w="1980" w:type="dxa"/>
            <w:tcBorders>
              <w:top w:val="nil"/>
              <w:left w:val="nil"/>
              <w:bottom w:val="single" w:sz="4" w:space="0" w:color="auto"/>
              <w:right w:val="single" w:sz="4" w:space="0" w:color="auto"/>
            </w:tcBorders>
            <w:shd w:val="clear" w:color="auto" w:fill="auto"/>
            <w:noWrap/>
            <w:vAlign w:val="center"/>
          </w:tcPr>
          <w:p w:rsidR="005669BD" w:rsidRPr="00665620" w:rsidRDefault="005669BD" w:rsidP="00665620">
            <w:pPr>
              <w:widowControl/>
              <w:adjustRightInd w:val="0"/>
              <w:snapToGrid w:val="0"/>
              <w:jc w:val="center"/>
              <w:rPr>
                <w:rFonts w:asciiTheme="minorEastAsia" w:eastAsiaTheme="minorEastAsia" w:hAnsiTheme="minorEastAsia" w:cs="宋体"/>
                <w:kern w:val="0"/>
                <w:szCs w:val="21"/>
              </w:rPr>
            </w:pPr>
            <w:r w:rsidRPr="00665620">
              <w:rPr>
                <w:rFonts w:asciiTheme="minorEastAsia" w:eastAsiaTheme="minorEastAsia" w:hAnsiTheme="minorEastAsia" w:cs="宋体" w:hint="eastAsia"/>
                <w:kern w:val="0"/>
                <w:szCs w:val="21"/>
              </w:rPr>
              <w:t>1.29</w:t>
            </w:r>
          </w:p>
        </w:tc>
        <w:tc>
          <w:tcPr>
            <w:tcW w:w="1800" w:type="dxa"/>
            <w:tcBorders>
              <w:top w:val="nil"/>
              <w:left w:val="nil"/>
              <w:bottom w:val="single" w:sz="4" w:space="0" w:color="auto"/>
              <w:right w:val="single" w:sz="4" w:space="0" w:color="auto"/>
            </w:tcBorders>
            <w:shd w:val="clear" w:color="auto" w:fill="auto"/>
            <w:noWrap/>
            <w:vAlign w:val="center"/>
          </w:tcPr>
          <w:p w:rsidR="005669BD" w:rsidRPr="00665620" w:rsidRDefault="005669BD" w:rsidP="00665620">
            <w:pPr>
              <w:widowControl/>
              <w:adjustRightInd w:val="0"/>
              <w:snapToGrid w:val="0"/>
              <w:jc w:val="center"/>
              <w:rPr>
                <w:rFonts w:asciiTheme="minorEastAsia" w:eastAsiaTheme="minorEastAsia" w:hAnsiTheme="minorEastAsia" w:cs="宋体"/>
                <w:kern w:val="0"/>
                <w:szCs w:val="21"/>
              </w:rPr>
            </w:pPr>
            <w:r w:rsidRPr="00665620">
              <w:rPr>
                <w:rFonts w:asciiTheme="minorEastAsia" w:eastAsiaTheme="minorEastAsia" w:hAnsiTheme="minorEastAsia" w:cs="宋体" w:hint="eastAsia"/>
                <w:kern w:val="0"/>
                <w:szCs w:val="21"/>
              </w:rPr>
              <w:t>1.22</w:t>
            </w:r>
          </w:p>
        </w:tc>
        <w:tc>
          <w:tcPr>
            <w:tcW w:w="1562" w:type="dxa"/>
            <w:tcBorders>
              <w:top w:val="nil"/>
              <w:left w:val="nil"/>
              <w:bottom w:val="single" w:sz="4" w:space="0" w:color="auto"/>
              <w:right w:val="single" w:sz="4" w:space="0" w:color="auto"/>
            </w:tcBorders>
            <w:shd w:val="clear" w:color="auto" w:fill="auto"/>
            <w:noWrap/>
            <w:vAlign w:val="center"/>
          </w:tcPr>
          <w:p w:rsidR="005669BD" w:rsidRPr="00665620" w:rsidRDefault="005669BD" w:rsidP="00665620">
            <w:pPr>
              <w:widowControl/>
              <w:adjustRightInd w:val="0"/>
              <w:snapToGrid w:val="0"/>
              <w:jc w:val="center"/>
              <w:rPr>
                <w:rFonts w:asciiTheme="minorEastAsia" w:eastAsiaTheme="minorEastAsia" w:hAnsiTheme="minorEastAsia" w:cs="宋体"/>
                <w:kern w:val="0"/>
                <w:szCs w:val="21"/>
              </w:rPr>
            </w:pPr>
            <w:r w:rsidRPr="00665620">
              <w:rPr>
                <w:rFonts w:asciiTheme="minorEastAsia" w:eastAsiaTheme="minorEastAsia" w:hAnsiTheme="minorEastAsia" w:cs="宋体" w:hint="eastAsia"/>
                <w:kern w:val="0"/>
                <w:szCs w:val="21"/>
              </w:rPr>
              <w:t>0.07</w:t>
            </w:r>
          </w:p>
        </w:tc>
      </w:tr>
      <w:tr w:rsidR="005669BD">
        <w:trPr>
          <w:trHeight w:val="608"/>
        </w:trPr>
        <w:tc>
          <w:tcPr>
            <w:tcW w:w="2895" w:type="dxa"/>
            <w:tcBorders>
              <w:top w:val="nil"/>
              <w:left w:val="single" w:sz="4" w:space="0" w:color="auto"/>
              <w:bottom w:val="single" w:sz="4" w:space="0" w:color="auto"/>
              <w:right w:val="single" w:sz="4" w:space="0" w:color="auto"/>
            </w:tcBorders>
            <w:shd w:val="clear" w:color="auto" w:fill="auto"/>
            <w:noWrap/>
            <w:vAlign w:val="center"/>
          </w:tcPr>
          <w:p w:rsidR="005669BD" w:rsidRPr="00665620" w:rsidRDefault="005669BD" w:rsidP="00665620">
            <w:pPr>
              <w:widowControl/>
              <w:adjustRightInd w:val="0"/>
              <w:snapToGrid w:val="0"/>
              <w:jc w:val="center"/>
              <w:rPr>
                <w:rFonts w:asciiTheme="minorEastAsia" w:eastAsiaTheme="minorEastAsia" w:hAnsiTheme="minorEastAsia" w:cs="宋体"/>
                <w:kern w:val="0"/>
                <w:szCs w:val="21"/>
              </w:rPr>
            </w:pPr>
            <w:r w:rsidRPr="00665620">
              <w:rPr>
                <w:rFonts w:asciiTheme="minorEastAsia" w:eastAsiaTheme="minorEastAsia" w:hAnsiTheme="minorEastAsia" w:cs="宋体" w:hint="eastAsia"/>
                <w:kern w:val="0"/>
                <w:szCs w:val="21"/>
              </w:rPr>
              <w:t>速动比率</w:t>
            </w:r>
          </w:p>
        </w:tc>
        <w:tc>
          <w:tcPr>
            <w:tcW w:w="1980" w:type="dxa"/>
            <w:tcBorders>
              <w:top w:val="nil"/>
              <w:left w:val="nil"/>
              <w:bottom w:val="single" w:sz="4" w:space="0" w:color="auto"/>
              <w:right w:val="single" w:sz="4" w:space="0" w:color="auto"/>
            </w:tcBorders>
            <w:shd w:val="clear" w:color="auto" w:fill="auto"/>
            <w:noWrap/>
            <w:vAlign w:val="center"/>
          </w:tcPr>
          <w:p w:rsidR="005669BD" w:rsidRPr="00665620" w:rsidRDefault="005669BD" w:rsidP="00665620">
            <w:pPr>
              <w:widowControl/>
              <w:adjustRightInd w:val="0"/>
              <w:snapToGrid w:val="0"/>
              <w:jc w:val="center"/>
              <w:rPr>
                <w:rFonts w:asciiTheme="minorEastAsia" w:eastAsiaTheme="minorEastAsia" w:hAnsiTheme="minorEastAsia" w:cs="宋体"/>
                <w:kern w:val="0"/>
                <w:szCs w:val="21"/>
              </w:rPr>
            </w:pPr>
            <w:r w:rsidRPr="00665620">
              <w:rPr>
                <w:rFonts w:asciiTheme="minorEastAsia" w:eastAsiaTheme="minorEastAsia" w:hAnsiTheme="minorEastAsia" w:cs="宋体" w:hint="eastAsia"/>
                <w:kern w:val="0"/>
                <w:szCs w:val="21"/>
              </w:rPr>
              <w:t>1.03</w:t>
            </w:r>
          </w:p>
        </w:tc>
        <w:tc>
          <w:tcPr>
            <w:tcW w:w="1800" w:type="dxa"/>
            <w:tcBorders>
              <w:top w:val="nil"/>
              <w:left w:val="nil"/>
              <w:bottom w:val="single" w:sz="4" w:space="0" w:color="auto"/>
              <w:right w:val="single" w:sz="4" w:space="0" w:color="auto"/>
            </w:tcBorders>
            <w:shd w:val="clear" w:color="auto" w:fill="auto"/>
            <w:noWrap/>
            <w:vAlign w:val="center"/>
          </w:tcPr>
          <w:p w:rsidR="005669BD" w:rsidRPr="00665620" w:rsidRDefault="005669BD" w:rsidP="00665620">
            <w:pPr>
              <w:widowControl/>
              <w:adjustRightInd w:val="0"/>
              <w:snapToGrid w:val="0"/>
              <w:jc w:val="center"/>
              <w:rPr>
                <w:rFonts w:asciiTheme="minorEastAsia" w:eastAsiaTheme="minorEastAsia" w:hAnsiTheme="minorEastAsia" w:cs="宋体"/>
                <w:kern w:val="0"/>
                <w:szCs w:val="21"/>
              </w:rPr>
            </w:pPr>
            <w:r w:rsidRPr="00665620">
              <w:rPr>
                <w:rFonts w:asciiTheme="minorEastAsia" w:eastAsiaTheme="minorEastAsia" w:hAnsiTheme="minorEastAsia" w:cs="宋体" w:hint="eastAsia"/>
                <w:kern w:val="0"/>
                <w:szCs w:val="21"/>
              </w:rPr>
              <w:t>1.10</w:t>
            </w:r>
          </w:p>
        </w:tc>
        <w:tc>
          <w:tcPr>
            <w:tcW w:w="1562" w:type="dxa"/>
            <w:tcBorders>
              <w:top w:val="nil"/>
              <w:left w:val="nil"/>
              <w:bottom w:val="single" w:sz="4" w:space="0" w:color="auto"/>
              <w:right w:val="single" w:sz="4" w:space="0" w:color="auto"/>
            </w:tcBorders>
            <w:shd w:val="clear" w:color="auto" w:fill="auto"/>
            <w:noWrap/>
            <w:vAlign w:val="center"/>
          </w:tcPr>
          <w:p w:rsidR="005669BD" w:rsidRPr="00665620" w:rsidRDefault="005669BD" w:rsidP="00665620">
            <w:pPr>
              <w:widowControl/>
              <w:adjustRightInd w:val="0"/>
              <w:snapToGrid w:val="0"/>
              <w:jc w:val="center"/>
              <w:rPr>
                <w:rFonts w:asciiTheme="minorEastAsia" w:eastAsiaTheme="minorEastAsia" w:hAnsiTheme="minorEastAsia" w:cs="宋体"/>
                <w:kern w:val="0"/>
                <w:szCs w:val="21"/>
              </w:rPr>
            </w:pPr>
            <w:r w:rsidRPr="00665620">
              <w:rPr>
                <w:rFonts w:asciiTheme="minorEastAsia" w:eastAsiaTheme="minorEastAsia" w:hAnsiTheme="minorEastAsia" w:cs="宋体" w:hint="eastAsia"/>
                <w:kern w:val="0"/>
                <w:szCs w:val="21"/>
              </w:rPr>
              <w:t>-0.07</w:t>
            </w:r>
          </w:p>
        </w:tc>
      </w:tr>
      <w:tr w:rsidR="005669BD">
        <w:trPr>
          <w:trHeight w:val="658"/>
        </w:trPr>
        <w:tc>
          <w:tcPr>
            <w:tcW w:w="2895" w:type="dxa"/>
            <w:tcBorders>
              <w:top w:val="nil"/>
              <w:left w:val="single" w:sz="4" w:space="0" w:color="auto"/>
              <w:bottom w:val="single" w:sz="4" w:space="0" w:color="auto"/>
              <w:right w:val="single" w:sz="4" w:space="0" w:color="auto"/>
            </w:tcBorders>
            <w:shd w:val="clear" w:color="auto" w:fill="auto"/>
            <w:noWrap/>
            <w:vAlign w:val="center"/>
          </w:tcPr>
          <w:p w:rsidR="005669BD" w:rsidRPr="00665620" w:rsidRDefault="005669BD" w:rsidP="00665620">
            <w:pPr>
              <w:widowControl/>
              <w:adjustRightInd w:val="0"/>
              <w:snapToGrid w:val="0"/>
              <w:jc w:val="center"/>
              <w:rPr>
                <w:rFonts w:asciiTheme="minorEastAsia" w:eastAsiaTheme="minorEastAsia" w:hAnsiTheme="minorEastAsia" w:cs="宋体"/>
                <w:kern w:val="0"/>
                <w:szCs w:val="21"/>
              </w:rPr>
            </w:pPr>
            <w:r w:rsidRPr="00665620">
              <w:rPr>
                <w:rFonts w:asciiTheme="minorEastAsia" w:eastAsiaTheme="minorEastAsia" w:hAnsiTheme="minorEastAsia" w:cs="宋体" w:hint="eastAsia"/>
                <w:kern w:val="0"/>
                <w:szCs w:val="21"/>
              </w:rPr>
              <w:t>资产负债率</w:t>
            </w:r>
          </w:p>
        </w:tc>
        <w:tc>
          <w:tcPr>
            <w:tcW w:w="1980" w:type="dxa"/>
            <w:tcBorders>
              <w:top w:val="nil"/>
              <w:left w:val="nil"/>
              <w:bottom w:val="single" w:sz="4" w:space="0" w:color="auto"/>
              <w:right w:val="single" w:sz="4" w:space="0" w:color="auto"/>
            </w:tcBorders>
            <w:shd w:val="clear" w:color="auto" w:fill="auto"/>
            <w:noWrap/>
            <w:vAlign w:val="center"/>
          </w:tcPr>
          <w:p w:rsidR="005669BD" w:rsidRPr="00665620" w:rsidRDefault="005669BD" w:rsidP="00665620">
            <w:pPr>
              <w:widowControl/>
              <w:adjustRightInd w:val="0"/>
              <w:snapToGrid w:val="0"/>
              <w:jc w:val="center"/>
              <w:rPr>
                <w:rFonts w:asciiTheme="minorEastAsia" w:eastAsiaTheme="minorEastAsia" w:hAnsiTheme="minorEastAsia" w:cs="宋体"/>
                <w:kern w:val="0"/>
                <w:szCs w:val="21"/>
              </w:rPr>
            </w:pPr>
            <w:r w:rsidRPr="00665620">
              <w:rPr>
                <w:rFonts w:asciiTheme="minorEastAsia" w:eastAsiaTheme="minorEastAsia" w:hAnsiTheme="minorEastAsia" w:cs="宋体" w:hint="eastAsia"/>
                <w:kern w:val="0"/>
                <w:szCs w:val="21"/>
              </w:rPr>
              <w:t>20.77%</w:t>
            </w:r>
          </w:p>
        </w:tc>
        <w:tc>
          <w:tcPr>
            <w:tcW w:w="1800" w:type="dxa"/>
            <w:tcBorders>
              <w:top w:val="nil"/>
              <w:left w:val="nil"/>
              <w:bottom w:val="single" w:sz="4" w:space="0" w:color="auto"/>
              <w:right w:val="single" w:sz="4" w:space="0" w:color="auto"/>
            </w:tcBorders>
            <w:shd w:val="clear" w:color="auto" w:fill="auto"/>
            <w:noWrap/>
            <w:vAlign w:val="center"/>
          </w:tcPr>
          <w:p w:rsidR="005669BD" w:rsidRPr="00665620" w:rsidRDefault="005669BD" w:rsidP="00665620">
            <w:pPr>
              <w:widowControl/>
              <w:adjustRightInd w:val="0"/>
              <w:snapToGrid w:val="0"/>
              <w:jc w:val="center"/>
              <w:rPr>
                <w:rFonts w:asciiTheme="minorEastAsia" w:eastAsiaTheme="minorEastAsia" w:hAnsiTheme="minorEastAsia" w:cs="宋体"/>
                <w:kern w:val="0"/>
                <w:szCs w:val="21"/>
              </w:rPr>
            </w:pPr>
            <w:r w:rsidRPr="00665620">
              <w:rPr>
                <w:rFonts w:asciiTheme="minorEastAsia" w:eastAsiaTheme="minorEastAsia" w:hAnsiTheme="minorEastAsia" w:cs="宋体" w:hint="eastAsia"/>
                <w:kern w:val="0"/>
                <w:szCs w:val="21"/>
              </w:rPr>
              <w:t>20.96%</w:t>
            </w:r>
          </w:p>
        </w:tc>
        <w:tc>
          <w:tcPr>
            <w:tcW w:w="1562" w:type="dxa"/>
            <w:tcBorders>
              <w:top w:val="nil"/>
              <w:left w:val="nil"/>
              <w:bottom w:val="single" w:sz="4" w:space="0" w:color="auto"/>
              <w:right w:val="single" w:sz="4" w:space="0" w:color="auto"/>
            </w:tcBorders>
            <w:shd w:val="clear" w:color="auto" w:fill="auto"/>
            <w:noWrap/>
            <w:vAlign w:val="center"/>
          </w:tcPr>
          <w:p w:rsidR="005669BD" w:rsidRPr="00665620" w:rsidRDefault="005669BD" w:rsidP="00665620">
            <w:pPr>
              <w:widowControl/>
              <w:adjustRightInd w:val="0"/>
              <w:snapToGrid w:val="0"/>
              <w:jc w:val="center"/>
              <w:rPr>
                <w:rFonts w:asciiTheme="minorEastAsia" w:eastAsiaTheme="minorEastAsia" w:hAnsiTheme="minorEastAsia" w:cs="宋体"/>
                <w:kern w:val="0"/>
                <w:szCs w:val="21"/>
              </w:rPr>
            </w:pPr>
            <w:r w:rsidRPr="00665620">
              <w:rPr>
                <w:rFonts w:asciiTheme="minorEastAsia" w:eastAsiaTheme="minorEastAsia" w:hAnsiTheme="minorEastAsia" w:cs="宋体" w:hint="eastAsia"/>
                <w:kern w:val="0"/>
                <w:szCs w:val="21"/>
              </w:rPr>
              <w:t>-0.19%</w:t>
            </w:r>
          </w:p>
        </w:tc>
      </w:tr>
      <w:tr w:rsidR="005669BD">
        <w:trPr>
          <w:trHeight w:val="680"/>
        </w:trPr>
        <w:tc>
          <w:tcPr>
            <w:tcW w:w="2895" w:type="dxa"/>
            <w:tcBorders>
              <w:top w:val="nil"/>
              <w:left w:val="single" w:sz="4" w:space="0" w:color="auto"/>
              <w:bottom w:val="single" w:sz="4" w:space="0" w:color="auto"/>
              <w:right w:val="single" w:sz="4" w:space="0" w:color="auto"/>
            </w:tcBorders>
            <w:shd w:val="clear" w:color="auto" w:fill="auto"/>
            <w:noWrap/>
            <w:vAlign w:val="center"/>
          </w:tcPr>
          <w:p w:rsidR="005669BD" w:rsidRPr="00665620" w:rsidRDefault="005669BD" w:rsidP="00665620">
            <w:pPr>
              <w:widowControl/>
              <w:adjustRightInd w:val="0"/>
              <w:snapToGrid w:val="0"/>
              <w:jc w:val="center"/>
              <w:rPr>
                <w:rFonts w:asciiTheme="minorEastAsia" w:eastAsiaTheme="minorEastAsia" w:hAnsiTheme="minorEastAsia" w:cs="宋体"/>
                <w:kern w:val="0"/>
                <w:szCs w:val="21"/>
              </w:rPr>
            </w:pPr>
            <w:r w:rsidRPr="00665620">
              <w:rPr>
                <w:rFonts w:asciiTheme="minorEastAsia" w:eastAsiaTheme="minorEastAsia" w:hAnsiTheme="minorEastAsia" w:cs="宋体" w:hint="eastAsia"/>
                <w:kern w:val="0"/>
                <w:szCs w:val="21"/>
              </w:rPr>
              <w:t>应收账款周转次数</w:t>
            </w:r>
          </w:p>
        </w:tc>
        <w:tc>
          <w:tcPr>
            <w:tcW w:w="1980" w:type="dxa"/>
            <w:tcBorders>
              <w:top w:val="nil"/>
              <w:left w:val="nil"/>
              <w:bottom w:val="single" w:sz="4" w:space="0" w:color="auto"/>
              <w:right w:val="single" w:sz="4" w:space="0" w:color="auto"/>
            </w:tcBorders>
            <w:shd w:val="clear" w:color="auto" w:fill="auto"/>
            <w:noWrap/>
            <w:vAlign w:val="center"/>
          </w:tcPr>
          <w:p w:rsidR="005669BD" w:rsidRPr="00665620" w:rsidRDefault="005669BD" w:rsidP="00665620">
            <w:pPr>
              <w:widowControl/>
              <w:adjustRightInd w:val="0"/>
              <w:snapToGrid w:val="0"/>
              <w:jc w:val="center"/>
              <w:rPr>
                <w:rFonts w:asciiTheme="minorEastAsia" w:eastAsiaTheme="minorEastAsia" w:hAnsiTheme="minorEastAsia" w:cs="宋体"/>
                <w:kern w:val="0"/>
                <w:szCs w:val="21"/>
              </w:rPr>
            </w:pPr>
            <w:r w:rsidRPr="00665620">
              <w:rPr>
                <w:rFonts w:asciiTheme="minorEastAsia" w:eastAsiaTheme="minorEastAsia" w:hAnsiTheme="minorEastAsia" w:cs="宋体" w:hint="eastAsia"/>
                <w:kern w:val="0"/>
                <w:szCs w:val="21"/>
              </w:rPr>
              <w:t>24.83</w:t>
            </w:r>
          </w:p>
        </w:tc>
        <w:tc>
          <w:tcPr>
            <w:tcW w:w="1800" w:type="dxa"/>
            <w:tcBorders>
              <w:top w:val="nil"/>
              <w:left w:val="nil"/>
              <w:bottom w:val="single" w:sz="4" w:space="0" w:color="auto"/>
              <w:right w:val="single" w:sz="4" w:space="0" w:color="auto"/>
            </w:tcBorders>
            <w:shd w:val="clear" w:color="auto" w:fill="auto"/>
            <w:noWrap/>
            <w:vAlign w:val="center"/>
          </w:tcPr>
          <w:p w:rsidR="005669BD" w:rsidRPr="00665620" w:rsidRDefault="005669BD" w:rsidP="00665620">
            <w:pPr>
              <w:widowControl/>
              <w:adjustRightInd w:val="0"/>
              <w:snapToGrid w:val="0"/>
              <w:jc w:val="center"/>
              <w:rPr>
                <w:rFonts w:asciiTheme="minorEastAsia" w:eastAsiaTheme="minorEastAsia" w:hAnsiTheme="minorEastAsia" w:cs="宋体"/>
                <w:kern w:val="0"/>
                <w:szCs w:val="21"/>
              </w:rPr>
            </w:pPr>
            <w:r w:rsidRPr="00665620">
              <w:rPr>
                <w:rFonts w:asciiTheme="minorEastAsia" w:eastAsiaTheme="minorEastAsia" w:hAnsiTheme="minorEastAsia" w:cs="宋体" w:hint="eastAsia"/>
                <w:kern w:val="0"/>
                <w:szCs w:val="21"/>
              </w:rPr>
              <w:t>25.66</w:t>
            </w:r>
          </w:p>
        </w:tc>
        <w:tc>
          <w:tcPr>
            <w:tcW w:w="1562" w:type="dxa"/>
            <w:tcBorders>
              <w:top w:val="nil"/>
              <w:left w:val="nil"/>
              <w:bottom w:val="single" w:sz="4" w:space="0" w:color="auto"/>
              <w:right w:val="single" w:sz="4" w:space="0" w:color="auto"/>
            </w:tcBorders>
            <w:shd w:val="clear" w:color="auto" w:fill="auto"/>
            <w:noWrap/>
            <w:vAlign w:val="center"/>
          </w:tcPr>
          <w:p w:rsidR="005669BD" w:rsidRPr="00665620" w:rsidRDefault="005669BD" w:rsidP="00665620">
            <w:pPr>
              <w:widowControl/>
              <w:adjustRightInd w:val="0"/>
              <w:snapToGrid w:val="0"/>
              <w:jc w:val="center"/>
              <w:rPr>
                <w:rFonts w:asciiTheme="minorEastAsia" w:eastAsiaTheme="minorEastAsia" w:hAnsiTheme="minorEastAsia" w:cs="宋体"/>
                <w:kern w:val="0"/>
                <w:szCs w:val="21"/>
              </w:rPr>
            </w:pPr>
            <w:r w:rsidRPr="00665620">
              <w:rPr>
                <w:rFonts w:asciiTheme="minorEastAsia" w:eastAsiaTheme="minorEastAsia" w:hAnsiTheme="minorEastAsia" w:cs="宋体" w:hint="eastAsia"/>
                <w:kern w:val="0"/>
                <w:szCs w:val="21"/>
              </w:rPr>
              <w:t>-0.83</w:t>
            </w:r>
          </w:p>
        </w:tc>
      </w:tr>
      <w:tr w:rsidR="005669BD">
        <w:trPr>
          <w:trHeight w:val="574"/>
        </w:trPr>
        <w:tc>
          <w:tcPr>
            <w:tcW w:w="2895" w:type="dxa"/>
            <w:tcBorders>
              <w:top w:val="nil"/>
              <w:left w:val="single" w:sz="4" w:space="0" w:color="auto"/>
              <w:bottom w:val="single" w:sz="4" w:space="0" w:color="auto"/>
              <w:right w:val="single" w:sz="4" w:space="0" w:color="auto"/>
            </w:tcBorders>
            <w:shd w:val="clear" w:color="auto" w:fill="auto"/>
            <w:noWrap/>
            <w:vAlign w:val="center"/>
          </w:tcPr>
          <w:p w:rsidR="005669BD" w:rsidRPr="00665620" w:rsidRDefault="005669BD" w:rsidP="00665620">
            <w:pPr>
              <w:widowControl/>
              <w:adjustRightInd w:val="0"/>
              <w:snapToGrid w:val="0"/>
              <w:jc w:val="center"/>
              <w:rPr>
                <w:rFonts w:asciiTheme="minorEastAsia" w:eastAsiaTheme="minorEastAsia" w:hAnsiTheme="minorEastAsia" w:cs="宋体"/>
                <w:kern w:val="0"/>
                <w:szCs w:val="21"/>
              </w:rPr>
            </w:pPr>
            <w:r w:rsidRPr="00665620">
              <w:rPr>
                <w:rFonts w:asciiTheme="minorEastAsia" w:eastAsiaTheme="minorEastAsia" w:hAnsiTheme="minorEastAsia" w:cs="宋体" w:hint="eastAsia"/>
                <w:kern w:val="0"/>
                <w:szCs w:val="21"/>
              </w:rPr>
              <w:t>存货周转次数</w:t>
            </w:r>
          </w:p>
        </w:tc>
        <w:tc>
          <w:tcPr>
            <w:tcW w:w="1980" w:type="dxa"/>
            <w:tcBorders>
              <w:top w:val="nil"/>
              <w:left w:val="nil"/>
              <w:bottom w:val="single" w:sz="4" w:space="0" w:color="auto"/>
              <w:right w:val="single" w:sz="4" w:space="0" w:color="auto"/>
            </w:tcBorders>
            <w:shd w:val="clear" w:color="auto" w:fill="auto"/>
            <w:noWrap/>
            <w:vAlign w:val="center"/>
          </w:tcPr>
          <w:p w:rsidR="005669BD" w:rsidRPr="00665620" w:rsidRDefault="005669BD" w:rsidP="00665620">
            <w:pPr>
              <w:widowControl/>
              <w:adjustRightInd w:val="0"/>
              <w:snapToGrid w:val="0"/>
              <w:jc w:val="center"/>
              <w:rPr>
                <w:rFonts w:asciiTheme="minorEastAsia" w:eastAsiaTheme="minorEastAsia" w:hAnsiTheme="minorEastAsia" w:cs="宋体"/>
                <w:kern w:val="0"/>
                <w:szCs w:val="21"/>
              </w:rPr>
            </w:pPr>
            <w:r w:rsidRPr="00665620">
              <w:rPr>
                <w:rFonts w:asciiTheme="minorEastAsia" w:eastAsiaTheme="minorEastAsia" w:hAnsiTheme="minorEastAsia" w:cs="宋体" w:hint="eastAsia"/>
                <w:kern w:val="0"/>
                <w:szCs w:val="21"/>
              </w:rPr>
              <w:t>11.10</w:t>
            </w:r>
          </w:p>
        </w:tc>
        <w:tc>
          <w:tcPr>
            <w:tcW w:w="1800" w:type="dxa"/>
            <w:tcBorders>
              <w:top w:val="nil"/>
              <w:left w:val="nil"/>
              <w:bottom w:val="single" w:sz="4" w:space="0" w:color="auto"/>
              <w:right w:val="single" w:sz="4" w:space="0" w:color="auto"/>
            </w:tcBorders>
            <w:shd w:val="clear" w:color="auto" w:fill="auto"/>
            <w:noWrap/>
            <w:vAlign w:val="center"/>
          </w:tcPr>
          <w:p w:rsidR="005669BD" w:rsidRPr="00665620" w:rsidRDefault="005669BD" w:rsidP="00665620">
            <w:pPr>
              <w:widowControl/>
              <w:adjustRightInd w:val="0"/>
              <w:snapToGrid w:val="0"/>
              <w:jc w:val="center"/>
              <w:rPr>
                <w:rFonts w:asciiTheme="minorEastAsia" w:eastAsiaTheme="minorEastAsia" w:hAnsiTheme="minorEastAsia" w:cs="宋体"/>
                <w:kern w:val="0"/>
                <w:szCs w:val="21"/>
              </w:rPr>
            </w:pPr>
            <w:r w:rsidRPr="00665620">
              <w:rPr>
                <w:rFonts w:asciiTheme="minorEastAsia" w:eastAsiaTheme="minorEastAsia" w:hAnsiTheme="minorEastAsia" w:cs="宋体" w:hint="eastAsia"/>
                <w:kern w:val="0"/>
                <w:szCs w:val="21"/>
              </w:rPr>
              <w:t>14.25</w:t>
            </w:r>
          </w:p>
        </w:tc>
        <w:tc>
          <w:tcPr>
            <w:tcW w:w="1562" w:type="dxa"/>
            <w:tcBorders>
              <w:top w:val="nil"/>
              <w:left w:val="nil"/>
              <w:bottom w:val="single" w:sz="4" w:space="0" w:color="auto"/>
              <w:right w:val="single" w:sz="4" w:space="0" w:color="auto"/>
            </w:tcBorders>
            <w:shd w:val="clear" w:color="auto" w:fill="auto"/>
            <w:noWrap/>
            <w:vAlign w:val="center"/>
          </w:tcPr>
          <w:p w:rsidR="005669BD" w:rsidRPr="00665620" w:rsidRDefault="005669BD" w:rsidP="00665620">
            <w:pPr>
              <w:widowControl/>
              <w:adjustRightInd w:val="0"/>
              <w:snapToGrid w:val="0"/>
              <w:jc w:val="center"/>
              <w:rPr>
                <w:rFonts w:asciiTheme="minorEastAsia" w:eastAsiaTheme="minorEastAsia" w:hAnsiTheme="minorEastAsia" w:cs="宋体"/>
                <w:kern w:val="0"/>
                <w:szCs w:val="21"/>
              </w:rPr>
            </w:pPr>
            <w:r w:rsidRPr="00665620">
              <w:rPr>
                <w:rFonts w:asciiTheme="minorEastAsia" w:eastAsiaTheme="minorEastAsia" w:hAnsiTheme="minorEastAsia" w:cs="宋体" w:hint="eastAsia"/>
                <w:kern w:val="0"/>
                <w:szCs w:val="21"/>
              </w:rPr>
              <w:t>-3.15</w:t>
            </w:r>
          </w:p>
        </w:tc>
      </w:tr>
      <w:tr w:rsidR="005669BD">
        <w:trPr>
          <w:trHeight w:val="610"/>
        </w:trPr>
        <w:tc>
          <w:tcPr>
            <w:tcW w:w="2895" w:type="dxa"/>
            <w:tcBorders>
              <w:top w:val="nil"/>
              <w:left w:val="single" w:sz="4" w:space="0" w:color="auto"/>
              <w:bottom w:val="single" w:sz="4" w:space="0" w:color="auto"/>
              <w:right w:val="single" w:sz="4" w:space="0" w:color="auto"/>
            </w:tcBorders>
            <w:shd w:val="clear" w:color="auto" w:fill="auto"/>
            <w:noWrap/>
            <w:vAlign w:val="center"/>
          </w:tcPr>
          <w:p w:rsidR="005669BD" w:rsidRPr="00665620" w:rsidRDefault="005669BD" w:rsidP="00665620">
            <w:pPr>
              <w:widowControl/>
              <w:adjustRightInd w:val="0"/>
              <w:snapToGrid w:val="0"/>
              <w:jc w:val="center"/>
              <w:rPr>
                <w:rFonts w:asciiTheme="minorEastAsia" w:eastAsiaTheme="minorEastAsia" w:hAnsiTheme="minorEastAsia" w:cs="宋体"/>
                <w:kern w:val="0"/>
                <w:szCs w:val="21"/>
              </w:rPr>
            </w:pPr>
            <w:r w:rsidRPr="00665620">
              <w:rPr>
                <w:rFonts w:asciiTheme="minorEastAsia" w:eastAsiaTheme="minorEastAsia" w:hAnsiTheme="minorEastAsia" w:cs="宋体" w:hint="eastAsia"/>
                <w:kern w:val="0"/>
                <w:szCs w:val="21"/>
              </w:rPr>
              <w:t>总资产周转次数</w:t>
            </w:r>
          </w:p>
        </w:tc>
        <w:tc>
          <w:tcPr>
            <w:tcW w:w="1980" w:type="dxa"/>
            <w:tcBorders>
              <w:top w:val="nil"/>
              <w:left w:val="nil"/>
              <w:bottom w:val="single" w:sz="4" w:space="0" w:color="auto"/>
              <w:right w:val="single" w:sz="4" w:space="0" w:color="auto"/>
            </w:tcBorders>
            <w:shd w:val="clear" w:color="auto" w:fill="auto"/>
            <w:noWrap/>
            <w:vAlign w:val="center"/>
          </w:tcPr>
          <w:p w:rsidR="005669BD" w:rsidRPr="00665620" w:rsidRDefault="005669BD" w:rsidP="00665620">
            <w:pPr>
              <w:widowControl/>
              <w:adjustRightInd w:val="0"/>
              <w:snapToGrid w:val="0"/>
              <w:jc w:val="center"/>
              <w:rPr>
                <w:rFonts w:asciiTheme="minorEastAsia" w:eastAsiaTheme="minorEastAsia" w:hAnsiTheme="minorEastAsia" w:cs="宋体"/>
                <w:kern w:val="0"/>
                <w:szCs w:val="21"/>
              </w:rPr>
            </w:pPr>
            <w:r w:rsidRPr="00665620">
              <w:rPr>
                <w:rFonts w:asciiTheme="minorEastAsia" w:eastAsiaTheme="minorEastAsia" w:hAnsiTheme="minorEastAsia" w:cs="宋体" w:hint="eastAsia"/>
                <w:kern w:val="0"/>
                <w:szCs w:val="21"/>
              </w:rPr>
              <w:t>0.44</w:t>
            </w:r>
          </w:p>
        </w:tc>
        <w:tc>
          <w:tcPr>
            <w:tcW w:w="1800" w:type="dxa"/>
            <w:tcBorders>
              <w:top w:val="nil"/>
              <w:left w:val="nil"/>
              <w:bottom w:val="single" w:sz="4" w:space="0" w:color="auto"/>
              <w:right w:val="single" w:sz="4" w:space="0" w:color="auto"/>
            </w:tcBorders>
            <w:shd w:val="clear" w:color="auto" w:fill="auto"/>
            <w:noWrap/>
            <w:vAlign w:val="center"/>
          </w:tcPr>
          <w:p w:rsidR="005669BD" w:rsidRPr="00665620" w:rsidRDefault="005669BD" w:rsidP="00665620">
            <w:pPr>
              <w:widowControl/>
              <w:adjustRightInd w:val="0"/>
              <w:snapToGrid w:val="0"/>
              <w:jc w:val="center"/>
              <w:rPr>
                <w:rFonts w:asciiTheme="minorEastAsia" w:eastAsiaTheme="minorEastAsia" w:hAnsiTheme="minorEastAsia" w:cs="宋体"/>
                <w:kern w:val="0"/>
                <w:szCs w:val="21"/>
              </w:rPr>
            </w:pPr>
            <w:r w:rsidRPr="00665620">
              <w:rPr>
                <w:rFonts w:asciiTheme="minorEastAsia" w:eastAsiaTheme="minorEastAsia" w:hAnsiTheme="minorEastAsia" w:cs="宋体" w:hint="eastAsia"/>
                <w:kern w:val="0"/>
                <w:szCs w:val="21"/>
              </w:rPr>
              <w:t>0.45</w:t>
            </w:r>
          </w:p>
        </w:tc>
        <w:tc>
          <w:tcPr>
            <w:tcW w:w="1562" w:type="dxa"/>
            <w:tcBorders>
              <w:top w:val="nil"/>
              <w:left w:val="nil"/>
              <w:bottom w:val="single" w:sz="4" w:space="0" w:color="auto"/>
              <w:right w:val="single" w:sz="4" w:space="0" w:color="auto"/>
            </w:tcBorders>
            <w:shd w:val="clear" w:color="auto" w:fill="auto"/>
            <w:noWrap/>
            <w:vAlign w:val="center"/>
          </w:tcPr>
          <w:p w:rsidR="005669BD" w:rsidRPr="00665620" w:rsidRDefault="005669BD" w:rsidP="00665620">
            <w:pPr>
              <w:widowControl/>
              <w:adjustRightInd w:val="0"/>
              <w:snapToGrid w:val="0"/>
              <w:jc w:val="center"/>
              <w:rPr>
                <w:rFonts w:asciiTheme="minorEastAsia" w:eastAsiaTheme="minorEastAsia" w:hAnsiTheme="minorEastAsia" w:cs="宋体"/>
                <w:kern w:val="0"/>
                <w:szCs w:val="21"/>
              </w:rPr>
            </w:pPr>
            <w:r w:rsidRPr="00665620">
              <w:rPr>
                <w:rFonts w:asciiTheme="minorEastAsia" w:eastAsiaTheme="minorEastAsia" w:hAnsiTheme="minorEastAsia" w:cs="宋体" w:hint="eastAsia"/>
                <w:kern w:val="0"/>
                <w:szCs w:val="21"/>
              </w:rPr>
              <w:t>-0.01</w:t>
            </w:r>
          </w:p>
        </w:tc>
      </w:tr>
    </w:tbl>
    <w:p w:rsidR="00B041EC" w:rsidRDefault="002D04A5" w:rsidP="00D52FF4">
      <w:pPr>
        <w:snapToGrid w:val="0"/>
        <w:spacing w:beforeLines="100" w:before="312" w:line="360" w:lineRule="auto"/>
        <w:ind w:firstLineChars="200" w:firstLine="480"/>
        <w:rPr>
          <w:rFonts w:ascii="宋体" w:hAnsi="宋体" w:cs="宋体"/>
          <w:kern w:val="0"/>
          <w:sz w:val="24"/>
          <w:szCs w:val="24"/>
        </w:rPr>
      </w:pPr>
      <w:r>
        <w:rPr>
          <w:rFonts w:ascii="宋体" w:hAnsi="宋体" w:hint="eastAsia"/>
          <w:sz w:val="24"/>
          <w:szCs w:val="24"/>
        </w:rPr>
        <w:t>因公司本期净利润</w:t>
      </w:r>
      <w:r w:rsidR="009A3B8F">
        <w:rPr>
          <w:rFonts w:ascii="宋体" w:hAnsi="宋体" w:hint="eastAsia"/>
          <w:sz w:val="24"/>
          <w:szCs w:val="24"/>
        </w:rPr>
        <w:t>较上年同期减少，影响本期销售净利率、净资产收益率较上年同期减少</w:t>
      </w:r>
      <w:r>
        <w:rPr>
          <w:rFonts w:ascii="宋体" w:hAnsi="宋体" w:hint="eastAsia"/>
          <w:sz w:val="24"/>
          <w:szCs w:val="24"/>
        </w:rPr>
        <w:t>。</w:t>
      </w:r>
    </w:p>
    <w:p w:rsidR="00B041EC" w:rsidRDefault="00B041EC">
      <w:pPr>
        <w:snapToGrid w:val="0"/>
        <w:spacing w:line="360" w:lineRule="auto"/>
        <w:ind w:firstLineChars="200" w:firstLine="480"/>
        <w:rPr>
          <w:rFonts w:ascii="宋体" w:hAnsi="宋体"/>
          <w:sz w:val="24"/>
          <w:szCs w:val="24"/>
        </w:rPr>
      </w:pPr>
    </w:p>
    <w:p w:rsidR="00C11CB7" w:rsidRDefault="00C11CB7" w:rsidP="00C11CB7">
      <w:pPr>
        <w:adjustRightInd w:val="0"/>
        <w:snapToGrid w:val="0"/>
        <w:spacing w:line="360" w:lineRule="auto"/>
        <w:rPr>
          <w:rFonts w:ascii="宋体" w:hAnsi="宋体"/>
          <w:b/>
          <w:sz w:val="24"/>
          <w:szCs w:val="24"/>
        </w:rPr>
      </w:pPr>
      <w:r>
        <w:rPr>
          <w:rFonts w:ascii="宋体" w:hAnsi="宋体" w:hint="eastAsia"/>
          <w:b/>
          <w:sz w:val="24"/>
          <w:szCs w:val="24"/>
        </w:rPr>
        <w:t>六、前期会计差错更正事项</w:t>
      </w:r>
    </w:p>
    <w:p w:rsidR="00DA0392" w:rsidRDefault="00DA0392" w:rsidP="00DA0392">
      <w:pPr>
        <w:adjustRightInd w:val="0"/>
        <w:snapToGrid w:val="0"/>
        <w:spacing w:line="360" w:lineRule="auto"/>
        <w:ind w:firstLineChars="200" w:firstLine="480"/>
        <w:rPr>
          <w:rFonts w:ascii="宋体" w:hAnsi="宋体"/>
          <w:sz w:val="24"/>
          <w:szCs w:val="24"/>
        </w:rPr>
      </w:pPr>
      <w:r w:rsidRPr="00DA0392">
        <w:rPr>
          <w:rFonts w:ascii="宋体" w:hAnsi="宋体" w:hint="eastAsia"/>
          <w:sz w:val="24"/>
          <w:szCs w:val="24"/>
        </w:rPr>
        <w:t>截至2023年12月31日，公司通过控制主体上海启</w:t>
      </w:r>
      <w:proofErr w:type="gramStart"/>
      <w:r w:rsidRPr="00DA0392">
        <w:rPr>
          <w:rFonts w:ascii="宋体" w:hAnsi="宋体" w:hint="eastAsia"/>
          <w:sz w:val="24"/>
          <w:szCs w:val="24"/>
        </w:rPr>
        <w:t>澜</w:t>
      </w:r>
      <w:proofErr w:type="gramEnd"/>
      <w:r w:rsidRPr="00DA0392">
        <w:rPr>
          <w:rFonts w:ascii="宋体" w:hAnsi="宋体" w:hint="eastAsia"/>
          <w:sz w:val="24"/>
          <w:szCs w:val="24"/>
        </w:rPr>
        <w:t>企业管理咨询合伙企业（有限合伙）间接持有</w:t>
      </w:r>
      <w:r w:rsidR="00665620">
        <w:rPr>
          <w:rFonts w:ascii="宋体" w:hAnsi="宋体" w:hint="eastAsia"/>
          <w:sz w:val="24"/>
          <w:szCs w:val="24"/>
        </w:rPr>
        <w:t>索尔思光电</w:t>
      </w:r>
      <w:r w:rsidRPr="00DA0392">
        <w:rPr>
          <w:rFonts w:ascii="宋体" w:hAnsi="宋体" w:hint="eastAsia"/>
          <w:sz w:val="24"/>
          <w:szCs w:val="24"/>
        </w:rPr>
        <w:t>27.66%的股权。</w:t>
      </w:r>
      <w:proofErr w:type="gramStart"/>
      <w:r w:rsidRPr="00DA0392">
        <w:rPr>
          <w:rFonts w:ascii="宋体" w:hAnsi="宋体" w:hint="eastAsia"/>
          <w:sz w:val="24"/>
          <w:szCs w:val="24"/>
        </w:rPr>
        <w:t>因能够</w:t>
      </w:r>
      <w:proofErr w:type="gramEnd"/>
      <w:r w:rsidRPr="00DA0392">
        <w:rPr>
          <w:rFonts w:ascii="宋体" w:hAnsi="宋体" w:hint="eastAsia"/>
          <w:sz w:val="24"/>
          <w:szCs w:val="24"/>
        </w:rPr>
        <w:t>对索尔思光电施加重大影响，根据《企业会计准则》的相关规定，公司按照权益法核算对其持有的长期股权投资。近期，索尔思光电聘请的审计机构在审计过程中，发现了前期会计差错事项，需对相关数据进行调整。经公司与索尔思光电管理层沟通，并对索尔思光电会计数据更正原因进行了解及分析复核，确认索尔思光电的财务报表需</w:t>
      </w:r>
      <w:r w:rsidRPr="00DA0392">
        <w:rPr>
          <w:rFonts w:ascii="宋体" w:hAnsi="宋体" w:hint="eastAsia"/>
          <w:sz w:val="24"/>
          <w:szCs w:val="24"/>
        </w:rPr>
        <w:lastRenderedPageBreak/>
        <w:t>要更正，该事项影响了公司在相应期间对其长期股权投资及投资收益的核算，公司根据相关规定对前期会计差错予以更正。</w:t>
      </w:r>
    </w:p>
    <w:p w:rsidR="00C51369" w:rsidRPr="00C51369" w:rsidRDefault="00C51369" w:rsidP="00C51369">
      <w:pPr>
        <w:snapToGrid w:val="0"/>
        <w:spacing w:line="360" w:lineRule="auto"/>
        <w:ind w:firstLineChars="200" w:firstLine="480"/>
        <w:rPr>
          <w:rFonts w:ascii="宋体" w:hAnsi="宋体"/>
          <w:sz w:val="24"/>
          <w:szCs w:val="24"/>
        </w:rPr>
      </w:pPr>
      <w:r w:rsidRPr="00C51369">
        <w:rPr>
          <w:rFonts w:ascii="宋体" w:hAnsi="宋体" w:hint="eastAsia"/>
          <w:sz w:val="24"/>
          <w:szCs w:val="24"/>
        </w:rPr>
        <w:t>公司对上述前期更正差错影响进行追溯重述，影响财务报表及金额如下：</w:t>
      </w:r>
    </w:p>
    <w:p w:rsidR="00C51369" w:rsidRPr="00C51369" w:rsidRDefault="00C51369" w:rsidP="00C51369">
      <w:pPr>
        <w:snapToGrid w:val="0"/>
        <w:spacing w:line="360" w:lineRule="auto"/>
        <w:ind w:firstLineChars="200" w:firstLine="480"/>
        <w:rPr>
          <w:rFonts w:ascii="宋体" w:hAnsi="宋体"/>
          <w:sz w:val="24"/>
          <w:szCs w:val="24"/>
        </w:rPr>
      </w:pPr>
      <w:r w:rsidRPr="00C51369">
        <w:rPr>
          <w:rFonts w:ascii="宋体" w:hAnsi="宋体" w:hint="eastAsia"/>
          <w:sz w:val="24"/>
          <w:szCs w:val="24"/>
        </w:rPr>
        <w:t>1、合并财务报表</w:t>
      </w:r>
    </w:p>
    <w:p w:rsidR="00D83956" w:rsidRPr="002804B2" w:rsidRDefault="00D83956" w:rsidP="00D83956">
      <w:pPr>
        <w:tabs>
          <w:tab w:val="num" w:pos="900"/>
        </w:tabs>
        <w:adjustRightInd w:val="0"/>
        <w:snapToGrid w:val="0"/>
        <w:spacing w:line="360" w:lineRule="auto"/>
        <w:ind w:firstLineChars="200" w:firstLine="480"/>
        <w:rPr>
          <w:sz w:val="24"/>
        </w:rPr>
      </w:pPr>
      <w:r w:rsidRPr="002804B2">
        <w:rPr>
          <w:rFonts w:hint="eastAsia"/>
          <w:sz w:val="24"/>
        </w:rPr>
        <w:t>（</w:t>
      </w:r>
      <w:r w:rsidRPr="002804B2">
        <w:rPr>
          <w:rFonts w:hint="eastAsia"/>
          <w:sz w:val="24"/>
        </w:rPr>
        <w:t>1</w:t>
      </w:r>
      <w:r w:rsidRPr="002804B2">
        <w:rPr>
          <w:rFonts w:hint="eastAsia"/>
          <w:sz w:val="24"/>
        </w:rPr>
        <w:t>）合并资产负债表项目</w:t>
      </w:r>
    </w:p>
    <w:tbl>
      <w:tblPr>
        <w:tblW w:w="86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3"/>
        <w:gridCol w:w="2268"/>
        <w:gridCol w:w="2093"/>
        <w:gridCol w:w="1896"/>
      </w:tblGrid>
      <w:tr w:rsidR="00D83956" w:rsidRPr="002804B2" w:rsidTr="00730903">
        <w:trPr>
          <w:trHeight w:val="20"/>
        </w:trPr>
        <w:tc>
          <w:tcPr>
            <w:tcW w:w="2423" w:type="dxa"/>
            <w:vMerge w:val="restart"/>
            <w:shd w:val="clear" w:color="000000" w:fill="FFFFFF"/>
            <w:vAlign w:val="center"/>
            <w:hideMark/>
          </w:tcPr>
          <w:p w:rsidR="00D83956" w:rsidRPr="002804B2" w:rsidRDefault="00D83956" w:rsidP="00730903">
            <w:pPr>
              <w:widowControl/>
              <w:spacing w:line="400" w:lineRule="exact"/>
              <w:jc w:val="center"/>
              <w:rPr>
                <w:rFonts w:asciiTheme="minorEastAsia" w:eastAsiaTheme="minorEastAsia" w:hAnsiTheme="minorEastAsia" w:cs="Arial"/>
                <w:kern w:val="0"/>
                <w:szCs w:val="21"/>
              </w:rPr>
            </w:pPr>
            <w:r w:rsidRPr="002804B2">
              <w:rPr>
                <w:rFonts w:asciiTheme="minorEastAsia" w:eastAsiaTheme="minorEastAsia" w:hAnsiTheme="minorEastAsia" w:cs="Arial" w:hint="eastAsia"/>
                <w:kern w:val="0"/>
                <w:szCs w:val="21"/>
              </w:rPr>
              <w:t>项</w:t>
            </w:r>
            <w:r>
              <w:rPr>
                <w:rFonts w:asciiTheme="minorEastAsia" w:eastAsiaTheme="minorEastAsia" w:hAnsiTheme="minorEastAsia" w:cs="Arial" w:hint="eastAsia"/>
                <w:kern w:val="0"/>
                <w:szCs w:val="21"/>
              </w:rPr>
              <w:t xml:space="preserve"> </w:t>
            </w:r>
            <w:r w:rsidRPr="002804B2">
              <w:rPr>
                <w:rFonts w:asciiTheme="minorEastAsia" w:eastAsiaTheme="minorEastAsia" w:hAnsiTheme="minorEastAsia" w:cs="Arial" w:hint="eastAsia"/>
                <w:kern w:val="0"/>
                <w:szCs w:val="21"/>
              </w:rPr>
              <w:t>目</w:t>
            </w:r>
          </w:p>
        </w:tc>
        <w:tc>
          <w:tcPr>
            <w:tcW w:w="6257" w:type="dxa"/>
            <w:gridSpan w:val="3"/>
            <w:shd w:val="clear" w:color="auto" w:fill="auto"/>
            <w:noWrap/>
            <w:vAlign w:val="center"/>
            <w:hideMark/>
          </w:tcPr>
          <w:p w:rsidR="00D83956" w:rsidRPr="002804B2" w:rsidRDefault="00D83956" w:rsidP="00730903">
            <w:pPr>
              <w:widowControl/>
              <w:spacing w:line="400" w:lineRule="exact"/>
              <w:jc w:val="center"/>
              <w:rPr>
                <w:rFonts w:asciiTheme="minorEastAsia" w:eastAsiaTheme="minorEastAsia" w:hAnsiTheme="minorEastAsia" w:cs="Arial"/>
                <w:kern w:val="0"/>
                <w:szCs w:val="21"/>
              </w:rPr>
            </w:pPr>
            <w:r w:rsidRPr="002804B2">
              <w:rPr>
                <w:rFonts w:asciiTheme="minorEastAsia" w:eastAsiaTheme="minorEastAsia" w:hAnsiTheme="minorEastAsia" w:cs="Arial" w:hint="eastAsia"/>
                <w:kern w:val="0"/>
                <w:szCs w:val="21"/>
              </w:rPr>
              <w:t>2022年12月31日</w:t>
            </w:r>
          </w:p>
        </w:tc>
      </w:tr>
      <w:tr w:rsidR="00D83956" w:rsidRPr="002804B2" w:rsidTr="00730903">
        <w:trPr>
          <w:trHeight w:val="20"/>
        </w:trPr>
        <w:tc>
          <w:tcPr>
            <w:tcW w:w="2423" w:type="dxa"/>
            <w:vMerge/>
            <w:vAlign w:val="center"/>
            <w:hideMark/>
          </w:tcPr>
          <w:p w:rsidR="00D83956" w:rsidRPr="002804B2" w:rsidRDefault="00D83956" w:rsidP="00730903">
            <w:pPr>
              <w:widowControl/>
              <w:spacing w:line="400" w:lineRule="exact"/>
              <w:rPr>
                <w:rFonts w:asciiTheme="minorEastAsia" w:eastAsiaTheme="minorEastAsia" w:hAnsiTheme="minorEastAsia" w:cs="Arial"/>
                <w:kern w:val="0"/>
                <w:szCs w:val="21"/>
              </w:rPr>
            </w:pPr>
          </w:p>
        </w:tc>
        <w:tc>
          <w:tcPr>
            <w:tcW w:w="2268" w:type="dxa"/>
            <w:shd w:val="clear" w:color="auto" w:fill="auto"/>
            <w:noWrap/>
            <w:vAlign w:val="center"/>
            <w:hideMark/>
          </w:tcPr>
          <w:p w:rsidR="00D83956" w:rsidRPr="002804B2" w:rsidRDefault="00D83956" w:rsidP="00730903">
            <w:pPr>
              <w:widowControl/>
              <w:spacing w:line="400" w:lineRule="exact"/>
              <w:jc w:val="center"/>
              <w:rPr>
                <w:rFonts w:asciiTheme="minorEastAsia" w:eastAsiaTheme="minorEastAsia" w:hAnsiTheme="minorEastAsia" w:cs="Arial"/>
                <w:kern w:val="0"/>
                <w:szCs w:val="21"/>
              </w:rPr>
            </w:pPr>
            <w:r w:rsidRPr="002804B2">
              <w:rPr>
                <w:rFonts w:asciiTheme="minorEastAsia" w:eastAsiaTheme="minorEastAsia" w:hAnsiTheme="minorEastAsia" w:cs="Arial" w:hint="eastAsia"/>
                <w:kern w:val="0"/>
                <w:szCs w:val="21"/>
              </w:rPr>
              <w:t>更正前</w:t>
            </w:r>
          </w:p>
        </w:tc>
        <w:tc>
          <w:tcPr>
            <w:tcW w:w="2093" w:type="dxa"/>
            <w:shd w:val="clear" w:color="auto" w:fill="auto"/>
            <w:noWrap/>
            <w:vAlign w:val="center"/>
            <w:hideMark/>
          </w:tcPr>
          <w:p w:rsidR="00D83956" w:rsidRPr="002804B2" w:rsidRDefault="00D83956" w:rsidP="00730903">
            <w:pPr>
              <w:widowControl/>
              <w:spacing w:line="400" w:lineRule="exact"/>
              <w:jc w:val="center"/>
              <w:rPr>
                <w:rFonts w:asciiTheme="minorEastAsia" w:eastAsiaTheme="minorEastAsia" w:hAnsiTheme="minorEastAsia" w:cs="Arial"/>
                <w:kern w:val="0"/>
                <w:szCs w:val="21"/>
              </w:rPr>
            </w:pPr>
            <w:r w:rsidRPr="002804B2">
              <w:rPr>
                <w:rFonts w:asciiTheme="minorEastAsia" w:eastAsiaTheme="minorEastAsia" w:hAnsiTheme="minorEastAsia" w:cs="Arial" w:hint="eastAsia"/>
                <w:kern w:val="0"/>
                <w:szCs w:val="21"/>
              </w:rPr>
              <w:t>更正金额</w:t>
            </w:r>
          </w:p>
        </w:tc>
        <w:tc>
          <w:tcPr>
            <w:tcW w:w="1896" w:type="dxa"/>
            <w:shd w:val="clear" w:color="auto" w:fill="auto"/>
            <w:noWrap/>
            <w:vAlign w:val="center"/>
            <w:hideMark/>
          </w:tcPr>
          <w:p w:rsidR="00D83956" w:rsidRPr="002804B2" w:rsidRDefault="00D83956" w:rsidP="00730903">
            <w:pPr>
              <w:widowControl/>
              <w:spacing w:line="400" w:lineRule="exact"/>
              <w:jc w:val="center"/>
              <w:rPr>
                <w:rFonts w:asciiTheme="minorEastAsia" w:eastAsiaTheme="minorEastAsia" w:hAnsiTheme="minorEastAsia" w:cs="Arial"/>
                <w:kern w:val="0"/>
                <w:szCs w:val="21"/>
              </w:rPr>
            </w:pPr>
            <w:r w:rsidRPr="002804B2">
              <w:rPr>
                <w:rFonts w:asciiTheme="minorEastAsia" w:eastAsiaTheme="minorEastAsia" w:hAnsiTheme="minorEastAsia" w:cs="Arial" w:hint="eastAsia"/>
                <w:kern w:val="0"/>
                <w:szCs w:val="21"/>
              </w:rPr>
              <w:t>更正后</w:t>
            </w:r>
          </w:p>
        </w:tc>
      </w:tr>
      <w:tr w:rsidR="00D83956" w:rsidRPr="00674920" w:rsidTr="00730903">
        <w:trPr>
          <w:trHeight w:val="20"/>
        </w:trPr>
        <w:tc>
          <w:tcPr>
            <w:tcW w:w="2423" w:type="dxa"/>
            <w:shd w:val="clear" w:color="000000" w:fill="FFFFFF"/>
            <w:vAlign w:val="center"/>
            <w:hideMark/>
          </w:tcPr>
          <w:p w:rsidR="00D83956" w:rsidRPr="00E82F60" w:rsidRDefault="00D83956" w:rsidP="00730903">
            <w:pPr>
              <w:widowControl/>
              <w:spacing w:line="400" w:lineRule="exact"/>
              <w:rPr>
                <w:rFonts w:asciiTheme="minorEastAsia" w:eastAsiaTheme="minorEastAsia" w:hAnsiTheme="minorEastAsia" w:cs="Arial"/>
                <w:kern w:val="0"/>
                <w:szCs w:val="21"/>
              </w:rPr>
            </w:pPr>
            <w:r w:rsidRPr="00E82F60">
              <w:rPr>
                <w:rFonts w:asciiTheme="minorEastAsia" w:eastAsiaTheme="minorEastAsia" w:hAnsiTheme="minorEastAsia" w:cs="Arial" w:hint="eastAsia"/>
                <w:kern w:val="0"/>
                <w:szCs w:val="21"/>
              </w:rPr>
              <w:t>长期股权投资</w:t>
            </w:r>
          </w:p>
        </w:tc>
        <w:tc>
          <w:tcPr>
            <w:tcW w:w="2268" w:type="dxa"/>
            <w:shd w:val="clear" w:color="auto" w:fill="auto"/>
            <w:noWrap/>
            <w:vAlign w:val="center"/>
            <w:hideMark/>
          </w:tcPr>
          <w:p w:rsidR="00D83956" w:rsidRPr="009C11F1" w:rsidRDefault="00D83956" w:rsidP="00730903">
            <w:pPr>
              <w:widowControl/>
              <w:spacing w:line="400" w:lineRule="exact"/>
              <w:jc w:val="right"/>
              <w:rPr>
                <w:rFonts w:asciiTheme="minorEastAsia" w:eastAsiaTheme="minorEastAsia" w:hAnsiTheme="minorEastAsia" w:cs="Arial"/>
                <w:kern w:val="0"/>
                <w:szCs w:val="21"/>
              </w:rPr>
            </w:pPr>
            <w:r w:rsidRPr="009C11F1">
              <w:rPr>
                <w:rFonts w:asciiTheme="minorEastAsia" w:eastAsiaTheme="minorEastAsia" w:hAnsiTheme="minorEastAsia" w:cs="Arial" w:hint="eastAsia"/>
                <w:kern w:val="0"/>
                <w:szCs w:val="21"/>
              </w:rPr>
              <w:t>3,604,952,680.26</w:t>
            </w:r>
          </w:p>
        </w:tc>
        <w:tc>
          <w:tcPr>
            <w:tcW w:w="2093" w:type="dxa"/>
            <w:shd w:val="clear" w:color="000000" w:fill="FFFFFF"/>
            <w:vAlign w:val="center"/>
          </w:tcPr>
          <w:p w:rsidR="00D83956" w:rsidRPr="00D83956" w:rsidRDefault="00D83956" w:rsidP="00730903">
            <w:pPr>
              <w:widowControl/>
              <w:spacing w:line="400" w:lineRule="exact"/>
              <w:jc w:val="right"/>
              <w:rPr>
                <w:rFonts w:asciiTheme="minorEastAsia" w:eastAsiaTheme="minorEastAsia" w:hAnsiTheme="minorEastAsia" w:cs="Arial"/>
                <w:kern w:val="0"/>
                <w:szCs w:val="21"/>
              </w:rPr>
            </w:pPr>
            <w:r w:rsidRPr="00D83956">
              <w:rPr>
                <w:rFonts w:asciiTheme="minorEastAsia" w:eastAsiaTheme="minorEastAsia" w:hAnsiTheme="minorEastAsia" w:cs="Arial"/>
                <w:kern w:val="0"/>
                <w:szCs w:val="21"/>
              </w:rPr>
              <w:t>6,132,551.61</w:t>
            </w:r>
          </w:p>
        </w:tc>
        <w:tc>
          <w:tcPr>
            <w:tcW w:w="1896" w:type="dxa"/>
            <w:shd w:val="clear" w:color="auto" w:fill="auto"/>
            <w:noWrap/>
            <w:vAlign w:val="center"/>
            <w:hideMark/>
          </w:tcPr>
          <w:p w:rsidR="00D83956" w:rsidRPr="00D83956" w:rsidRDefault="00D83956" w:rsidP="00730903">
            <w:pPr>
              <w:widowControl/>
              <w:spacing w:line="400" w:lineRule="exact"/>
              <w:jc w:val="right"/>
              <w:rPr>
                <w:rFonts w:asciiTheme="minorEastAsia" w:eastAsiaTheme="minorEastAsia" w:hAnsiTheme="minorEastAsia" w:cs="Arial"/>
                <w:kern w:val="0"/>
                <w:szCs w:val="21"/>
              </w:rPr>
            </w:pPr>
            <w:r w:rsidRPr="00D83956">
              <w:rPr>
                <w:rFonts w:asciiTheme="minorEastAsia" w:eastAsiaTheme="minorEastAsia" w:hAnsiTheme="minorEastAsia" w:cs="Arial"/>
                <w:kern w:val="0"/>
                <w:szCs w:val="21"/>
              </w:rPr>
              <w:t>3,611,085,231.87</w:t>
            </w:r>
          </w:p>
        </w:tc>
      </w:tr>
      <w:tr w:rsidR="00D83956" w:rsidRPr="002804B2" w:rsidTr="00730903">
        <w:trPr>
          <w:trHeight w:val="20"/>
        </w:trPr>
        <w:tc>
          <w:tcPr>
            <w:tcW w:w="2423" w:type="dxa"/>
            <w:shd w:val="clear" w:color="000000" w:fill="FFFFFF"/>
            <w:vAlign w:val="center"/>
            <w:hideMark/>
          </w:tcPr>
          <w:p w:rsidR="00D83956" w:rsidRPr="00E82F60" w:rsidRDefault="00D83956" w:rsidP="00730903">
            <w:pPr>
              <w:widowControl/>
              <w:spacing w:line="400" w:lineRule="exact"/>
              <w:rPr>
                <w:rFonts w:asciiTheme="minorEastAsia" w:eastAsiaTheme="minorEastAsia" w:hAnsiTheme="minorEastAsia" w:cs="Arial"/>
                <w:kern w:val="0"/>
                <w:szCs w:val="21"/>
              </w:rPr>
            </w:pPr>
            <w:r w:rsidRPr="00E82F60">
              <w:rPr>
                <w:rFonts w:asciiTheme="minorEastAsia" w:eastAsiaTheme="minorEastAsia" w:hAnsiTheme="minorEastAsia" w:cs="Arial" w:hint="eastAsia"/>
                <w:kern w:val="0"/>
                <w:szCs w:val="21"/>
              </w:rPr>
              <w:t>非流动资产合计</w:t>
            </w:r>
          </w:p>
        </w:tc>
        <w:tc>
          <w:tcPr>
            <w:tcW w:w="2268" w:type="dxa"/>
            <w:shd w:val="clear" w:color="000000" w:fill="FFFFFF"/>
            <w:vAlign w:val="center"/>
            <w:hideMark/>
          </w:tcPr>
          <w:p w:rsidR="00D83956" w:rsidRPr="009C11F1" w:rsidRDefault="00D83956" w:rsidP="00730903">
            <w:pPr>
              <w:widowControl/>
              <w:spacing w:line="400" w:lineRule="exact"/>
              <w:jc w:val="right"/>
              <w:rPr>
                <w:rFonts w:asciiTheme="minorEastAsia" w:eastAsiaTheme="minorEastAsia" w:hAnsiTheme="minorEastAsia" w:cs="Arial"/>
                <w:kern w:val="0"/>
                <w:szCs w:val="21"/>
              </w:rPr>
            </w:pPr>
            <w:r w:rsidRPr="009C11F1">
              <w:rPr>
                <w:rFonts w:asciiTheme="minorEastAsia" w:eastAsiaTheme="minorEastAsia" w:hAnsiTheme="minorEastAsia" w:cs="Arial" w:hint="eastAsia"/>
                <w:kern w:val="0"/>
                <w:szCs w:val="21"/>
              </w:rPr>
              <w:t>4,802,259,124.05</w:t>
            </w:r>
          </w:p>
        </w:tc>
        <w:tc>
          <w:tcPr>
            <w:tcW w:w="2093" w:type="dxa"/>
            <w:shd w:val="clear" w:color="000000" w:fill="FFFFFF"/>
            <w:vAlign w:val="center"/>
            <w:hideMark/>
          </w:tcPr>
          <w:p w:rsidR="00D83956" w:rsidRPr="00D83956" w:rsidRDefault="00D83956" w:rsidP="00730903">
            <w:pPr>
              <w:widowControl/>
              <w:spacing w:line="400" w:lineRule="exact"/>
              <w:jc w:val="right"/>
              <w:rPr>
                <w:rFonts w:asciiTheme="minorEastAsia" w:eastAsiaTheme="minorEastAsia" w:hAnsiTheme="minorEastAsia" w:cs="Arial"/>
                <w:kern w:val="0"/>
                <w:szCs w:val="21"/>
              </w:rPr>
            </w:pPr>
            <w:r w:rsidRPr="00D83956">
              <w:rPr>
                <w:rFonts w:asciiTheme="minorEastAsia" w:eastAsiaTheme="minorEastAsia" w:hAnsiTheme="minorEastAsia" w:cs="Arial"/>
                <w:kern w:val="0"/>
                <w:szCs w:val="21"/>
              </w:rPr>
              <w:t>6,132,551.61</w:t>
            </w:r>
          </w:p>
        </w:tc>
        <w:tc>
          <w:tcPr>
            <w:tcW w:w="1896" w:type="dxa"/>
            <w:shd w:val="clear" w:color="auto" w:fill="auto"/>
            <w:noWrap/>
            <w:vAlign w:val="center"/>
            <w:hideMark/>
          </w:tcPr>
          <w:p w:rsidR="00D83956" w:rsidRPr="00D83956" w:rsidRDefault="00D83956" w:rsidP="00730903">
            <w:pPr>
              <w:widowControl/>
              <w:spacing w:line="400" w:lineRule="exact"/>
              <w:jc w:val="right"/>
              <w:rPr>
                <w:rFonts w:asciiTheme="minorEastAsia" w:eastAsiaTheme="minorEastAsia" w:hAnsiTheme="minorEastAsia" w:cs="Arial"/>
                <w:kern w:val="0"/>
                <w:szCs w:val="21"/>
              </w:rPr>
            </w:pPr>
            <w:r w:rsidRPr="00D83956">
              <w:rPr>
                <w:rFonts w:asciiTheme="minorEastAsia" w:eastAsiaTheme="minorEastAsia" w:hAnsiTheme="minorEastAsia" w:cs="Arial"/>
                <w:kern w:val="0"/>
                <w:szCs w:val="21"/>
              </w:rPr>
              <w:t>4,808,391,675.66</w:t>
            </w:r>
          </w:p>
        </w:tc>
      </w:tr>
      <w:tr w:rsidR="00D83956" w:rsidRPr="00A76938" w:rsidTr="00730903">
        <w:trPr>
          <w:trHeight w:val="20"/>
        </w:trPr>
        <w:tc>
          <w:tcPr>
            <w:tcW w:w="2423" w:type="dxa"/>
            <w:shd w:val="clear" w:color="000000" w:fill="FFFFFF"/>
            <w:vAlign w:val="center"/>
            <w:hideMark/>
          </w:tcPr>
          <w:p w:rsidR="00D83956" w:rsidRPr="00E82F60" w:rsidRDefault="00D83956" w:rsidP="00730903">
            <w:pPr>
              <w:widowControl/>
              <w:spacing w:line="400" w:lineRule="exact"/>
              <w:rPr>
                <w:rFonts w:asciiTheme="minorEastAsia" w:eastAsiaTheme="minorEastAsia" w:hAnsiTheme="minorEastAsia" w:cs="Arial"/>
                <w:kern w:val="0"/>
                <w:szCs w:val="21"/>
              </w:rPr>
            </w:pPr>
            <w:r w:rsidRPr="00E82F60">
              <w:rPr>
                <w:rFonts w:asciiTheme="minorEastAsia" w:eastAsiaTheme="minorEastAsia" w:hAnsiTheme="minorEastAsia" w:cs="Arial" w:hint="eastAsia"/>
                <w:kern w:val="0"/>
                <w:szCs w:val="21"/>
              </w:rPr>
              <w:t>资产总计</w:t>
            </w:r>
          </w:p>
        </w:tc>
        <w:tc>
          <w:tcPr>
            <w:tcW w:w="2268" w:type="dxa"/>
            <w:shd w:val="clear" w:color="000000" w:fill="FFFFFF"/>
            <w:vAlign w:val="center"/>
            <w:hideMark/>
          </w:tcPr>
          <w:p w:rsidR="00D83956" w:rsidRPr="009C11F1" w:rsidRDefault="00D83956" w:rsidP="00730903">
            <w:pPr>
              <w:widowControl/>
              <w:spacing w:line="400" w:lineRule="exact"/>
              <w:jc w:val="right"/>
              <w:rPr>
                <w:rFonts w:asciiTheme="minorEastAsia" w:eastAsiaTheme="minorEastAsia" w:hAnsiTheme="minorEastAsia" w:cs="Arial"/>
                <w:kern w:val="0"/>
                <w:szCs w:val="21"/>
              </w:rPr>
            </w:pPr>
            <w:r w:rsidRPr="009C11F1">
              <w:rPr>
                <w:rFonts w:asciiTheme="minorEastAsia" w:eastAsiaTheme="minorEastAsia" w:hAnsiTheme="minorEastAsia" w:cs="Arial" w:hint="eastAsia"/>
                <w:kern w:val="0"/>
                <w:szCs w:val="21"/>
              </w:rPr>
              <w:t>6,387,934,828.61</w:t>
            </w:r>
          </w:p>
        </w:tc>
        <w:tc>
          <w:tcPr>
            <w:tcW w:w="2093" w:type="dxa"/>
            <w:shd w:val="clear" w:color="000000" w:fill="FFFFFF"/>
            <w:vAlign w:val="center"/>
            <w:hideMark/>
          </w:tcPr>
          <w:p w:rsidR="00D83956" w:rsidRPr="00D83956" w:rsidRDefault="00D83956" w:rsidP="00730903">
            <w:pPr>
              <w:widowControl/>
              <w:spacing w:line="400" w:lineRule="exact"/>
              <w:jc w:val="right"/>
              <w:rPr>
                <w:rFonts w:asciiTheme="minorEastAsia" w:eastAsiaTheme="minorEastAsia" w:hAnsiTheme="minorEastAsia" w:cs="Arial"/>
                <w:kern w:val="0"/>
                <w:szCs w:val="21"/>
              </w:rPr>
            </w:pPr>
            <w:r w:rsidRPr="00D83956">
              <w:rPr>
                <w:rFonts w:asciiTheme="minorEastAsia" w:eastAsiaTheme="minorEastAsia" w:hAnsiTheme="minorEastAsia" w:cs="Arial"/>
                <w:kern w:val="0"/>
                <w:szCs w:val="21"/>
              </w:rPr>
              <w:t>6,132,551.61</w:t>
            </w:r>
          </w:p>
        </w:tc>
        <w:tc>
          <w:tcPr>
            <w:tcW w:w="1896" w:type="dxa"/>
            <w:shd w:val="clear" w:color="auto" w:fill="auto"/>
            <w:noWrap/>
            <w:vAlign w:val="center"/>
            <w:hideMark/>
          </w:tcPr>
          <w:p w:rsidR="00D83956" w:rsidRPr="00D83956" w:rsidRDefault="00D83956" w:rsidP="00730903">
            <w:pPr>
              <w:widowControl/>
              <w:spacing w:line="400" w:lineRule="exact"/>
              <w:jc w:val="right"/>
              <w:rPr>
                <w:rFonts w:asciiTheme="minorEastAsia" w:eastAsiaTheme="minorEastAsia" w:hAnsiTheme="minorEastAsia" w:cs="Arial"/>
                <w:kern w:val="0"/>
                <w:szCs w:val="21"/>
              </w:rPr>
            </w:pPr>
            <w:r w:rsidRPr="00D83956">
              <w:rPr>
                <w:rFonts w:asciiTheme="minorEastAsia" w:eastAsiaTheme="minorEastAsia" w:hAnsiTheme="minorEastAsia" w:cs="Arial"/>
                <w:kern w:val="0"/>
                <w:szCs w:val="21"/>
              </w:rPr>
              <w:t>6,394,067,380.22</w:t>
            </w:r>
          </w:p>
        </w:tc>
      </w:tr>
      <w:tr w:rsidR="00D83956" w:rsidRPr="00674920" w:rsidTr="00730903">
        <w:trPr>
          <w:trHeight w:val="20"/>
        </w:trPr>
        <w:tc>
          <w:tcPr>
            <w:tcW w:w="2423" w:type="dxa"/>
            <w:shd w:val="clear" w:color="000000" w:fill="FFFFFF"/>
            <w:vAlign w:val="center"/>
            <w:hideMark/>
          </w:tcPr>
          <w:p w:rsidR="00D83956" w:rsidRPr="00E82F60" w:rsidRDefault="00D83956" w:rsidP="00730903">
            <w:pPr>
              <w:widowControl/>
              <w:spacing w:line="400" w:lineRule="exact"/>
              <w:rPr>
                <w:rFonts w:asciiTheme="minorEastAsia" w:eastAsiaTheme="minorEastAsia" w:hAnsiTheme="minorEastAsia" w:cs="Arial"/>
                <w:kern w:val="0"/>
                <w:szCs w:val="21"/>
              </w:rPr>
            </w:pPr>
            <w:r w:rsidRPr="00E82F60">
              <w:rPr>
                <w:rFonts w:asciiTheme="minorEastAsia" w:eastAsiaTheme="minorEastAsia" w:hAnsiTheme="minorEastAsia" w:cs="Arial" w:hint="eastAsia"/>
                <w:kern w:val="0"/>
                <w:szCs w:val="21"/>
              </w:rPr>
              <w:t>资本公积</w:t>
            </w:r>
          </w:p>
        </w:tc>
        <w:tc>
          <w:tcPr>
            <w:tcW w:w="2268" w:type="dxa"/>
            <w:shd w:val="clear" w:color="auto" w:fill="auto"/>
            <w:noWrap/>
            <w:vAlign w:val="center"/>
            <w:hideMark/>
          </w:tcPr>
          <w:p w:rsidR="00D83956" w:rsidRPr="009C11F1" w:rsidRDefault="00D83956" w:rsidP="00730903">
            <w:pPr>
              <w:widowControl/>
              <w:spacing w:line="400" w:lineRule="exact"/>
              <w:jc w:val="right"/>
              <w:rPr>
                <w:rFonts w:asciiTheme="minorEastAsia" w:eastAsiaTheme="minorEastAsia" w:hAnsiTheme="minorEastAsia" w:cs="Arial"/>
                <w:kern w:val="0"/>
                <w:szCs w:val="21"/>
              </w:rPr>
            </w:pPr>
            <w:r w:rsidRPr="009C11F1">
              <w:rPr>
                <w:rFonts w:asciiTheme="minorEastAsia" w:eastAsiaTheme="minorEastAsia" w:hAnsiTheme="minorEastAsia" w:cs="Arial" w:hint="eastAsia"/>
                <w:kern w:val="0"/>
                <w:szCs w:val="21"/>
              </w:rPr>
              <w:t>391,063,918.14</w:t>
            </w:r>
          </w:p>
        </w:tc>
        <w:tc>
          <w:tcPr>
            <w:tcW w:w="2093" w:type="dxa"/>
            <w:shd w:val="clear" w:color="000000" w:fill="FFFFFF"/>
            <w:vAlign w:val="center"/>
            <w:hideMark/>
          </w:tcPr>
          <w:p w:rsidR="00D83956" w:rsidRPr="00D83956" w:rsidRDefault="00D83956" w:rsidP="00730903">
            <w:pPr>
              <w:widowControl/>
              <w:spacing w:line="400" w:lineRule="exact"/>
              <w:jc w:val="right"/>
              <w:rPr>
                <w:rFonts w:asciiTheme="minorEastAsia" w:eastAsiaTheme="minorEastAsia" w:hAnsiTheme="minorEastAsia" w:cs="Arial"/>
                <w:kern w:val="0"/>
                <w:szCs w:val="21"/>
              </w:rPr>
            </w:pPr>
            <w:r w:rsidRPr="00D83956">
              <w:rPr>
                <w:rFonts w:asciiTheme="minorEastAsia" w:eastAsiaTheme="minorEastAsia" w:hAnsiTheme="minorEastAsia" w:cs="Arial"/>
                <w:kern w:val="0"/>
                <w:szCs w:val="21"/>
              </w:rPr>
              <w:t>-7,247,575.08</w:t>
            </w:r>
          </w:p>
        </w:tc>
        <w:tc>
          <w:tcPr>
            <w:tcW w:w="1896" w:type="dxa"/>
            <w:shd w:val="clear" w:color="auto" w:fill="auto"/>
            <w:noWrap/>
            <w:vAlign w:val="center"/>
            <w:hideMark/>
          </w:tcPr>
          <w:p w:rsidR="00D83956" w:rsidRPr="00D83956" w:rsidRDefault="00D83956" w:rsidP="00730903">
            <w:pPr>
              <w:widowControl/>
              <w:spacing w:line="400" w:lineRule="exact"/>
              <w:jc w:val="right"/>
              <w:rPr>
                <w:rFonts w:asciiTheme="minorEastAsia" w:eastAsiaTheme="minorEastAsia" w:hAnsiTheme="minorEastAsia" w:cs="Arial"/>
                <w:kern w:val="0"/>
                <w:szCs w:val="21"/>
              </w:rPr>
            </w:pPr>
            <w:r w:rsidRPr="00D83956">
              <w:rPr>
                <w:rFonts w:asciiTheme="minorEastAsia" w:eastAsiaTheme="minorEastAsia" w:hAnsiTheme="minorEastAsia" w:cs="Arial"/>
                <w:kern w:val="0"/>
                <w:szCs w:val="21"/>
              </w:rPr>
              <w:t>383,816,343.06</w:t>
            </w:r>
          </w:p>
        </w:tc>
      </w:tr>
      <w:tr w:rsidR="00D83956" w:rsidRPr="00674920" w:rsidTr="00730903">
        <w:trPr>
          <w:trHeight w:val="20"/>
        </w:trPr>
        <w:tc>
          <w:tcPr>
            <w:tcW w:w="2423" w:type="dxa"/>
            <w:shd w:val="clear" w:color="000000" w:fill="FFFFFF"/>
            <w:vAlign w:val="center"/>
            <w:hideMark/>
          </w:tcPr>
          <w:p w:rsidR="00D83956" w:rsidRPr="00E82F60" w:rsidRDefault="00D83956" w:rsidP="00730903">
            <w:pPr>
              <w:widowControl/>
              <w:spacing w:line="400" w:lineRule="exact"/>
              <w:rPr>
                <w:rFonts w:asciiTheme="minorEastAsia" w:eastAsiaTheme="minorEastAsia" w:hAnsiTheme="minorEastAsia" w:cs="Arial"/>
                <w:kern w:val="0"/>
                <w:szCs w:val="21"/>
              </w:rPr>
            </w:pPr>
            <w:r w:rsidRPr="00E82F60">
              <w:rPr>
                <w:rFonts w:asciiTheme="minorEastAsia" w:eastAsiaTheme="minorEastAsia" w:hAnsiTheme="minorEastAsia" w:cs="Arial" w:hint="eastAsia"/>
                <w:kern w:val="0"/>
                <w:szCs w:val="21"/>
              </w:rPr>
              <w:t>其他综合收益</w:t>
            </w:r>
          </w:p>
        </w:tc>
        <w:tc>
          <w:tcPr>
            <w:tcW w:w="2268" w:type="dxa"/>
            <w:shd w:val="clear" w:color="auto" w:fill="auto"/>
            <w:noWrap/>
            <w:vAlign w:val="center"/>
            <w:hideMark/>
          </w:tcPr>
          <w:p w:rsidR="00D83956" w:rsidRPr="009C11F1" w:rsidRDefault="00D83956" w:rsidP="00730903">
            <w:pPr>
              <w:widowControl/>
              <w:spacing w:line="400" w:lineRule="exact"/>
              <w:jc w:val="right"/>
              <w:rPr>
                <w:rFonts w:asciiTheme="minorEastAsia" w:eastAsiaTheme="minorEastAsia" w:hAnsiTheme="minorEastAsia" w:cs="Arial"/>
                <w:kern w:val="0"/>
                <w:szCs w:val="21"/>
              </w:rPr>
            </w:pPr>
            <w:r w:rsidRPr="009C11F1">
              <w:rPr>
                <w:rFonts w:asciiTheme="minorEastAsia" w:eastAsiaTheme="minorEastAsia" w:hAnsiTheme="minorEastAsia" w:cs="Arial" w:hint="eastAsia"/>
                <w:kern w:val="0"/>
                <w:szCs w:val="21"/>
              </w:rPr>
              <w:t>-20,801,622.91</w:t>
            </w:r>
          </w:p>
        </w:tc>
        <w:tc>
          <w:tcPr>
            <w:tcW w:w="2093" w:type="dxa"/>
            <w:shd w:val="clear" w:color="000000" w:fill="FFFFFF"/>
            <w:vAlign w:val="center"/>
            <w:hideMark/>
          </w:tcPr>
          <w:p w:rsidR="00D83956" w:rsidRPr="00D83956" w:rsidRDefault="00D83956" w:rsidP="00730903">
            <w:pPr>
              <w:widowControl/>
              <w:spacing w:line="400" w:lineRule="exact"/>
              <w:jc w:val="right"/>
              <w:rPr>
                <w:rFonts w:asciiTheme="minorEastAsia" w:eastAsiaTheme="minorEastAsia" w:hAnsiTheme="minorEastAsia" w:cs="Arial"/>
                <w:kern w:val="0"/>
                <w:szCs w:val="21"/>
              </w:rPr>
            </w:pPr>
            <w:r w:rsidRPr="00D83956">
              <w:rPr>
                <w:rFonts w:asciiTheme="minorEastAsia" w:eastAsiaTheme="minorEastAsia" w:hAnsiTheme="minorEastAsia" w:cs="Arial"/>
                <w:kern w:val="0"/>
                <w:szCs w:val="21"/>
              </w:rPr>
              <w:t>34,099,497.84</w:t>
            </w:r>
          </w:p>
        </w:tc>
        <w:tc>
          <w:tcPr>
            <w:tcW w:w="1896" w:type="dxa"/>
            <w:shd w:val="clear" w:color="auto" w:fill="auto"/>
            <w:noWrap/>
            <w:vAlign w:val="center"/>
            <w:hideMark/>
          </w:tcPr>
          <w:p w:rsidR="00D83956" w:rsidRPr="00D83956" w:rsidRDefault="00D83956" w:rsidP="00730903">
            <w:pPr>
              <w:widowControl/>
              <w:spacing w:line="400" w:lineRule="exact"/>
              <w:jc w:val="right"/>
              <w:rPr>
                <w:rFonts w:asciiTheme="minorEastAsia" w:eastAsiaTheme="minorEastAsia" w:hAnsiTheme="minorEastAsia" w:cs="Arial"/>
                <w:kern w:val="0"/>
                <w:szCs w:val="21"/>
              </w:rPr>
            </w:pPr>
            <w:r w:rsidRPr="00D83956">
              <w:rPr>
                <w:rFonts w:asciiTheme="minorEastAsia" w:eastAsiaTheme="minorEastAsia" w:hAnsiTheme="minorEastAsia" w:cs="Arial"/>
                <w:kern w:val="0"/>
                <w:szCs w:val="21"/>
              </w:rPr>
              <w:t>13,297,874.93</w:t>
            </w:r>
          </w:p>
        </w:tc>
      </w:tr>
      <w:tr w:rsidR="00D83956" w:rsidRPr="00674920" w:rsidTr="00730903">
        <w:trPr>
          <w:trHeight w:val="20"/>
        </w:trPr>
        <w:tc>
          <w:tcPr>
            <w:tcW w:w="2423" w:type="dxa"/>
            <w:shd w:val="clear" w:color="000000" w:fill="FFFFFF"/>
            <w:vAlign w:val="center"/>
            <w:hideMark/>
          </w:tcPr>
          <w:p w:rsidR="00D83956" w:rsidRPr="00E82F60" w:rsidRDefault="00D83956" w:rsidP="00730903">
            <w:pPr>
              <w:widowControl/>
              <w:spacing w:line="400" w:lineRule="exact"/>
              <w:rPr>
                <w:rFonts w:asciiTheme="minorEastAsia" w:eastAsiaTheme="minorEastAsia" w:hAnsiTheme="minorEastAsia" w:cs="Arial"/>
                <w:kern w:val="0"/>
                <w:szCs w:val="21"/>
              </w:rPr>
            </w:pPr>
            <w:r w:rsidRPr="00E82F60">
              <w:rPr>
                <w:rFonts w:asciiTheme="minorEastAsia" w:eastAsiaTheme="minorEastAsia" w:hAnsiTheme="minorEastAsia" w:cs="Arial" w:hint="eastAsia"/>
                <w:kern w:val="0"/>
                <w:szCs w:val="21"/>
              </w:rPr>
              <w:t>未分配利润</w:t>
            </w:r>
          </w:p>
        </w:tc>
        <w:tc>
          <w:tcPr>
            <w:tcW w:w="2268" w:type="dxa"/>
            <w:shd w:val="clear" w:color="auto" w:fill="auto"/>
            <w:noWrap/>
            <w:vAlign w:val="center"/>
            <w:hideMark/>
          </w:tcPr>
          <w:p w:rsidR="00D83956" w:rsidRPr="009C11F1" w:rsidRDefault="00D83956" w:rsidP="00730903">
            <w:pPr>
              <w:widowControl/>
              <w:spacing w:line="400" w:lineRule="exact"/>
              <w:jc w:val="right"/>
              <w:rPr>
                <w:rFonts w:asciiTheme="minorEastAsia" w:eastAsiaTheme="minorEastAsia" w:hAnsiTheme="minorEastAsia" w:cs="Arial"/>
                <w:kern w:val="0"/>
                <w:szCs w:val="21"/>
              </w:rPr>
            </w:pPr>
            <w:r w:rsidRPr="009C11F1">
              <w:rPr>
                <w:rFonts w:asciiTheme="minorEastAsia" w:eastAsiaTheme="minorEastAsia" w:hAnsiTheme="minorEastAsia" w:cs="Arial" w:hint="eastAsia"/>
                <w:kern w:val="0"/>
                <w:szCs w:val="21"/>
              </w:rPr>
              <w:t>3,366,413,504.27</w:t>
            </w:r>
          </w:p>
        </w:tc>
        <w:tc>
          <w:tcPr>
            <w:tcW w:w="2093" w:type="dxa"/>
            <w:shd w:val="clear" w:color="000000" w:fill="FFFFFF"/>
            <w:vAlign w:val="center"/>
            <w:hideMark/>
          </w:tcPr>
          <w:p w:rsidR="00D83956" w:rsidRPr="00D83956" w:rsidRDefault="00D83956" w:rsidP="00730903">
            <w:pPr>
              <w:widowControl/>
              <w:spacing w:line="400" w:lineRule="exact"/>
              <w:jc w:val="right"/>
              <w:rPr>
                <w:rFonts w:asciiTheme="minorEastAsia" w:eastAsiaTheme="minorEastAsia" w:hAnsiTheme="minorEastAsia" w:cs="Arial"/>
                <w:kern w:val="0"/>
                <w:szCs w:val="21"/>
              </w:rPr>
            </w:pPr>
            <w:r w:rsidRPr="00D83956">
              <w:rPr>
                <w:rFonts w:asciiTheme="minorEastAsia" w:eastAsiaTheme="minorEastAsia" w:hAnsiTheme="minorEastAsia" w:cs="Arial"/>
                <w:kern w:val="0"/>
                <w:szCs w:val="21"/>
              </w:rPr>
              <w:t>-20,719,371.15</w:t>
            </w:r>
          </w:p>
        </w:tc>
        <w:tc>
          <w:tcPr>
            <w:tcW w:w="1896" w:type="dxa"/>
            <w:shd w:val="clear" w:color="auto" w:fill="auto"/>
            <w:noWrap/>
            <w:vAlign w:val="center"/>
            <w:hideMark/>
          </w:tcPr>
          <w:p w:rsidR="00D83956" w:rsidRPr="00D83956" w:rsidRDefault="00D83956" w:rsidP="00730903">
            <w:pPr>
              <w:widowControl/>
              <w:spacing w:line="400" w:lineRule="exact"/>
              <w:jc w:val="right"/>
              <w:rPr>
                <w:rFonts w:asciiTheme="minorEastAsia" w:eastAsiaTheme="minorEastAsia" w:hAnsiTheme="minorEastAsia" w:cs="Arial"/>
                <w:kern w:val="0"/>
                <w:szCs w:val="21"/>
              </w:rPr>
            </w:pPr>
            <w:r w:rsidRPr="00D83956">
              <w:rPr>
                <w:rFonts w:asciiTheme="minorEastAsia" w:eastAsiaTheme="minorEastAsia" w:hAnsiTheme="minorEastAsia" w:cs="Arial"/>
                <w:kern w:val="0"/>
                <w:szCs w:val="21"/>
              </w:rPr>
              <w:t>3,345,694,133.12</w:t>
            </w:r>
          </w:p>
        </w:tc>
      </w:tr>
      <w:tr w:rsidR="00D83956" w:rsidRPr="00A21C03" w:rsidTr="00730903">
        <w:trPr>
          <w:trHeight w:val="20"/>
        </w:trPr>
        <w:tc>
          <w:tcPr>
            <w:tcW w:w="2423" w:type="dxa"/>
            <w:shd w:val="clear" w:color="000000" w:fill="FFFFFF"/>
            <w:vAlign w:val="center"/>
            <w:hideMark/>
          </w:tcPr>
          <w:p w:rsidR="00D83956" w:rsidRPr="00E82F60" w:rsidRDefault="00D83956" w:rsidP="0021535F">
            <w:pPr>
              <w:widowControl/>
              <w:spacing w:line="400" w:lineRule="exact"/>
              <w:rPr>
                <w:rFonts w:asciiTheme="minorEastAsia" w:eastAsiaTheme="minorEastAsia" w:hAnsiTheme="minorEastAsia" w:cs="Arial"/>
                <w:kern w:val="0"/>
                <w:szCs w:val="21"/>
              </w:rPr>
            </w:pPr>
            <w:r w:rsidRPr="00E82F60">
              <w:rPr>
                <w:rFonts w:asciiTheme="minorEastAsia" w:eastAsiaTheme="minorEastAsia" w:hAnsiTheme="minorEastAsia" w:cs="Arial" w:hint="eastAsia"/>
                <w:kern w:val="0"/>
                <w:szCs w:val="21"/>
              </w:rPr>
              <w:t>归属于母公司</w:t>
            </w:r>
            <w:r w:rsidR="0021535F">
              <w:rPr>
                <w:rFonts w:asciiTheme="minorEastAsia" w:eastAsiaTheme="minorEastAsia" w:hAnsiTheme="minorEastAsia" w:cs="Arial" w:hint="eastAsia"/>
                <w:kern w:val="0"/>
                <w:szCs w:val="21"/>
              </w:rPr>
              <w:t>股东</w:t>
            </w:r>
            <w:r w:rsidRPr="00E82F60">
              <w:rPr>
                <w:rFonts w:asciiTheme="minorEastAsia" w:eastAsiaTheme="minorEastAsia" w:hAnsiTheme="minorEastAsia" w:cs="Arial" w:hint="eastAsia"/>
                <w:kern w:val="0"/>
                <w:szCs w:val="21"/>
              </w:rPr>
              <w:t>权益合计</w:t>
            </w:r>
          </w:p>
        </w:tc>
        <w:tc>
          <w:tcPr>
            <w:tcW w:w="2268" w:type="dxa"/>
            <w:shd w:val="clear" w:color="auto" w:fill="auto"/>
            <w:noWrap/>
            <w:vAlign w:val="center"/>
            <w:hideMark/>
          </w:tcPr>
          <w:p w:rsidR="00D83956" w:rsidRPr="009C11F1" w:rsidRDefault="00D83956" w:rsidP="00730903">
            <w:pPr>
              <w:widowControl/>
              <w:spacing w:line="400" w:lineRule="exact"/>
              <w:jc w:val="right"/>
              <w:rPr>
                <w:rFonts w:asciiTheme="minorEastAsia" w:eastAsiaTheme="minorEastAsia" w:hAnsiTheme="minorEastAsia" w:cs="Arial"/>
                <w:kern w:val="0"/>
                <w:szCs w:val="21"/>
              </w:rPr>
            </w:pPr>
            <w:r w:rsidRPr="009C11F1">
              <w:rPr>
                <w:rFonts w:asciiTheme="minorEastAsia" w:eastAsiaTheme="minorEastAsia" w:hAnsiTheme="minorEastAsia" w:cs="Arial" w:hint="eastAsia"/>
                <w:kern w:val="0"/>
                <w:szCs w:val="21"/>
              </w:rPr>
              <w:t>5,048,026,392.93</w:t>
            </w:r>
          </w:p>
        </w:tc>
        <w:tc>
          <w:tcPr>
            <w:tcW w:w="2093" w:type="dxa"/>
            <w:shd w:val="clear" w:color="000000" w:fill="FFFFFF"/>
            <w:vAlign w:val="center"/>
            <w:hideMark/>
          </w:tcPr>
          <w:p w:rsidR="00D83956" w:rsidRPr="00D83956" w:rsidRDefault="00D83956" w:rsidP="00730903">
            <w:pPr>
              <w:widowControl/>
              <w:spacing w:line="400" w:lineRule="exact"/>
              <w:jc w:val="right"/>
              <w:rPr>
                <w:rFonts w:asciiTheme="minorEastAsia" w:eastAsiaTheme="minorEastAsia" w:hAnsiTheme="minorEastAsia" w:cs="Arial"/>
                <w:kern w:val="0"/>
                <w:szCs w:val="21"/>
              </w:rPr>
            </w:pPr>
            <w:r w:rsidRPr="00D83956">
              <w:rPr>
                <w:rFonts w:asciiTheme="minorEastAsia" w:eastAsiaTheme="minorEastAsia" w:hAnsiTheme="minorEastAsia" w:cs="Arial"/>
                <w:kern w:val="0"/>
                <w:szCs w:val="21"/>
              </w:rPr>
              <w:t>6,132,551.61</w:t>
            </w:r>
          </w:p>
        </w:tc>
        <w:tc>
          <w:tcPr>
            <w:tcW w:w="1896" w:type="dxa"/>
            <w:shd w:val="clear" w:color="auto" w:fill="auto"/>
            <w:noWrap/>
            <w:vAlign w:val="center"/>
            <w:hideMark/>
          </w:tcPr>
          <w:p w:rsidR="00D83956" w:rsidRPr="00D83956" w:rsidRDefault="00D83956" w:rsidP="00730903">
            <w:pPr>
              <w:widowControl/>
              <w:spacing w:line="400" w:lineRule="exact"/>
              <w:jc w:val="right"/>
              <w:rPr>
                <w:rFonts w:asciiTheme="minorEastAsia" w:eastAsiaTheme="minorEastAsia" w:hAnsiTheme="minorEastAsia" w:cs="Arial"/>
                <w:kern w:val="0"/>
                <w:szCs w:val="21"/>
              </w:rPr>
            </w:pPr>
            <w:r w:rsidRPr="00D83956">
              <w:rPr>
                <w:rFonts w:asciiTheme="minorEastAsia" w:eastAsiaTheme="minorEastAsia" w:hAnsiTheme="minorEastAsia" w:cs="Arial"/>
                <w:kern w:val="0"/>
                <w:szCs w:val="21"/>
              </w:rPr>
              <w:t>5,054,158,944.54</w:t>
            </w:r>
          </w:p>
        </w:tc>
      </w:tr>
      <w:tr w:rsidR="00D83956" w:rsidRPr="00A76938" w:rsidTr="00730903">
        <w:trPr>
          <w:trHeight w:val="20"/>
        </w:trPr>
        <w:tc>
          <w:tcPr>
            <w:tcW w:w="2423" w:type="dxa"/>
            <w:shd w:val="clear" w:color="000000" w:fill="FFFFFF"/>
            <w:vAlign w:val="center"/>
            <w:hideMark/>
          </w:tcPr>
          <w:p w:rsidR="00D83956" w:rsidRPr="00E82F60" w:rsidRDefault="0021535F" w:rsidP="00730903">
            <w:pPr>
              <w:widowControl/>
              <w:spacing w:line="400" w:lineRule="exact"/>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股东</w:t>
            </w:r>
            <w:r w:rsidR="00D83956" w:rsidRPr="00E82F60">
              <w:rPr>
                <w:rFonts w:asciiTheme="minorEastAsia" w:eastAsiaTheme="minorEastAsia" w:hAnsiTheme="minorEastAsia" w:cs="Arial" w:hint="eastAsia"/>
                <w:kern w:val="0"/>
                <w:szCs w:val="21"/>
              </w:rPr>
              <w:t>权益合计</w:t>
            </w:r>
          </w:p>
        </w:tc>
        <w:tc>
          <w:tcPr>
            <w:tcW w:w="2268" w:type="dxa"/>
            <w:shd w:val="clear" w:color="auto" w:fill="auto"/>
            <w:noWrap/>
            <w:vAlign w:val="center"/>
            <w:hideMark/>
          </w:tcPr>
          <w:p w:rsidR="00D83956" w:rsidRPr="009C11F1" w:rsidRDefault="00D83956" w:rsidP="00730903">
            <w:pPr>
              <w:widowControl/>
              <w:spacing w:line="400" w:lineRule="exact"/>
              <w:jc w:val="right"/>
              <w:rPr>
                <w:rFonts w:asciiTheme="minorEastAsia" w:eastAsiaTheme="minorEastAsia" w:hAnsiTheme="minorEastAsia" w:cs="Arial"/>
                <w:kern w:val="0"/>
                <w:szCs w:val="21"/>
              </w:rPr>
            </w:pPr>
            <w:r w:rsidRPr="009C11F1">
              <w:rPr>
                <w:rFonts w:asciiTheme="minorEastAsia" w:eastAsiaTheme="minorEastAsia" w:hAnsiTheme="minorEastAsia" w:cs="Arial" w:hint="eastAsia"/>
                <w:kern w:val="0"/>
                <w:szCs w:val="21"/>
              </w:rPr>
              <w:t>5,048,026,392.93</w:t>
            </w:r>
          </w:p>
        </w:tc>
        <w:tc>
          <w:tcPr>
            <w:tcW w:w="2093" w:type="dxa"/>
            <w:shd w:val="clear" w:color="000000" w:fill="FFFFFF"/>
            <w:vAlign w:val="center"/>
            <w:hideMark/>
          </w:tcPr>
          <w:p w:rsidR="00D83956" w:rsidRPr="00D83956" w:rsidRDefault="00D83956" w:rsidP="00730903">
            <w:pPr>
              <w:widowControl/>
              <w:spacing w:line="400" w:lineRule="exact"/>
              <w:jc w:val="right"/>
              <w:rPr>
                <w:rFonts w:asciiTheme="minorEastAsia" w:eastAsiaTheme="minorEastAsia" w:hAnsiTheme="minorEastAsia" w:cs="Arial"/>
                <w:kern w:val="0"/>
                <w:szCs w:val="21"/>
              </w:rPr>
            </w:pPr>
            <w:r w:rsidRPr="00D83956">
              <w:rPr>
                <w:rFonts w:asciiTheme="minorEastAsia" w:eastAsiaTheme="minorEastAsia" w:hAnsiTheme="minorEastAsia" w:cs="Arial"/>
                <w:kern w:val="0"/>
                <w:szCs w:val="21"/>
              </w:rPr>
              <w:t>6,132,551.61</w:t>
            </w:r>
          </w:p>
        </w:tc>
        <w:tc>
          <w:tcPr>
            <w:tcW w:w="1896" w:type="dxa"/>
            <w:shd w:val="clear" w:color="auto" w:fill="auto"/>
            <w:noWrap/>
            <w:vAlign w:val="center"/>
            <w:hideMark/>
          </w:tcPr>
          <w:p w:rsidR="00D83956" w:rsidRPr="00D83956" w:rsidRDefault="00D83956" w:rsidP="00730903">
            <w:pPr>
              <w:widowControl/>
              <w:spacing w:line="400" w:lineRule="exact"/>
              <w:jc w:val="right"/>
              <w:rPr>
                <w:rFonts w:asciiTheme="minorEastAsia" w:eastAsiaTheme="minorEastAsia" w:hAnsiTheme="minorEastAsia" w:cs="Arial"/>
                <w:kern w:val="0"/>
                <w:szCs w:val="21"/>
              </w:rPr>
            </w:pPr>
            <w:r w:rsidRPr="00D83956">
              <w:rPr>
                <w:rFonts w:asciiTheme="minorEastAsia" w:eastAsiaTheme="minorEastAsia" w:hAnsiTheme="minorEastAsia" w:cs="Arial"/>
                <w:kern w:val="0"/>
                <w:szCs w:val="21"/>
              </w:rPr>
              <w:t>5,054,158,944.54</w:t>
            </w:r>
          </w:p>
        </w:tc>
      </w:tr>
      <w:tr w:rsidR="00D83956" w:rsidRPr="00A21C03" w:rsidTr="00730903">
        <w:trPr>
          <w:trHeight w:val="20"/>
        </w:trPr>
        <w:tc>
          <w:tcPr>
            <w:tcW w:w="2423" w:type="dxa"/>
            <w:shd w:val="clear" w:color="000000" w:fill="FFFFFF"/>
            <w:vAlign w:val="center"/>
            <w:hideMark/>
          </w:tcPr>
          <w:p w:rsidR="00D83956" w:rsidRPr="00E82F60" w:rsidRDefault="00D83956" w:rsidP="0021535F">
            <w:pPr>
              <w:widowControl/>
              <w:spacing w:line="400" w:lineRule="exact"/>
              <w:rPr>
                <w:rFonts w:asciiTheme="minorEastAsia" w:eastAsiaTheme="minorEastAsia" w:hAnsiTheme="minorEastAsia" w:cs="Arial"/>
                <w:kern w:val="0"/>
                <w:szCs w:val="21"/>
              </w:rPr>
            </w:pPr>
            <w:r w:rsidRPr="00E82F60">
              <w:rPr>
                <w:rFonts w:asciiTheme="minorEastAsia" w:eastAsiaTheme="minorEastAsia" w:hAnsiTheme="minorEastAsia" w:cs="Arial" w:hint="eastAsia"/>
                <w:kern w:val="0"/>
                <w:szCs w:val="21"/>
              </w:rPr>
              <w:t>负债和</w:t>
            </w:r>
            <w:r w:rsidR="0021535F">
              <w:rPr>
                <w:rFonts w:asciiTheme="minorEastAsia" w:eastAsiaTheme="minorEastAsia" w:hAnsiTheme="minorEastAsia" w:cs="Arial" w:hint="eastAsia"/>
                <w:kern w:val="0"/>
                <w:szCs w:val="21"/>
              </w:rPr>
              <w:t>股东</w:t>
            </w:r>
            <w:r w:rsidRPr="00E82F60">
              <w:rPr>
                <w:rFonts w:asciiTheme="minorEastAsia" w:eastAsiaTheme="minorEastAsia" w:hAnsiTheme="minorEastAsia" w:cs="Arial" w:hint="eastAsia"/>
                <w:kern w:val="0"/>
                <w:szCs w:val="21"/>
              </w:rPr>
              <w:t>权益总计</w:t>
            </w:r>
          </w:p>
        </w:tc>
        <w:tc>
          <w:tcPr>
            <w:tcW w:w="2268" w:type="dxa"/>
            <w:shd w:val="clear" w:color="auto" w:fill="auto"/>
            <w:noWrap/>
            <w:vAlign w:val="center"/>
            <w:hideMark/>
          </w:tcPr>
          <w:p w:rsidR="00D83956" w:rsidRPr="009C11F1" w:rsidRDefault="00D83956" w:rsidP="00730903">
            <w:pPr>
              <w:widowControl/>
              <w:spacing w:line="400" w:lineRule="exact"/>
              <w:jc w:val="right"/>
              <w:rPr>
                <w:rFonts w:asciiTheme="minorEastAsia" w:eastAsiaTheme="minorEastAsia" w:hAnsiTheme="minorEastAsia" w:cs="Arial"/>
                <w:kern w:val="0"/>
                <w:szCs w:val="21"/>
              </w:rPr>
            </w:pPr>
            <w:r w:rsidRPr="009C11F1">
              <w:rPr>
                <w:rFonts w:asciiTheme="minorEastAsia" w:eastAsiaTheme="minorEastAsia" w:hAnsiTheme="minorEastAsia" w:cs="Arial" w:hint="eastAsia"/>
                <w:kern w:val="0"/>
                <w:szCs w:val="21"/>
              </w:rPr>
              <w:t>6,387,934,828.61</w:t>
            </w:r>
          </w:p>
        </w:tc>
        <w:tc>
          <w:tcPr>
            <w:tcW w:w="2093" w:type="dxa"/>
            <w:shd w:val="clear" w:color="000000" w:fill="FFFFFF"/>
            <w:vAlign w:val="center"/>
            <w:hideMark/>
          </w:tcPr>
          <w:p w:rsidR="00D83956" w:rsidRPr="00D83956" w:rsidRDefault="00D83956" w:rsidP="00730903">
            <w:pPr>
              <w:widowControl/>
              <w:spacing w:line="400" w:lineRule="exact"/>
              <w:jc w:val="right"/>
              <w:rPr>
                <w:rFonts w:asciiTheme="minorEastAsia" w:eastAsiaTheme="minorEastAsia" w:hAnsiTheme="minorEastAsia" w:cs="Arial"/>
                <w:kern w:val="0"/>
                <w:szCs w:val="21"/>
              </w:rPr>
            </w:pPr>
            <w:r w:rsidRPr="00D83956">
              <w:rPr>
                <w:rFonts w:asciiTheme="minorEastAsia" w:eastAsiaTheme="minorEastAsia" w:hAnsiTheme="minorEastAsia" w:cs="Arial"/>
                <w:kern w:val="0"/>
                <w:szCs w:val="21"/>
              </w:rPr>
              <w:t>6,132,551.61</w:t>
            </w:r>
          </w:p>
        </w:tc>
        <w:tc>
          <w:tcPr>
            <w:tcW w:w="1896" w:type="dxa"/>
            <w:shd w:val="clear" w:color="auto" w:fill="auto"/>
            <w:noWrap/>
            <w:vAlign w:val="center"/>
            <w:hideMark/>
          </w:tcPr>
          <w:p w:rsidR="00D83956" w:rsidRPr="00D83956" w:rsidRDefault="00D83956" w:rsidP="00730903">
            <w:pPr>
              <w:widowControl/>
              <w:spacing w:line="400" w:lineRule="exact"/>
              <w:jc w:val="right"/>
              <w:rPr>
                <w:rFonts w:asciiTheme="minorEastAsia" w:eastAsiaTheme="minorEastAsia" w:hAnsiTheme="minorEastAsia" w:cs="Arial"/>
                <w:kern w:val="0"/>
                <w:szCs w:val="21"/>
              </w:rPr>
            </w:pPr>
            <w:r w:rsidRPr="00D83956">
              <w:rPr>
                <w:rFonts w:asciiTheme="minorEastAsia" w:eastAsiaTheme="minorEastAsia" w:hAnsiTheme="minorEastAsia" w:cs="Arial"/>
                <w:kern w:val="0"/>
                <w:szCs w:val="21"/>
              </w:rPr>
              <w:t>6,394,067,380.22</w:t>
            </w:r>
          </w:p>
        </w:tc>
      </w:tr>
    </w:tbl>
    <w:p w:rsidR="00D83956" w:rsidRPr="002804B2" w:rsidRDefault="00D83956" w:rsidP="00D83956">
      <w:pPr>
        <w:spacing w:line="440" w:lineRule="exact"/>
        <w:ind w:firstLineChars="200" w:firstLine="480"/>
        <w:rPr>
          <w:rFonts w:ascii="Arial Narrow" w:hAnsi="Arial Narrow" w:cs="Arial"/>
          <w:sz w:val="24"/>
        </w:rPr>
      </w:pPr>
      <w:r w:rsidRPr="002804B2">
        <w:rPr>
          <w:rFonts w:ascii="Arial Narrow" w:hAnsi="Arial Narrow" w:cs="Arial" w:hint="eastAsia"/>
          <w:sz w:val="24"/>
        </w:rPr>
        <w:t>说明：上表中长期股权投资、资本公积、其他综合收益更正金额为对索尔思光电</w:t>
      </w:r>
      <w:r w:rsidRPr="002804B2">
        <w:rPr>
          <w:rFonts w:ascii="Arial Narrow" w:hAnsi="Arial Narrow" w:cs="Arial"/>
          <w:sz w:val="24"/>
        </w:rPr>
        <w:t>长期股权投资权益法核算进行差错更正导致。</w:t>
      </w:r>
    </w:p>
    <w:p w:rsidR="00D83956" w:rsidRDefault="00D83956" w:rsidP="00D83956">
      <w:pPr>
        <w:spacing w:line="440" w:lineRule="exact"/>
        <w:ind w:firstLineChars="200" w:firstLine="480"/>
        <w:rPr>
          <w:rFonts w:asciiTheme="minorEastAsia" w:eastAsiaTheme="minorEastAsia" w:hAnsiTheme="minorEastAsia" w:cs="Arial"/>
          <w:sz w:val="24"/>
        </w:rPr>
      </w:pPr>
      <w:r w:rsidRPr="002804B2">
        <w:rPr>
          <w:rFonts w:asciiTheme="minorEastAsia" w:eastAsiaTheme="minorEastAsia" w:hAnsiTheme="minorEastAsia" w:cs="Arial" w:hint="eastAsia"/>
          <w:sz w:val="24"/>
        </w:rPr>
        <w:t>（2）合并利润表项目</w:t>
      </w:r>
    </w:p>
    <w:tbl>
      <w:tblPr>
        <w:tblW w:w="91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2"/>
        <w:gridCol w:w="1843"/>
        <w:gridCol w:w="1686"/>
        <w:gridCol w:w="1686"/>
      </w:tblGrid>
      <w:tr w:rsidR="00D83956" w:rsidRPr="007E07B3" w:rsidTr="00730903">
        <w:trPr>
          <w:trHeight w:val="465"/>
        </w:trPr>
        <w:tc>
          <w:tcPr>
            <w:tcW w:w="3982" w:type="dxa"/>
            <w:vMerge w:val="restart"/>
            <w:shd w:val="clear" w:color="000000" w:fill="FFFFFF"/>
            <w:noWrap/>
            <w:vAlign w:val="center"/>
            <w:hideMark/>
          </w:tcPr>
          <w:p w:rsidR="00D83956" w:rsidRPr="007E07B3" w:rsidRDefault="00D83956" w:rsidP="00730903">
            <w:pPr>
              <w:spacing w:line="400" w:lineRule="exact"/>
              <w:jc w:val="center"/>
              <w:rPr>
                <w:rFonts w:ascii="Arial" w:hAnsi="Arial" w:cs="Arial"/>
                <w:szCs w:val="21"/>
              </w:rPr>
            </w:pPr>
            <w:r w:rsidRPr="007E07B3">
              <w:rPr>
                <w:rFonts w:ascii="Arial" w:hAnsi="Arial" w:cs="Arial"/>
                <w:szCs w:val="21"/>
              </w:rPr>
              <w:t>项</w:t>
            </w:r>
            <w:r>
              <w:rPr>
                <w:rFonts w:ascii="Arial" w:hAnsi="Arial" w:cs="Arial" w:hint="eastAsia"/>
                <w:szCs w:val="21"/>
              </w:rPr>
              <w:t xml:space="preserve">  </w:t>
            </w:r>
            <w:r w:rsidRPr="007E07B3">
              <w:rPr>
                <w:rFonts w:ascii="Arial" w:hAnsi="Arial" w:cs="Arial"/>
                <w:szCs w:val="21"/>
              </w:rPr>
              <w:t>目</w:t>
            </w:r>
          </w:p>
        </w:tc>
        <w:tc>
          <w:tcPr>
            <w:tcW w:w="5148" w:type="dxa"/>
            <w:gridSpan w:val="3"/>
            <w:shd w:val="clear" w:color="000000" w:fill="FFFFFF"/>
            <w:noWrap/>
            <w:vAlign w:val="center"/>
            <w:hideMark/>
          </w:tcPr>
          <w:p w:rsidR="00D83956" w:rsidRPr="007E07B3" w:rsidRDefault="00D83956" w:rsidP="00730903">
            <w:pPr>
              <w:spacing w:line="400" w:lineRule="exact"/>
              <w:jc w:val="center"/>
              <w:rPr>
                <w:rFonts w:asciiTheme="minorEastAsia" w:eastAsiaTheme="minorEastAsia" w:hAnsiTheme="minorEastAsia" w:cs="Arial"/>
                <w:szCs w:val="21"/>
              </w:rPr>
            </w:pPr>
            <w:r w:rsidRPr="007E07B3">
              <w:rPr>
                <w:rFonts w:asciiTheme="minorEastAsia" w:eastAsiaTheme="minorEastAsia" w:hAnsiTheme="minorEastAsia" w:cs="Arial"/>
                <w:szCs w:val="21"/>
              </w:rPr>
              <w:t>2022年度</w:t>
            </w:r>
          </w:p>
        </w:tc>
      </w:tr>
      <w:tr w:rsidR="00D83956" w:rsidRPr="007E07B3" w:rsidTr="00730903">
        <w:trPr>
          <w:trHeight w:val="465"/>
        </w:trPr>
        <w:tc>
          <w:tcPr>
            <w:tcW w:w="3982" w:type="dxa"/>
            <w:vMerge/>
            <w:vAlign w:val="center"/>
            <w:hideMark/>
          </w:tcPr>
          <w:p w:rsidR="00D83956" w:rsidRPr="007E07B3" w:rsidRDefault="00D83956" w:rsidP="00730903">
            <w:pPr>
              <w:spacing w:line="400" w:lineRule="exact"/>
              <w:rPr>
                <w:rFonts w:ascii="Arial" w:hAnsi="Arial" w:cs="Arial"/>
                <w:szCs w:val="21"/>
              </w:rPr>
            </w:pPr>
          </w:p>
        </w:tc>
        <w:tc>
          <w:tcPr>
            <w:tcW w:w="1843" w:type="dxa"/>
            <w:shd w:val="clear" w:color="auto" w:fill="auto"/>
            <w:noWrap/>
            <w:vAlign w:val="center"/>
            <w:hideMark/>
          </w:tcPr>
          <w:p w:rsidR="00D83956" w:rsidRPr="007E07B3" w:rsidRDefault="00D83956" w:rsidP="00730903">
            <w:pPr>
              <w:spacing w:line="400" w:lineRule="exact"/>
              <w:jc w:val="center"/>
              <w:rPr>
                <w:rFonts w:ascii="Arial" w:hAnsi="Arial" w:cs="Arial"/>
                <w:szCs w:val="21"/>
              </w:rPr>
            </w:pPr>
            <w:r w:rsidRPr="007E07B3">
              <w:rPr>
                <w:rFonts w:ascii="Arial" w:hAnsi="Arial" w:cs="Arial"/>
                <w:szCs w:val="21"/>
              </w:rPr>
              <w:t>更正前</w:t>
            </w:r>
          </w:p>
        </w:tc>
        <w:tc>
          <w:tcPr>
            <w:tcW w:w="1629" w:type="dxa"/>
            <w:shd w:val="clear" w:color="auto" w:fill="auto"/>
            <w:noWrap/>
            <w:vAlign w:val="center"/>
            <w:hideMark/>
          </w:tcPr>
          <w:p w:rsidR="00D83956" w:rsidRPr="007E07B3" w:rsidRDefault="00D83956" w:rsidP="00730903">
            <w:pPr>
              <w:spacing w:line="400" w:lineRule="exact"/>
              <w:jc w:val="center"/>
              <w:rPr>
                <w:rFonts w:ascii="Arial" w:hAnsi="Arial" w:cs="Arial"/>
                <w:szCs w:val="21"/>
              </w:rPr>
            </w:pPr>
            <w:r w:rsidRPr="007E07B3">
              <w:rPr>
                <w:rFonts w:ascii="Arial" w:hAnsi="Arial" w:cs="Arial"/>
                <w:szCs w:val="21"/>
              </w:rPr>
              <w:t>更正金额</w:t>
            </w:r>
          </w:p>
        </w:tc>
        <w:tc>
          <w:tcPr>
            <w:tcW w:w="1676" w:type="dxa"/>
            <w:shd w:val="clear" w:color="auto" w:fill="auto"/>
            <w:noWrap/>
            <w:vAlign w:val="center"/>
            <w:hideMark/>
          </w:tcPr>
          <w:p w:rsidR="00D83956" w:rsidRPr="007E07B3" w:rsidRDefault="00D83956" w:rsidP="00730903">
            <w:pPr>
              <w:spacing w:line="400" w:lineRule="exact"/>
              <w:jc w:val="center"/>
              <w:rPr>
                <w:rFonts w:ascii="Arial" w:hAnsi="Arial" w:cs="Arial"/>
                <w:szCs w:val="21"/>
              </w:rPr>
            </w:pPr>
            <w:r w:rsidRPr="007E07B3">
              <w:rPr>
                <w:rFonts w:ascii="Arial" w:hAnsi="Arial" w:cs="Arial"/>
                <w:szCs w:val="21"/>
              </w:rPr>
              <w:t>更正后</w:t>
            </w:r>
          </w:p>
        </w:tc>
      </w:tr>
      <w:tr w:rsidR="00D83956" w:rsidRPr="007E07B3" w:rsidTr="00730903">
        <w:trPr>
          <w:trHeight w:val="465"/>
        </w:trPr>
        <w:tc>
          <w:tcPr>
            <w:tcW w:w="3982" w:type="dxa"/>
            <w:shd w:val="clear" w:color="000000" w:fill="FFFFFF"/>
            <w:vAlign w:val="center"/>
            <w:hideMark/>
          </w:tcPr>
          <w:p w:rsidR="00D83956" w:rsidRPr="00E82F60" w:rsidRDefault="00D83956" w:rsidP="00730903">
            <w:pPr>
              <w:spacing w:line="400" w:lineRule="exact"/>
              <w:rPr>
                <w:rFonts w:asciiTheme="minorEastAsia" w:eastAsiaTheme="minorEastAsia" w:hAnsiTheme="minorEastAsia" w:cs="Arial"/>
                <w:szCs w:val="21"/>
              </w:rPr>
            </w:pPr>
            <w:r w:rsidRPr="00E82F60">
              <w:rPr>
                <w:rFonts w:asciiTheme="minorEastAsia" w:eastAsiaTheme="minorEastAsia" w:hAnsiTheme="minorEastAsia" w:cs="Arial"/>
                <w:szCs w:val="21"/>
              </w:rPr>
              <w:t>投资收益（损失以“－”号填列）</w:t>
            </w:r>
          </w:p>
        </w:tc>
        <w:tc>
          <w:tcPr>
            <w:tcW w:w="1843" w:type="dxa"/>
            <w:shd w:val="clear" w:color="auto" w:fill="auto"/>
            <w:noWrap/>
            <w:vAlign w:val="center"/>
            <w:hideMark/>
          </w:tcPr>
          <w:p w:rsidR="00D83956" w:rsidRPr="009C11F1" w:rsidRDefault="00D83956" w:rsidP="00730903">
            <w:pPr>
              <w:spacing w:line="400" w:lineRule="exact"/>
              <w:jc w:val="right"/>
              <w:rPr>
                <w:rFonts w:asciiTheme="minorEastAsia" w:eastAsiaTheme="minorEastAsia" w:hAnsiTheme="minorEastAsia" w:cs="Arial"/>
                <w:szCs w:val="21"/>
              </w:rPr>
            </w:pPr>
            <w:r w:rsidRPr="009C11F1">
              <w:rPr>
                <w:rFonts w:asciiTheme="minorEastAsia" w:eastAsiaTheme="minorEastAsia" w:hAnsiTheme="minorEastAsia" w:cs="Arial"/>
                <w:szCs w:val="21"/>
              </w:rPr>
              <w:t>176,161,622.07</w:t>
            </w:r>
          </w:p>
        </w:tc>
        <w:tc>
          <w:tcPr>
            <w:tcW w:w="1629" w:type="dxa"/>
            <w:shd w:val="clear" w:color="auto" w:fill="auto"/>
            <w:noWrap/>
            <w:vAlign w:val="center"/>
            <w:hideMark/>
          </w:tcPr>
          <w:p w:rsidR="00D83956" w:rsidRPr="00D83956" w:rsidRDefault="00D83956" w:rsidP="00730903">
            <w:pPr>
              <w:spacing w:line="400" w:lineRule="exact"/>
              <w:jc w:val="right"/>
              <w:rPr>
                <w:rFonts w:asciiTheme="minorEastAsia" w:eastAsiaTheme="minorEastAsia" w:hAnsiTheme="minorEastAsia" w:cs="Arial"/>
                <w:szCs w:val="21"/>
              </w:rPr>
            </w:pPr>
            <w:r w:rsidRPr="00D83956">
              <w:rPr>
                <w:rFonts w:asciiTheme="minorEastAsia" w:eastAsiaTheme="minorEastAsia" w:hAnsiTheme="minorEastAsia" w:cs="Arial"/>
                <w:szCs w:val="21"/>
              </w:rPr>
              <w:t>-12,182,838.70</w:t>
            </w:r>
          </w:p>
        </w:tc>
        <w:tc>
          <w:tcPr>
            <w:tcW w:w="1676" w:type="dxa"/>
            <w:shd w:val="clear" w:color="auto" w:fill="auto"/>
            <w:noWrap/>
            <w:vAlign w:val="center"/>
            <w:hideMark/>
          </w:tcPr>
          <w:p w:rsidR="00D83956" w:rsidRPr="00D83956" w:rsidRDefault="00D83956" w:rsidP="00730903">
            <w:pPr>
              <w:spacing w:line="400" w:lineRule="exact"/>
              <w:jc w:val="right"/>
              <w:rPr>
                <w:rFonts w:asciiTheme="minorEastAsia" w:eastAsiaTheme="minorEastAsia" w:hAnsiTheme="minorEastAsia" w:cs="Arial"/>
                <w:szCs w:val="21"/>
              </w:rPr>
            </w:pPr>
            <w:r w:rsidRPr="00D83956">
              <w:rPr>
                <w:rFonts w:asciiTheme="minorEastAsia" w:eastAsiaTheme="minorEastAsia" w:hAnsiTheme="minorEastAsia" w:cs="Arial"/>
                <w:szCs w:val="21"/>
              </w:rPr>
              <w:t>163,978,783.37</w:t>
            </w:r>
          </w:p>
        </w:tc>
      </w:tr>
      <w:tr w:rsidR="00D83956" w:rsidRPr="007E07B3" w:rsidTr="00730903">
        <w:trPr>
          <w:trHeight w:val="465"/>
        </w:trPr>
        <w:tc>
          <w:tcPr>
            <w:tcW w:w="3982" w:type="dxa"/>
            <w:shd w:val="clear" w:color="000000" w:fill="FFFFFF"/>
            <w:vAlign w:val="center"/>
          </w:tcPr>
          <w:p w:rsidR="00D83956" w:rsidRPr="00E82F60" w:rsidRDefault="00D83956" w:rsidP="00730903">
            <w:pPr>
              <w:spacing w:line="400" w:lineRule="exact"/>
              <w:rPr>
                <w:rFonts w:asciiTheme="minorEastAsia" w:eastAsiaTheme="minorEastAsia" w:hAnsiTheme="minorEastAsia" w:cs="Arial"/>
                <w:szCs w:val="21"/>
              </w:rPr>
            </w:pPr>
            <w:r w:rsidRPr="00E82F60">
              <w:rPr>
                <w:rFonts w:asciiTheme="minorEastAsia" w:eastAsiaTheme="minorEastAsia" w:hAnsiTheme="minorEastAsia" w:cs="Arial"/>
                <w:szCs w:val="21"/>
              </w:rPr>
              <w:t>其中：对联营企业和合营企业的投资收益</w:t>
            </w:r>
          </w:p>
        </w:tc>
        <w:tc>
          <w:tcPr>
            <w:tcW w:w="1843" w:type="dxa"/>
            <w:shd w:val="clear" w:color="auto" w:fill="auto"/>
            <w:noWrap/>
            <w:vAlign w:val="center"/>
          </w:tcPr>
          <w:p w:rsidR="00D83956" w:rsidRPr="009C11F1" w:rsidRDefault="00D83956" w:rsidP="00730903">
            <w:pPr>
              <w:spacing w:line="400" w:lineRule="exact"/>
              <w:jc w:val="right"/>
              <w:rPr>
                <w:rFonts w:asciiTheme="minorEastAsia" w:eastAsiaTheme="minorEastAsia" w:hAnsiTheme="minorEastAsia" w:cs="Arial"/>
                <w:szCs w:val="21"/>
              </w:rPr>
            </w:pPr>
            <w:r w:rsidRPr="009C11F1">
              <w:rPr>
                <w:rFonts w:asciiTheme="minorEastAsia" w:eastAsiaTheme="minorEastAsia" w:hAnsiTheme="minorEastAsia" w:cs="Arial"/>
                <w:szCs w:val="21"/>
              </w:rPr>
              <w:t>117,323,111.51</w:t>
            </w:r>
          </w:p>
        </w:tc>
        <w:tc>
          <w:tcPr>
            <w:tcW w:w="1629" w:type="dxa"/>
            <w:shd w:val="clear" w:color="auto" w:fill="auto"/>
            <w:noWrap/>
            <w:vAlign w:val="center"/>
          </w:tcPr>
          <w:p w:rsidR="00D83956" w:rsidRPr="00D83956" w:rsidRDefault="00D83956" w:rsidP="00730903">
            <w:pPr>
              <w:spacing w:line="400" w:lineRule="exact"/>
              <w:jc w:val="right"/>
              <w:rPr>
                <w:rFonts w:asciiTheme="minorEastAsia" w:eastAsiaTheme="minorEastAsia" w:hAnsiTheme="minorEastAsia" w:cs="Arial"/>
                <w:szCs w:val="21"/>
              </w:rPr>
            </w:pPr>
            <w:r w:rsidRPr="00D83956">
              <w:rPr>
                <w:rFonts w:asciiTheme="minorEastAsia" w:eastAsiaTheme="minorEastAsia" w:hAnsiTheme="minorEastAsia" w:cs="Arial"/>
                <w:szCs w:val="21"/>
              </w:rPr>
              <w:t>-12,182,838.70</w:t>
            </w:r>
          </w:p>
        </w:tc>
        <w:tc>
          <w:tcPr>
            <w:tcW w:w="1676" w:type="dxa"/>
            <w:shd w:val="clear" w:color="auto" w:fill="auto"/>
            <w:noWrap/>
            <w:vAlign w:val="center"/>
          </w:tcPr>
          <w:p w:rsidR="00D83956" w:rsidRPr="00D83956" w:rsidRDefault="00D83956" w:rsidP="00730903">
            <w:pPr>
              <w:spacing w:line="400" w:lineRule="exact"/>
              <w:jc w:val="right"/>
              <w:rPr>
                <w:rFonts w:asciiTheme="minorEastAsia" w:eastAsiaTheme="minorEastAsia" w:hAnsiTheme="minorEastAsia" w:cs="Arial"/>
                <w:szCs w:val="21"/>
              </w:rPr>
            </w:pPr>
            <w:r w:rsidRPr="00D83956">
              <w:rPr>
                <w:rFonts w:asciiTheme="minorEastAsia" w:eastAsiaTheme="minorEastAsia" w:hAnsiTheme="minorEastAsia" w:cs="Arial"/>
                <w:szCs w:val="21"/>
              </w:rPr>
              <w:t>105,140,272.81</w:t>
            </w:r>
          </w:p>
        </w:tc>
      </w:tr>
      <w:tr w:rsidR="00D83956" w:rsidRPr="007E07B3" w:rsidTr="00730903">
        <w:trPr>
          <w:trHeight w:val="465"/>
        </w:trPr>
        <w:tc>
          <w:tcPr>
            <w:tcW w:w="3982" w:type="dxa"/>
            <w:shd w:val="clear" w:color="000000" w:fill="FFFFFF"/>
            <w:vAlign w:val="center"/>
            <w:hideMark/>
          </w:tcPr>
          <w:p w:rsidR="00D83956" w:rsidRPr="00E82F60" w:rsidRDefault="00D83956" w:rsidP="00730903">
            <w:pPr>
              <w:spacing w:line="400" w:lineRule="exact"/>
              <w:rPr>
                <w:rFonts w:asciiTheme="minorEastAsia" w:eastAsiaTheme="minorEastAsia" w:hAnsiTheme="minorEastAsia" w:cs="Arial"/>
                <w:szCs w:val="21"/>
              </w:rPr>
            </w:pPr>
            <w:r w:rsidRPr="00E82F60">
              <w:rPr>
                <w:rFonts w:asciiTheme="minorEastAsia" w:eastAsiaTheme="minorEastAsia" w:hAnsiTheme="minorEastAsia" w:cs="Arial"/>
                <w:szCs w:val="21"/>
              </w:rPr>
              <w:t>营业利润（亏损以“－”号填列）</w:t>
            </w:r>
          </w:p>
        </w:tc>
        <w:tc>
          <w:tcPr>
            <w:tcW w:w="1843" w:type="dxa"/>
            <w:shd w:val="clear" w:color="auto" w:fill="auto"/>
            <w:noWrap/>
            <w:vAlign w:val="center"/>
            <w:hideMark/>
          </w:tcPr>
          <w:p w:rsidR="00D83956" w:rsidRPr="009C11F1" w:rsidRDefault="00D83956" w:rsidP="00730903">
            <w:pPr>
              <w:spacing w:line="400" w:lineRule="exact"/>
              <w:jc w:val="right"/>
              <w:rPr>
                <w:rFonts w:asciiTheme="minorEastAsia" w:eastAsiaTheme="minorEastAsia" w:hAnsiTheme="minorEastAsia" w:cs="Arial"/>
                <w:szCs w:val="21"/>
              </w:rPr>
            </w:pPr>
            <w:r w:rsidRPr="009C11F1">
              <w:rPr>
                <w:rFonts w:asciiTheme="minorEastAsia" w:eastAsiaTheme="minorEastAsia" w:hAnsiTheme="minorEastAsia" w:cs="Arial"/>
                <w:szCs w:val="21"/>
              </w:rPr>
              <w:t>249,250,199.85</w:t>
            </w:r>
          </w:p>
        </w:tc>
        <w:tc>
          <w:tcPr>
            <w:tcW w:w="1629" w:type="dxa"/>
            <w:shd w:val="clear" w:color="auto" w:fill="auto"/>
            <w:noWrap/>
            <w:vAlign w:val="center"/>
            <w:hideMark/>
          </w:tcPr>
          <w:p w:rsidR="00D83956" w:rsidRPr="00D83956" w:rsidRDefault="00D83956" w:rsidP="00730903">
            <w:pPr>
              <w:spacing w:line="400" w:lineRule="exact"/>
              <w:jc w:val="right"/>
              <w:rPr>
                <w:rFonts w:asciiTheme="minorEastAsia" w:eastAsiaTheme="minorEastAsia" w:hAnsiTheme="minorEastAsia" w:cs="Arial"/>
                <w:szCs w:val="21"/>
              </w:rPr>
            </w:pPr>
            <w:r w:rsidRPr="00D83956">
              <w:rPr>
                <w:rFonts w:asciiTheme="minorEastAsia" w:eastAsiaTheme="minorEastAsia" w:hAnsiTheme="minorEastAsia" w:cs="Arial"/>
                <w:szCs w:val="21"/>
              </w:rPr>
              <w:t>-12,182,838.70</w:t>
            </w:r>
          </w:p>
        </w:tc>
        <w:tc>
          <w:tcPr>
            <w:tcW w:w="1676" w:type="dxa"/>
            <w:shd w:val="clear" w:color="auto" w:fill="auto"/>
            <w:noWrap/>
            <w:vAlign w:val="center"/>
            <w:hideMark/>
          </w:tcPr>
          <w:p w:rsidR="00D83956" w:rsidRPr="00D83956" w:rsidRDefault="00D83956" w:rsidP="00730903">
            <w:pPr>
              <w:spacing w:line="400" w:lineRule="exact"/>
              <w:jc w:val="right"/>
              <w:rPr>
                <w:rFonts w:asciiTheme="minorEastAsia" w:eastAsiaTheme="minorEastAsia" w:hAnsiTheme="minorEastAsia" w:cs="Arial"/>
                <w:szCs w:val="21"/>
              </w:rPr>
            </w:pPr>
            <w:r w:rsidRPr="00D83956">
              <w:rPr>
                <w:rFonts w:asciiTheme="minorEastAsia" w:eastAsiaTheme="minorEastAsia" w:hAnsiTheme="minorEastAsia" w:cs="Arial"/>
                <w:szCs w:val="21"/>
              </w:rPr>
              <w:t>237,067,361.15</w:t>
            </w:r>
          </w:p>
        </w:tc>
      </w:tr>
      <w:tr w:rsidR="00D83956" w:rsidRPr="007E07B3" w:rsidTr="00730903">
        <w:trPr>
          <w:trHeight w:val="465"/>
        </w:trPr>
        <w:tc>
          <w:tcPr>
            <w:tcW w:w="3982" w:type="dxa"/>
            <w:shd w:val="clear" w:color="000000" w:fill="FFFFFF"/>
            <w:vAlign w:val="center"/>
            <w:hideMark/>
          </w:tcPr>
          <w:p w:rsidR="00D83956" w:rsidRPr="00E82F60" w:rsidRDefault="00D83956" w:rsidP="00730903">
            <w:pPr>
              <w:spacing w:line="400" w:lineRule="exact"/>
              <w:rPr>
                <w:rFonts w:asciiTheme="minorEastAsia" w:eastAsiaTheme="minorEastAsia" w:hAnsiTheme="minorEastAsia" w:cs="Arial"/>
                <w:szCs w:val="21"/>
              </w:rPr>
            </w:pPr>
            <w:r w:rsidRPr="00E82F60">
              <w:rPr>
                <w:rFonts w:asciiTheme="minorEastAsia" w:eastAsiaTheme="minorEastAsia" w:hAnsiTheme="minorEastAsia" w:cs="Arial"/>
                <w:szCs w:val="21"/>
              </w:rPr>
              <w:t>利润总额（亏损总额以“－”号填列）</w:t>
            </w:r>
          </w:p>
        </w:tc>
        <w:tc>
          <w:tcPr>
            <w:tcW w:w="1843" w:type="dxa"/>
            <w:shd w:val="clear" w:color="auto" w:fill="auto"/>
            <w:noWrap/>
            <w:vAlign w:val="center"/>
            <w:hideMark/>
          </w:tcPr>
          <w:p w:rsidR="00D83956" w:rsidRPr="009C11F1" w:rsidRDefault="00D83956" w:rsidP="00730903">
            <w:pPr>
              <w:spacing w:line="400" w:lineRule="exact"/>
              <w:jc w:val="right"/>
              <w:rPr>
                <w:rFonts w:asciiTheme="minorEastAsia" w:eastAsiaTheme="minorEastAsia" w:hAnsiTheme="minorEastAsia" w:cs="Arial"/>
                <w:szCs w:val="21"/>
              </w:rPr>
            </w:pPr>
            <w:r w:rsidRPr="009C11F1">
              <w:rPr>
                <w:rFonts w:asciiTheme="minorEastAsia" w:eastAsiaTheme="minorEastAsia" w:hAnsiTheme="minorEastAsia" w:cs="Arial"/>
                <w:szCs w:val="21"/>
              </w:rPr>
              <w:t>251,266,548.27</w:t>
            </w:r>
          </w:p>
        </w:tc>
        <w:tc>
          <w:tcPr>
            <w:tcW w:w="1629" w:type="dxa"/>
            <w:shd w:val="clear" w:color="auto" w:fill="auto"/>
            <w:noWrap/>
            <w:vAlign w:val="center"/>
            <w:hideMark/>
          </w:tcPr>
          <w:p w:rsidR="00D83956" w:rsidRPr="00D83956" w:rsidRDefault="00D83956" w:rsidP="00730903">
            <w:pPr>
              <w:spacing w:line="400" w:lineRule="exact"/>
              <w:jc w:val="right"/>
              <w:rPr>
                <w:rFonts w:asciiTheme="minorEastAsia" w:eastAsiaTheme="minorEastAsia" w:hAnsiTheme="minorEastAsia" w:cs="Arial"/>
                <w:szCs w:val="21"/>
              </w:rPr>
            </w:pPr>
            <w:r w:rsidRPr="00D83956">
              <w:rPr>
                <w:rFonts w:asciiTheme="minorEastAsia" w:eastAsiaTheme="minorEastAsia" w:hAnsiTheme="minorEastAsia" w:cs="Arial"/>
                <w:szCs w:val="21"/>
              </w:rPr>
              <w:t>-12,182,838.70</w:t>
            </w:r>
          </w:p>
        </w:tc>
        <w:tc>
          <w:tcPr>
            <w:tcW w:w="1676" w:type="dxa"/>
            <w:shd w:val="clear" w:color="auto" w:fill="auto"/>
            <w:noWrap/>
            <w:vAlign w:val="center"/>
            <w:hideMark/>
          </w:tcPr>
          <w:p w:rsidR="00D83956" w:rsidRPr="00D83956" w:rsidRDefault="00D83956" w:rsidP="00730903">
            <w:pPr>
              <w:spacing w:line="400" w:lineRule="exact"/>
              <w:jc w:val="right"/>
              <w:rPr>
                <w:rFonts w:asciiTheme="minorEastAsia" w:eastAsiaTheme="minorEastAsia" w:hAnsiTheme="minorEastAsia" w:cs="Arial"/>
                <w:szCs w:val="21"/>
              </w:rPr>
            </w:pPr>
            <w:r w:rsidRPr="00D83956">
              <w:rPr>
                <w:rFonts w:asciiTheme="minorEastAsia" w:eastAsiaTheme="minorEastAsia" w:hAnsiTheme="minorEastAsia" w:cs="Arial"/>
                <w:szCs w:val="21"/>
              </w:rPr>
              <w:t>239,083,709.57</w:t>
            </w:r>
          </w:p>
        </w:tc>
      </w:tr>
      <w:tr w:rsidR="00D83956" w:rsidRPr="00A21C03" w:rsidTr="00730903">
        <w:trPr>
          <w:trHeight w:val="465"/>
        </w:trPr>
        <w:tc>
          <w:tcPr>
            <w:tcW w:w="3982" w:type="dxa"/>
            <w:shd w:val="clear" w:color="000000" w:fill="FFFFFF"/>
            <w:vAlign w:val="center"/>
            <w:hideMark/>
          </w:tcPr>
          <w:p w:rsidR="00D83956" w:rsidRPr="00E82F60" w:rsidRDefault="00D83956" w:rsidP="00730903">
            <w:pPr>
              <w:spacing w:line="400" w:lineRule="exact"/>
              <w:rPr>
                <w:rFonts w:asciiTheme="minorEastAsia" w:eastAsiaTheme="minorEastAsia" w:hAnsiTheme="minorEastAsia" w:cs="Arial"/>
                <w:szCs w:val="21"/>
              </w:rPr>
            </w:pPr>
            <w:r w:rsidRPr="00E82F60">
              <w:rPr>
                <w:rFonts w:asciiTheme="minorEastAsia" w:eastAsiaTheme="minorEastAsia" w:hAnsiTheme="minorEastAsia" w:cs="Arial"/>
                <w:szCs w:val="21"/>
              </w:rPr>
              <w:t>净利润（净亏损以“－”号填列）</w:t>
            </w:r>
          </w:p>
        </w:tc>
        <w:tc>
          <w:tcPr>
            <w:tcW w:w="1843" w:type="dxa"/>
            <w:shd w:val="clear" w:color="auto" w:fill="auto"/>
            <w:noWrap/>
            <w:vAlign w:val="center"/>
            <w:hideMark/>
          </w:tcPr>
          <w:p w:rsidR="00D83956" w:rsidRPr="009C11F1" w:rsidRDefault="00D83956" w:rsidP="00730903">
            <w:pPr>
              <w:spacing w:line="400" w:lineRule="exact"/>
              <w:jc w:val="right"/>
              <w:rPr>
                <w:rFonts w:asciiTheme="minorEastAsia" w:eastAsiaTheme="minorEastAsia" w:hAnsiTheme="minorEastAsia" w:cs="Arial"/>
                <w:szCs w:val="21"/>
              </w:rPr>
            </w:pPr>
            <w:r w:rsidRPr="009C11F1">
              <w:rPr>
                <w:rFonts w:asciiTheme="minorEastAsia" w:eastAsiaTheme="minorEastAsia" w:hAnsiTheme="minorEastAsia" w:cs="Arial"/>
                <w:szCs w:val="21"/>
              </w:rPr>
              <w:t>224,088,540.39</w:t>
            </w:r>
          </w:p>
        </w:tc>
        <w:tc>
          <w:tcPr>
            <w:tcW w:w="1629" w:type="dxa"/>
            <w:shd w:val="clear" w:color="auto" w:fill="auto"/>
            <w:noWrap/>
            <w:vAlign w:val="center"/>
            <w:hideMark/>
          </w:tcPr>
          <w:p w:rsidR="00D83956" w:rsidRPr="00D83956" w:rsidRDefault="00D83956" w:rsidP="00730903">
            <w:pPr>
              <w:spacing w:line="400" w:lineRule="exact"/>
              <w:jc w:val="right"/>
              <w:rPr>
                <w:rFonts w:asciiTheme="minorEastAsia" w:eastAsiaTheme="minorEastAsia" w:hAnsiTheme="minorEastAsia" w:cs="Arial"/>
                <w:szCs w:val="21"/>
              </w:rPr>
            </w:pPr>
            <w:r w:rsidRPr="00D83956">
              <w:rPr>
                <w:rFonts w:asciiTheme="minorEastAsia" w:eastAsiaTheme="minorEastAsia" w:hAnsiTheme="minorEastAsia" w:cs="Arial"/>
                <w:szCs w:val="21"/>
              </w:rPr>
              <w:t xml:space="preserve">-12,182,838.70　</w:t>
            </w:r>
          </w:p>
        </w:tc>
        <w:tc>
          <w:tcPr>
            <w:tcW w:w="1676" w:type="dxa"/>
            <w:shd w:val="clear" w:color="auto" w:fill="auto"/>
            <w:noWrap/>
            <w:vAlign w:val="center"/>
            <w:hideMark/>
          </w:tcPr>
          <w:p w:rsidR="00D83956" w:rsidRPr="00D83956" w:rsidRDefault="00D83956" w:rsidP="00730903">
            <w:pPr>
              <w:spacing w:line="400" w:lineRule="exact"/>
              <w:jc w:val="right"/>
              <w:rPr>
                <w:rFonts w:asciiTheme="minorEastAsia" w:eastAsiaTheme="minorEastAsia" w:hAnsiTheme="minorEastAsia" w:cs="Arial"/>
                <w:szCs w:val="21"/>
              </w:rPr>
            </w:pPr>
            <w:r w:rsidRPr="00D83956">
              <w:rPr>
                <w:rFonts w:asciiTheme="minorEastAsia" w:eastAsiaTheme="minorEastAsia" w:hAnsiTheme="minorEastAsia" w:cs="Arial"/>
                <w:szCs w:val="21"/>
              </w:rPr>
              <w:t>211,905,701.69</w:t>
            </w:r>
          </w:p>
        </w:tc>
      </w:tr>
      <w:tr w:rsidR="00D83956" w:rsidRPr="00A21C03" w:rsidTr="00730903">
        <w:trPr>
          <w:trHeight w:val="465"/>
        </w:trPr>
        <w:tc>
          <w:tcPr>
            <w:tcW w:w="3982" w:type="dxa"/>
            <w:shd w:val="clear" w:color="000000" w:fill="FFFFFF"/>
            <w:vAlign w:val="center"/>
            <w:hideMark/>
          </w:tcPr>
          <w:p w:rsidR="00D83956" w:rsidRPr="00E82F60" w:rsidRDefault="00D83956" w:rsidP="0021535F">
            <w:pPr>
              <w:spacing w:line="400" w:lineRule="exact"/>
              <w:rPr>
                <w:rFonts w:asciiTheme="minorEastAsia" w:eastAsiaTheme="minorEastAsia" w:hAnsiTheme="minorEastAsia" w:cs="Arial"/>
                <w:szCs w:val="21"/>
              </w:rPr>
            </w:pPr>
            <w:r w:rsidRPr="00E82F60">
              <w:rPr>
                <w:rFonts w:asciiTheme="minorEastAsia" w:eastAsiaTheme="minorEastAsia" w:hAnsiTheme="minorEastAsia" w:cs="Arial"/>
                <w:szCs w:val="21"/>
              </w:rPr>
              <w:t>归属于母公司</w:t>
            </w:r>
            <w:r w:rsidR="0021535F">
              <w:rPr>
                <w:rFonts w:asciiTheme="minorEastAsia" w:eastAsiaTheme="minorEastAsia" w:hAnsiTheme="minorEastAsia" w:cs="Arial"/>
                <w:szCs w:val="21"/>
              </w:rPr>
              <w:t>股东</w:t>
            </w:r>
            <w:r w:rsidRPr="00E82F60">
              <w:rPr>
                <w:rFonts w:asciiTheme="minorEastAsia" w:eastAsiaTheme="minorEastAsia" w:hAnsiTheme="minorEastAsia" w:cs="Arial"/>
                <w:szCs w:val="21"/>
              </w:rPr>
              <w:t>的净利润</w:t>
            </w:r>
          </w:p>
        </w:tc>
        <w:tc>
          <w:tcPr>
            <w:tcW w:w="1843" w:type="dxa"/>
            <w:shd w:val="clear" w:color="auto" w:fill="auto"/>
            <w:noWrap/>
            <w:vAlign w:val="center"/>
            <w:hideMark/>
          </w:tcPr>
          <w:p w:rsidR="00D83956" w:rsidRPr="009C11F1" w:rsidRDefault="00D83956" w:rsidP="00730903">
            <w:pPr>
              <w:spacing w:line="400" w:lineRule="exact"/>
              <w:jc w:val="right"/>
              <w:rPr>
                <w:rFonts w:asciiTheme="minorEastAsia" w:eastAsiaTheme="minorEastAsia" w:hAnsiTheme="minorEastAsia" w:cs="Arial"/>
                <w:szCs w:val="21"/>
              </w:rPr>
            </w:pPr>
            <w:r w:rsidRPr="009C11F1">
              <w:rPr>
                <w:rFonts w:asciiTheme="minorEastAsia" w:eastAsiaTheme="minorEastAsia" w:hAnsiTheme="minorEastAsia" w:cs="Arial"/>
                <w:szCs w:val="21"/>
              </w:rPr>
              <w:t>208,991,042.77</w:t>
            </w:r>
          </w:p>
        </w:tc>
        <w:tc>
          <w:tcPr>
            <w:tcW w:w="1629" w:type="dxa"/>
            <w:shd w:val="clear" w:color="auto" w:fill="auto"/>
            <w:noWrap/>
            <w:vAlign w:val="center"/>
            <w:hideMark/>
          </w:tcPr>
          <w:p w:rsidR="00D83956" w:rsidRPr="00D83956" w:rsidRDefault="00D83956" w:rsidP="00730903">
            <w:pPr>
              <w:spacing w:line="400" w:lineRule="exact"/>
              <w:jc w:val="right"/>
              <w:rPr>
                <w:rFonts w:asciiTheme="minorEastAsia" w:eastAsiaTheme="minorEastAsia" w:hAnsiTheme="minorEastAsia" w:cs="Arial"/>
                <w:szCs w:val="21"/>
              </w:rPr>
            </w:pPr>
            <w:r w:rsidRPr="00D83956">
              <w:rPr>
                <w:rFonts w:asciiTheme="minorEastAsia" w:eastAsiaTheme="minorEastAsia" w:hAnsiTheme="minorEastAsia" w:cs="Arial"/>
                <w:szCs w:val="21"/>
              </w:rPr>
              <w:t xml:space="preserve">-12,182,838.70　</w:t>
            </w:r>
          </w:p>
        </w:tc>
        <w:tc>
          <w:tcPr>
            <w:tcW w:w="1676" w:type="dxa"/>
            <w:shd w:val="clear" w:color="auto" w:fill="auto"/>
            <w:noWrap/>
            <w:vAlign w:val="center"/>
            <w:hideMark/>
          </w:tcPr>
          <w:p w:rsidR="00D83956" w:rsidRPr="00D83956" w:rsidRDefault="00D83956" w:rsidP="00730903">
            <w:pPr>
              <w:spacing w:line="400" w:lineRule="exact"/>
              <w:jc w:val="right"/>
              <w:rPr>
                <w:rFonts w:asciiTheme="minorEastAsia" w:eastAsiaTheme="minorEastAsia" w:hAnsiTheme="minorEastAsia" w:cs="Arial"/>
                <w:szCs w:val="21"/>
              </w:rPr>
            </w:pPr>
            <w:r w:rsidRPr="00D83956">
              <w:rPr>
                <w:rFonts w:asciiTheme="minorEastAsia" w:eastAsiaTheme="minorEastAsia" w:hAnsiTheme="minorEastAsia" w:cs="Arial"/>
                <w:szCs w:val="21"/>
              </w:rPr>
              <w:t>196,808,204.07</w:t>
            </w:r>
          </w:p>
        </w:tc>
      </w:tr>
      <w:tr w:rsidR="00D83956" w:rsidRPr="007E07B3" w:rsidTr="00730903">
        <w:trPr>
          <w:trHeight w:val="465"/>
        </w:trPr>
        <w:tc>
          <w:tcPr>
            <w:tcW w:w="3982" w:type="dxa"/>
            <w:shd w:val="clear" w:color="000000" w:fill="FFFFFF"/>
            <w:vAlign w:val="center"/>
            <w:hideMark/>
          </w:tcPr>
          <w:p w:rsidR="00D83956" w:rsidRPr="00E82F60" w:rsidRDefault="00D83956" w:rsidP="00730903">
            <w:pPr>
              <w:spacing w:line="400" w:lineRule="exact"/>
              <w:rPr>
                <w:rFonts w:asciiTheme="minorEastAsia" w:eastAsiaTheme="minorEastAsia" w:hAnsiTheme="minorEastAsia" w:cs="Arial"/>
                <w:szCs w:val="21"/>
              </w:rPr>
            </w:pPr>
            <w:r w:rsidRPr="00E82F60">
              <w:rPr>
                <w:rFonts w:asciiTheme="minorEastAsia" w:eastAsiaTheme="minorEastAsia" w:hAnsiTheme="minorEastAsia" w:cs="Arial"/>
                <w:szCs w:val="21"/>
              </w:rPr>
              <w:t>其他综合收益的税后净额</w:t>
            </w:r>
          </w:p>
        </w:tc>
        <w:tc>
          <w:tcPr>
            <w:tcW w:w="1843" w:type="dxa"/>
            <w:shd w:val="clear" w:color="auto" w:fill="auto"/>
            <w:noWrap/>
            <w:vAlign w:val="center"/>
            <w:hideMark/>
          </w:tcPr>
          <w:p w:rsidR="00D83956" w:rsidRPr="009C11F1" w:rsidRDefault="00D83956" w:rsidP="00730903">
            <w:pPr>
              <w:spacing w:line="400" w:lineRule="exact"/>
              <w:jc w:val="right"/>
              <w:rPr>
                <w:rFonts w:asciiTheme="minorEastAsia" w:eastAsiaTheme="minorEastAsia" w:hAnsiTheme="minorEastAsia" w:cs="Arial"/>
                <w:szCs w:val="21"/>
              </w:rPr>
            </w:pPr>
            <w:r w:rsidRPr="009C11F1">
              <w:rPr>
                <w:rFonts w:asciiTheme="minorEastAsia" w:eastAsiaTheme="minorEastAsia" w:hAnsiTheme="minorEastAsia" w:cs="Arial"/>
                <w:szCs w:val="21"/>
              </w:rPr>
              <w:t>-20,572,244.32</w:t>
            </w:r>
          </w:p>
        </w:tc>
        <w:tc>
          <w:tcPr>
            <w:tcW w:w="1629" w:type="dxa"/>
            <w:shd w:val="clear" w:color="auto" w:fill="auto"/>
            <w:noWrap/>
            <w:vAlign w:val="center"/>
            <w:hideMark/>
          </w:tcPr>
          <w:p w:rsidR="00D83956" w:rsidRPr="00D83956" w:rsidRDefault="00D83956" w:rsidP="00730903">
            <w:pPr>
              <w:spacing w:line="400" w:lineRule="exact"/>
              <w:jc w:val="right"/>
              <w:rPr>
                <w:rFonts w:asciiTheme="minorEastAsia" w:eastAsiaTheme="minorEastAsia" w:hAnsiTheme="minorEastAsia" w:cs="Arial"/>
                <w:szCs w:val="21"/>
              </w:rPr>
            </w:pPr>
            <w:r w:rsidRPr="00D83956">
              <w:rPr>
                <w:rFonts w:asciiTheme="minorEastAsia" w:eastAsiaTheme="minorEastAsia" w:hAnsiTheme="minorEastAsia" w:cs="Arial"/>
                <w:szCs w:val="21"/>
              </w:rPr>
              <w:t xml:space="preserve">29,973,417.26　</w:t>
            </w:r>
          </w:p>
        </w:tc>
        <w:tc>
          <w:tcPr>
            <w:tcW w:w="1676" w:type="dxa"/>
            <w:shd w:val="clear" w:color="auto" w:fill="auto"/>
            <w:noWrap/>
            <w:vAlign w:val="center"/>
            <w:hideMark/>
          </w:tcPr>
          <w:p w:rsidR="00D83956" w:rsidRPr="00D83956" w:rsidRDefault="00D83956" w:rsidP="00730903">
            <w:pPr>
              <w:spacing w:line="400" w:lineRule="exact"/>
              <w:jc w:val="right"/>
              <w:rPr>
                <w:rFonts w:asciiTheme="minorEastAsia" w:eastAsiaTheme="minorEastAsia" w:hAnsiTheme="minorEastAsia" w:cs="Arial"/>
                <w:szCs w:val="21"/>
              </w:rPr>
            </w:pPr>
            <w:r w:rsidRPr="00D83956">
              <w:rPr>
                <w:rFonts w:asciiTheme="minorEastAsia" w:eastAsiaTheme="minorEastAsia" w:hAnsiTheme="minorEastAsia" w:cs="Arial"/>
                <w:szCs w:val="21"/>
              </w:rPr>
              <w:t xml:space="preserve">　9,401,172.94</w:t>
            </w:r>
          </w:p>
        </w:tc>
      </w:tr>
      <w:tr w:rsidR="00D83956" w:rsidRPr="007E07B3" w:rsidTr="00730903">
        <w:trPr>
          <w:trHeight w:val="465"/>
        </w:trPr>
        <w:tc>
          <w:tcPr>
            <w:tcW w:w="3982" w:type="dxa"/>
            <w:shd w:val="clear" w:color="000000" w:fill="FFFFFF"/>
            <w:vAlign w:val="center"/>
            <w:hideMark/>
          </w:tcPr>
          <w:p w:rsidR="00D83956" w:rsidRPr="00E82F60" w:rsidRDefault="00D83956" w:rsidP="00730903">
            <w:pPr>
              <w:spacing w:line="400" w:lineRule="exact"/>
              <w:rPr>
                <w:rFonts w:asciiTheme="minorEastAsia" w:eastAsiaTheme="minorEastAsia" w:hAnsiTheme="minorEastAsia" w:cs="Arial"/>
                <w:szCs w:val="21"/>
              </w:rPr>
            </w:pPr>
            <w:r w:rsidRPr="00E82F60">
              <w:rPr>
                <w:rFonts w:asciiTheme="minorEastAsia" w:eastAsiaTheme="minorEastAsia" w:hAnsiTheme="minorEastAsia" w:cs="Arial"/>
                <w:szCs w:val="21"/>
              </w:rPr>
              <w:t>归属母公司所有者的其他综合收益的税后净额</w:t>
            </w:r>
          </w:p>
        </w:tc>
        <w:tc>
          <w:tcPr>
            <w:tcW w:w="1843" w:type="dxa"/>
            <w:shd w:val="clear" w:color="auto" w:fill="auto"/>
            <w:noWrap/>
            <w:vAlign w:val="center"/>
            <w:hideMark/>
          </w:tcPr>
          <w:p w:rsidR="00D83956" w:rsidRPr="009C11F1" w:rsidRDefault="00D83956" w:rsidP="00730903">
            <w:pPr>
              <w:spacing w:line="400" w:lineRule="exact"/>
              <w:jc w:val="right"/>
              <w:rPr>
                <w:rFonts w:asciiTheme="minorEastAsia" w:eastAsiaTheme="minorEastAsia" w:hAnsiTheme="minorEastAsia" w:cs="Arial"/>
                <w:szCs w:val="21"/>
              </w:rPr>
            </w:pPr>
            <w:r w:rsidRPr="009C11F1">
              <w:rPr>
                <w:rFonts w:asciiTheme="minorEastAsia" w:eastAsiaTheme="minorEastAsia" w:hAnsiTheme="minorEastAsia" w:cs="Arial"/>
                <w:szCs w:val="21"/>
              </w:rPr>
              <w:t>-20,572,244.32</w:t>
            </w:r>
          </w:p>
        </w:tc>
        <w:tc>
          <w:tcPr>
            <w:tcW w:w="1629" w:type="dxa"/>
            <w:shd w:val="clear" w:color="auto" w:fill="auto"/>
            <w:noWrap/>
            <w:vAlign w:val="center"/>
            <w:hideMark/>
          </w:tcPr>
          <w:p w:rsidR="00D83956" w:rsidRPr="00D83956" w:rsidRDefault="00D83956" w:rsidP="00730903">
            <w:pPr>
              <w:spacing w:line="400" w:lineRule="exact"/>
              <w:jc w:val="right"/>
              <w:rPr>
                <w:rFonts w:asciiTheme="minorEastAsia" w:eastAsiaTheme="minorEastAsia" w:hAnsiTheme="minorEastAsia" w:cs="Arial"/>
                <w:szCs w:val="21"/>
              </w:rPr>
            </w:pPr>
            <w:r w:rsidRPr="00D83956">
              <w:rPr>
                <w:rFonts w:asciiTheme="minorEastAsia" w:eastAsiaTheme="minorEastAsia" w:hAnsiTheme="minorEastAsia" w:cs="Arial"/>
                <w:szCs w:val="21"/>
              </w:rPr>
              <w:t xml:space="preserve">29,973,417.26　</w:t>
            </w:r>
          </w:p>
        </w:tc>
        <w:tc>
          <w:tcPr>
            <w:tcW w:w="1676" w:type="dxa"/>
            <w:shd w:val="clear" w:color="auto" w:fill="auto"/>
            <w:noWrap/>
            <w:vAlign w:val="center"/>
            <w:hideMark/>
          </w:tcPr>
          <w:p w:rsidR="00D83956" w:rsidRPr="00D83956" w:rsidRDefault="00D83956" w:rsidP="00730903">
            <w:pPr>
              <w:spacing w:line="400" w:lineRule="exact"/>
              <w:jc w:val="right"/>
              <w:rPr>
                <w:rFonts w:asciiTheme="minorEastAsia" w:eastAsiaTheme="minorEastAsia" w:hAnsiTheme="minorEastAsia" w:cs="Arial"/>
                <w:szCs w:val="21"/>
              </w:rPr>
            </w:pPr>
            <w:r w:rsidRPr="00D83956">
              <w:rPr>
                <w:rFonts w:asciiTheme="minorEastAsia" w:eastAsiaTheme="minorEastAsia" w:hAnsiTheme="minorEastAsia" w:cs="Arial"/>
                <w:szCs w:val="21"/>
              </w:rPr>
              <w:t xml:space="preserve">　9,401,172.94</w:t>
            </w:r>
          </w:p>
        </w:tc>
      </w:tr>
      <w:tr w:rsidR="00D83956" w:rsidRPr="007E07B3" w:rsidTr="00730903">
        <w:trPr>
          <w:trHeight w:val="465"/>
        </w:trPr>
        <w:tc>
          <w:tcPr>
            <w:tcW w:w="3982" w:type="dxa"/>
            <w:shd w:val="clear" w:color="000000" w:fill="FFFFFF"/>
            <w:vAlign w:val="center"/>
          </w:tcPr>
          <w:p w:rsidR="00D83956" w:rsidRPr="00E82F60" w:rsidRDefault="00D83956" w:rsidP="00730903">
            <w:pPr>
              <w:spacing w:line="400" w:lineRule="exact"/>
              <w:rPr>
                <w:rFonts w:asciiTheme="minorEastAsia" w:eastAsiaTheme="minorEastAsia" w:hAnsiTheme="minorEastAsia" w:cs="Arial"/>
                <w:szCs w:val="21"/>
              </w:rPr>
            </w:pPr>
            <w:r w:rsidRPr="00E82F60">
              <w:rPr>
                <w:rFonts w:asciiTheme="minorEastAsia" w:eastAsiaTheme="minorEastAsia" w:hAnsiTheme="minorEastAsia" w:cs="Arial"/>
                <w:szCs w:val="21"/>
              </w:rPr>
              <w:lastRenderedPageBreak/>
              <w:t>将重分类进损益的其他综合收益</w:t>
            </w:r>
          </w:p>
        </w:tc>
        <w:tc>
          <w:tcPr>
            <w:tcW w:w="1843" w:type="dxa"/>
            <w:shd w:val="clear" w:color="auto" w:fill="auto"/>
            <w:noWrap/>
            <w:vAlign w:val="center"/>
          </w:tcPr>
          <w:p w:rsidR="00D83956" w:rsidRPr="009C11F1" w:rsidRDefault="00D83956" w:rsidP="00730903">
            <w:pPr>
              <w:spacing w:line="400" w:lineRule="exact"/>
              <w:jc w:val="right"/>
              <w:rPr>
                <w:rFonts w:asciiTheme="minorEastAsia" w:eastAsiaTheme="minorEastAsia" w:hAnsiTheme="minorEastAsia" w:cs="Arial"/>
                <w:szCs w:val="21"/>
              </w:rPr>
            </w:pPr>
            <w:r w:rsidRPr="009C11F1">
              <w:rPr>
                <w:rFonts w:asciiTheme="minorEastAsia" w:eastAsiaTheme="minorEastAsia" w:hAnsiTheme="minorEastAsia" w:cs="Arial"/>
                <w:szCs w:val="21"/>
              </w:rPr>
              <w:t>-20,572,244.32</w:t>
            </w:r>
          </w:p>
        </w:tc>
        <w:tc>
          <w:tcPr>
            <w:tcW w:w="1629" w:type="dxa"/>
            <w:shd w:val="clear" w:color="auto" w:fill="auto"/>
            <w:noWrap/>
            <w:vAlign w:val="center"/>
          </w:tcPr>
          <w:p w:rsidR="00D83956" w:rsidRPr="00D83956" w:rsidRDefault="00D83956" w:rsidP="00730903">
            <w:pPr>
              <w:spacing w:line="400" w:lineRule="exact"/>
              <w:jc w:val="right"/>
              <w:rPr>
                <w:rFonts w:asciiTheme="minorEastAsia" w:eastAsiaTheme="minorEastAsia" w:hAnsiTheme="minorEastAsia" w:cs="Arial"/>
                <w:szCs w:val="21"/>
              </w:rPr>
            </w:pPr>
            <w:r w:rsidRPr="00D83956">
              <w:rPr>
                <w:rFonts w:asciiTheme="minorEastAsia" w:eastAsiaTheme="minorEastAsia" w:hAnsiTheme="minorEastAsia" w:cs="Arial"/>
                <w:szCs w:val="21"/>
              </w:rPr>
              <w:t xml:space="preserve">29,973,417.26　</w:t>
            </w:r>
          </w:p>
        </w:tc>
        <w:tc>
          <w:tcPr>
            <w:tcW w:w="1676" w:type="dxa"/>
            <w:shd w:val="clear" w:color="auto" w:fill="auto"/>
            <w:noWrap/>
            <w:vAlign w:val="center"/>
          </w:tcPr>
          <w:p w:rsidR="00D83956" w:rsidRPr="00D83956" w:rsidRDefault="00D83956" w:rsidP="00730903">
            <w:pPr>
              <w:spacing w:line="400" w:lineRule="exact"/>
              <w:jc w:val="right"/>
              <w:rPr>
                <w:rFonts w:asciiTheme="minorEastAsia" w:eastAsiaTheme="minorEastAsia" w:hAnsiTheme="minorEastAsia" w:cs="Arial"/>
                <w:szCs w:val="21"/>
              </w:rPr>
            </w:pPr>
            <w:r w:rsidRPr="00D83956">
              <w:rPr>
                <w:rFonts w:asciiTheme="minorEastAsia" w:eastAsiaTheme="minorEastAsia" w:hAnsiTheme="minorEastAsia" w:cs="Arial"/>
                <w:szCs w:val="21"/>
              </w:rPr>
              <w:t xml:space="preserve">　9,401,172.94</w:t>
            </w:r>
          </w:p>
        </w:tc>
      </w:tr>
      <w:tr w:rsidR="00D83956" w:rsidRPr="007E07B3" w:rsidTr="00730903">
        <w:trPr>
          <w:trHeight w:val="465"/>
        </w:trPr>
        <w:tc>
          <w:tcPr>
            <w:tcW w:w="3982" w:type="dxa"/>
            <w:shd w:val="clear" w:color="000000" w:fill="FFFFFF"/>
            <w:vAlign w:val="center"/>
          </w:tcPr>
          <w:p w:rsidR="00D83956" w:rsidRPr="00E82F60" w:rsidRDefault="00D83956" w:rsidP="00730903">
            <w:pPr>
              <w:spacing w:line="400" w:lineRule="exact"/>
              <w:rPr>
                <w:rFonts w:asciiTheme="minorEastAsia" w:eastAsiaTheme="minorEastAsia" w:hAnsiTheme="minorEastAsia" w:cs="Arial"/>
                <w:szCs w:val="21"/>
              </w:rPr>
            </w:pPr>
            <w:r w:rsidRPr="00E82F60">
              <w:rPr>
                <w:rFonts w:asciiTheme="minorEastAsia" w:eastAsiaTheme="minorEastAsia" w:hAnsiTheme="minorEastAsia" w:cs="Arial"/>
                <w:szCs w:val="21"/>
              </w:rPr>
              <w:t>权益法下可转损益的其他综合收益</w:t>
            </w:r>
          </w:p>
        </w:tc>
        <w:tc>
          <w:tcPr>
            <w:tcW w:w="1843" w:type="dxa"/>
            <w:shd w:val="clear" w:color="auto" w:fill="auto"/>
            <w:noWrap/>
            <w:vAlign w:val="center"/>
          </w:tcPr>
          <w:p w:rsidR="00D83956" w:rsidRPr="009C11F1" w:rsidRDefault="00D83956" w:rsidP="00730903">
            <w:pPr>
              <w:spacing w:line="400" w:lineRule="exact"/>
              <w:jc w:val="right"/>
              <w:rPr>
                <w:rFonts w:asciiTheme="minorEastAsia" w:eastAsiaTheme="minorEastAsia" w:hAnsiTheme="minorEastAsia" w:cs="Arial"/>
                <w:szCs w:val="21"/>
              </w:rPr>
            </w:pPr>
            <w:r w:rsidRPr="009C11F1">
              <w:rPr>
                <w:rFonts w:asciiTheme="minorEastAsia" w:eastAsiaTheme="minorEastAsia" w:hAnsiTheme="minorEastAsia" w:cs="Arial"/>
                <w:szCs w:val="21"/>
              </w:rPr>
              <w:t>-20,572,244.32</w:t>
            </w:r>
          </w:p>
        </w:tc>
        <w:tc>
          <w:tcPr>
            <w:tcW w:w="1629" w:type="dxa"/>
            <w:shd w:val="clear" w:color="auto" w:fill="auto"/>
            <w:noWrap/>
            <w:vAlign w:val="center"/>
          </w:tcPr>
          <w:p w:rsidR="00D83956" w:rsidRPr="00D83956" w:rsidRDefault="00D83956" w:rsidP="00730903">
            <w:pPr>
              <w:spacing w:line="400" w:lineRule="exact"/>
              <w:jc w:val="right"/>
              <w:rPr>
                <w:rFonts w:asciiTheme="minorEastAsia" w:eastAsiaTheme="minorEastAsia" w:hAnsiTheme="minorEastAsia" w:cs="Arial"/>
                <w:szCs w:val="21"/>
              </w:rPr>
            </w:pPr>
            <w:r w:rsidRPr="00D83956">
              <w:rPr>
                <w:rFonts w:asciiTheme="minorEastAsia" w:eastAsiaTheme="minorEastAsia" w:hAnsiTheme="minorEastAsia" w:cs="Arial"/>
                <w:szCs w:val="21"/>
              </w:rPr>
              <w:t xml:space="preserve">29,973,417.26　</w:t>
            </w:r>
          </w:p>
        </w:tc>
        <w:tc>
          <w:tcPr>
            <w:tcW w:w="1676" w:type="dxa"/>
            <w:shd w:val="clear" w:color="auto" w:fill="auto"/>
            <w:noWrap/>
            <w:vAlign w:val="center"/>
          </w:tcPr>
          <w:p w:rsidR="00D83956" w:rsidRPr="00D83956" w:rsidRDefault="00D83956" w:rsidP="00730903">
            <w:pPr>
              <w:spacing w:line="400" w:lineRule="exact"/>
              <w:jc w:val="right"/>
              <w:rPr>
                <w:rFonts w:asciiTheme="minorEastAsia" w:eastAsiaTheme="minorEastAsia" w:hAnsiTheme="minorEastAsia" w:cs="Arial"/>
                <w:szCs w:val="21"/>
              </w:rPr>
            </w:pPr>
            <w:r w:rsidRPr="00D83956">
              <w:rPr>
                <w:rFonts w:asciiTheme="minorEastAsia" w:eastAsiaTheme="minorEastAsia" w:hAnsiTheme="minorEastAsia" w:cs="Arial"/>
                <w:szCs w:val="21"/>
              </w:rPr>
              <w:t xml:space="preserve">　9,401,172.94</w:t>
            </w:r>
          </w:p>
        </w:tc>
      </w:tr>
      <w:tr w:rsidR="00D83956" w:rsidRPr="007E07B3" w:rsidTr="00730903">
        <w:trPr>
          <w:trHeight w:val="465"/>
        </w:trPr>
        <w:tc>
          <w:tcPr>
            <w:tcW w:w="3982" w:type="dxa"/>
            <w:shd w:val="clear" w:color="000000" w:fill="FFFFFF"/>
            <w:vAlign w:val="center"/>
            <w:hideMark/>
          </w:tcPr>
          <w:p w:rsidR="00D83956" w:rsidRPr="007E07B3" w:rsidRDefault="00D83956" w:rsidP="00730903">
            <w:pPr>
              <w:spacing w:line="400" w:lineRule="exact"/>
              <w:rPr>
                <w:rFonts w:asciiTheme="minorEastAsia" w:eastAsiaTheme="minorEastAsia" w:hAnsiTheme="minorEastAsia" w:cs="Arial"/>
                <w:szCs w:val="21"/>
              </w:rPr>
            </w:pPr>
            <w:r w:rsidRPr="007E07B3">
              <w:rPr>
                <w:rFonts w:asciiTheme="minorEastAsia" w:eastAsiaTheme="minorEastAsia" w:hAnsiTheme="minorEastAsia" w:cs="Arial"/>
                <w:szCs w:val="21"/>
              </w:rPr>
              <w:t>综合收益总额</w:t>
            </w:r>
          </w:p>
        </w:tc>
        <w:tc>
          <w:tcPr>
            <w:tcW w:w="1843" w:type="dxa"/>
            <w:shd w:val="clear" w:color="auto" w:fill="auto"/>
            <w:noWrap/>
            <w:vAlign w:val="center"/>
            <w:hideMark/>
          </w:tcPr>
          <w:p w:rsidR="00D83956" w:rsidRPr="009C11F1" w:rsidRDefault="00D83956" w:rsidP="00730903">
            <w:pPr>
              <w:spacing w:line="400" w:lineRule="exact"/>
              <w:jc w:val="right"/>
              <w:rPr>
                <w:rFonts w:asciiTheme="minorEastAsia" w:eastAsiaTheme="minorEastAsia" w:hAnsiTheme="minorEastAsia" w:cs="Arial"/>
                <w:szCs w:val="21"/>
              </w:rPr>
            </w:pPr>
            <w:r w:rsidRPr="009C11F1">
              <w:rPr>
                <w:rFonts w:asciiTheme="minorEastAsia" w:eastAsiaTheme="minorEastAsia" w:hAnsiTheme="minorEastAsia" w:cs="Arial"/>
                <w:szCs w:val="21"/>
              </w:rPr>
              <w:t>203,516,296.07</w:t>
            </w:r>
          </w:p>
        </w:tc>
        <w:tc>
          <w:tcPr>
            <w:tcW w:w="1629" w:type="dxa"/>
            <w:shd w:val="clear" w:color="auto" w:fill="auto"/>
            <w:noWrap/>
            <w:vAlign w:val="center"/>
            <w:hideMark/>
          </w:tcPr>
          <w:p w:rsidR="00D83956" w:rsidRPr="00D83956" w:rsidRDefault="00D83956" w:rsidP="00730903">
            <w:pPr>
              <w:spacing w:line="400" w:lineRule="exact"/>
              <w:jc w:val="right"/>
              <w:rPr>
                <w:rFonts w:asciiTheme="minorEastAsia" w:eastAsiaTheme="minorEastAsia" w:hAnsiTheme="minorEastAsia" w:cs="Arial"/>
                <w:szCs w:val="21"/>
              </w:rPr>
            </w:pPr>
            <w:r w:rsidRPr="00D83956">
              <w:rPr>
                <w:rFonts w:asciiTheme="minorEastAsia" w:eastAsiaTheme="minorEastAsia" w:hAnsiTheme="minorEastAsia" w:cs="Arial"/>
                <w:szCs w:val="21"/>
              </w:rPr>
              <w:t xml:space="preserve">17,790,578.56　</w:t>
            </w:r>
          </w:p>
        </w:tc>
        <w:tc>
          <w:tcPr>
            <w:tcW w:w="1676" w:type="dxa"/>
            <w:shd w:val="clear" w:color="auto" w:fill="auto"/>
            <w:noWrap/>
            <w:vAlign w:val="center"/>
            <w:hideMark/>
          </w:tcPr>
          <w:p w:rsidR="00D83956" w:rsidRPr="00D83956" w:rsidRDefault="00D83956" w:rsidP="00730903">
            <w:pPr>
              <w:spacing w:line="400" w:lineRule="exact"/>
              <w:jc w:val="right"/>
              <w:rPr>
                <w:rFonts w:asciiTheme="minorEastAsia" w:eastAsiaTheme="minorEastAsia" w:hAnsiTheme="minorEastAsia" w:cs="Arial"/>
                <w:szCs w:val="21"/>
              </w:rPr>
            </w:pPr>
            <w:r w:rsidRPr="00D83956">
              <w:rPr>
                <w:rFonts w:asciiTheme="minorEastAsia" w:eastAsiaTheme="minorEastAsia" w:hAnsiTheme="minorEastAsia" w:cs="Arial"/>
                <w:szCs w:val="21"/>
              </w:rPr>
              <w:t>221,306,874.63</w:t>
            </w:r>
          </w:p>
        </w:tc>
      </w:tr>
      <w:tr w:rsidR="00D83956" w:rsidRPr="007E07B3" w:rsidTr="00730903">
        <w:trPr>
          <w:trHeight w:val="465"/>
        </w:trPr>
        <w:tc>
          <w:tcPr>
            <w:tcW w:w="3982" w:type="dxa"/>
            <w:shd w:val="clear" w:color="000000" w:fill="FFFFFF"/>
            <w:vAlign w:val="center"/>
            <w:hideMark/>
          </w:tcPr>
          <w:p w:rsidR="00D83956" w:rsidRPr="007E07B3" w:rsidRDefault="00D83956" w:rsidP="0021535F">
            <w:pPr>
              <w:spacing w:line="400" w:lineRule="exact"/>
              <w:rPr>
                <w:rFonts w:asciiTheme="minorEastAsia" w:eastAsiaTheme="minorEastAsia" w:hAnsiTheme="minorEastAsia" w:cs="Arial"/>
                <w:szCs w:val="21"/>
              </w:rPr>
            </w:pPr>
            <w:r w:rsidRPr="007E07B3">
              <w:rPr>
                <w:rFonts w:asciiTheme="minorEastAsia" w:eastAsiaTheme="minorEastAsia" w:hAnsiTheme="minorEastAsia" w:cs="Arial"/>
                <w:szCs w:val="21"/>
              </w:rPr>
              <w:t>归属于母公司</w:t>
            </w:r>
            <w:r w:rsidR="0021535F">
              <w:rPr>
                <w:rFonts w:asciiTheme="minorEastAsia" w:eastAsiaTheme="minorEastAsia" w:hAnsiTheme="minorEastAsia" w:cs="Arial"/>
                <w:szCs w:val="21"/>
              </w:rPr>
              <w:t>股东</w:t>
            </w:r>
            <w:r w:rsidRPr="007E07B3">
              <w:rPr>
                <w:rFonts w:asciiTheme="minorEastAsia" w:eastAsiaTheme="minorEastAsia" w:hAnsiTheme="minorEastAsia" w:cs="Arial"/>
                <w:szCs w:val="21"/>
              </w:rPr>
              <w:t>的综合收益总额</w:t>
            </w:r>
          </w:p>
        </w:tc>
        <w:tc>
          <w:tcPr>
            <w:tcW w:w="1843" w:type="dxa"/>
            <w:shd w:val="clear" w:color="auto" w:fill="auto"/>
            <w:noWrap/>
            <w:vAlign w:val="center"/>
            <w:hideMark/>
          </w:tcPr>
          <w:p w:rsidR="00D83956" w:rsidRPr="007E07B3" w:rsidRDefault="00D83956" w:rsidP="00730903">
            <w:pPr>
              <w:spacing w:line="400" w:lineRule="exact"/>
              <w:jc w:val="right"/>
              <w:rPr>
                <w:rFonts w:asciiTheme="minorEastAsia" w:eastAsiaTheme="minorEastAsia" w:hAnsiTheme="minorEastAsia" w:cs="Arial"/>
                <w:szCs w:val="21"/>
              </w:rPr>
            </w:pPr>
            <w:r w:rsidRPr="007E07B3">
              <w:rPr>
                <w:rFonts w:asciiTheme="minorEastAsia" w:eastAsiaTheme="minorEastAsia" w:hAnsiTheme="minorEastAsia" w:cs="Arial"/>
                <w:szCs w:val="21"/>
              </w:rPr>
              <w:t>188,418,798.45</w:t>
            </w:r>
          </w:p>
        </w:tc>
        <w:tc>
          <w:tcPr>
            <w:tcW w:w="1629" w:type="dxa"/>
            <w:shd w:val="clear" w:color="auto" w:fill="auto"/>
            <w:noWrap/>
            <w:vAlign w:val="center"/>
            <w:hideMark/>
          </w:tcPr>
          <w:p w:rsidR="00D83956" w:rsidRPr="00D83956" w:rsidRDefault="00D83956" w:rsidP="00730903">
            <w:pPr>
              <w:spacing w:line="400" w:lineRule="exact"/>
              <w:jc w:val="right"/>
              <w:rPr>
                <w:rFonts w:asciiTheme="minorEastAsia" w:eastAsiaTheme="minorEastAsia" w:hAnsiTheme="minorEastAsia" w:cs="Arial"/>
                <w:szCs w:val="21"/>
              </w:rPr>
            </w:pPr>
            <w:r w:rsidRPr="00D83956">
              <w:rPr>
                <w:rFonts w:asciiTheme="minorEastAsia" w:eastAsiaTheme="minorEastAsia" w:hAnsiTheme="minorEastAsia" w:cs="Arial"/>
                <w:szCs w:val="21"/>
              </w:rPr>
              <w:t xml:space="preserve">17,790,578.56　</w:t>
            </w:r>
          </w:p>
        </w:tc>
        <w:tc>
          <w:tcPr>
            <w:tcW w:w="1676" w:type="dxa"/>
            <w:shd w:val="clear" w:color="auto" w:fill="auto"/>
            <w:noWrap/>
            <w:vAlign w:val="center"/>
            <w:hideMark/>
          </w:tcPr>
          <w:p w:rsidR="00D83956" w:rsidRPr="00D83956" w:rsidRDefault="00D83956" w:rsidP="00730903">
            <w:pPr>
              <w:spacing w:line="400" w:lineRule="exact"/>
              <w:jc w:val="right"/>
              <w:rPr>
                <w:rFonts w:asciiTheme="minorEastAsia" w:eastAsiaTheme="minorEastAsia" w:hAnsiTheme="minorEastAsia" w:cs="Arial"/>
                <w:szCs w:val="21"/>
              </w:rPr>
            </w:pPr>
            <w:r w:rsidRPr="00D83956">
              <w:rPr>
                <w:rFonts w:asciiTheme="minorEastAsia" w:eastAsiaTheme="minorEastAsia" w:hAnsiTheme="minorEastAsia" w:cs="Arial"/>
                <w:szCs w:val="21"/>
              </w:rPr>
              <w:t>206,209,377.01</w:t>
            </w:r>
          </w:p>
        </w:tc>
      </w:tr>
      <w:tr w:rsidR="00D83956" w:rsidRPr="007E07B3" w:rsidTr="00730903">
        <w:trPr>
          <w:trHeight w:val="465"/>
        </w:trPr>
        <w:tc>
          <w:tcPr>
            <w:tcW w:w="3982" w:type="dxa"/>
            <w:shd w:val="clear" w:color="000000" w:fill="FFFFFF"/>
            <w:vAlign w:val="center"/>
          </w:tcPr>
          <w:p w:rsidR="00D83956" w:rsidRPr="00E82F60" w:rsidRDefault="00D83956" w:rsidP="00730903">
            <w:pPr>
              <w:spacing w:line="400" w:lineRule="exact"/>
              <w:rPr>
                <w:rFonts w:asciiTheme="minorEastAsia" w:eastAsiaTheme="minorEastAsia" w:hAnsiTheme="minorEastAsia" w:cs="Arial"/>
                <w:szCs w:val="21"/>
              </w:rPr>
            </w:pPr>
            <w:r w:rsidRPr="00E82F60">
              <w:rPr>
                <w:rFonts w:asciiTheme="minorEastAsia" w:eastAsiaTheme="minorEastAsia" w:hAnsiTheme="minorEastAsia" w:cs="Arial" w:hint="eastAsia"/>
                <w:szCs w:val="21"/>
              </w:rPr>
              <w:t>基本每股收益</w:t>
            </w:r>
          </w:p>
        </w:tc>
        <w:tc>
          <w:tcPr>
            <w:tcW w:w="1843" w:type="dxa"/>
            <w:shd w:val="clear" w:color="auto" w:fill="auto"/>
            <w:noWrap/>
            <w:vAlign w:val="center"/>
          </w:tcPr>
          <w:p w:rsidR="00D83956" w:rsidRPr="009C11F1" w:rsidRDefault="00D83956" w:rsidP="00730903">
            <w:pPr>
              <w:spacing w:line="400" w:lineRule="exact"/>
              <w:jc w:val="right"/>
              <w:rPr>
                <w:rFonts w:asciiTheme="minorEastAsia" w:eastAsiaTheme="minorEastAsia" w:hAnsiTheme="minorEastAsia" w:cs="Arial"/>
                <w:szCs w:val="21"/>
              </w:rPr>
            </w:pPr>
            <w:r w:rsidRPr="009C11F1">
              <w:rPr>
                <w:rFonts w:asciiTheme="minorEastAsia" w:eastAsiaTheme="minorEastAsia" w:hAnsiTheme="minorEastAsia" w:cs="Arial" w:hint="eastAsia"/>
                <w:szCs w:val="21"/>
              </w:rPr>
              <w:t>0</w:t>
            </w:r>
            <w:r w:rsidRPr="009C11F1">
              <w:rPr>
                <w:rFonts w:asciiTheme="minorEastAsia" w:eastAsiaTheme="minorEastAsia" w:hAnsiTheme="minorEastAsia" w:cs="Arial"/>
                <w:szCs w:val="21"/>
              </w:rPr>
              <w:t>.24</w:t>
            </w:r>
          </w:p>
        </w:tc>
        <w:tc>
          <w:tcPr>
            <w:tcW w:w="1629" w:type="dxa"/>
            <w:shd w:val="clear" w:color="auto" w:fill="auto"/>
            <w:noWrap/>
            <w:vAlign w:val="center"/>
          </w:tcPr>
          <w:p w:rsidR="00D83956" w:rsidRPr="00D83956" w:rsidRDefault="00D83956" w:rsidP="00730903">
            <w:pPr>
              <w:spacing w:line="400" w:lineRule="exact"/>
              <w:jc w:val="right"/>
              <w:rPr>
                <w:rFonts w:asciiTheme="minorEastAsia" w:eastAsiaTheme="minorEastAsia" w:hAnsiTheme="minorEastAsia" w:cs="Arial"/>
                <w:szCs w:val="21"/>
              </w:rPr>
            </w:pPr>
            <w:r w:rsidRPr="00D83956">
              <w:rPr>
                <w:rFonts w:asciiTheme="minorEastAsia" w:eastAsiaTheme="minorEastAsia" w:hAnsiTheme="minorEastAsia" w:cs="Arial"/>
                <w:szCs w:val="21"/>
              </w:rPr>
              <w:t>-0.02</w:t>
            </w:r>
          </w:p>
        </w:tc>
        <w:tc>
          <w:tcPr>
            <w:tcW w:w="1676" w:type="dxa"/>
            <w:shd w:val="clear" w:color="auto" w:fill="auto"/>
            <w:noWrap/>
            <w:vAlign w:val="center"/>
          </w:tcPr>
          <w:p w:rsidR="00D83956" w:rsidRPr="00D83956" w:rsidRDefault="00D83956" w:rsidP="00730903">
            <w:pPr>
              <w:spacing w:line="400" w:lineRule="exact"/>
              <w:jc w:val="right"/>
              <w:rPr>
                <w:rFonts w:asciiTheme="minorEastAsia" w:eastAsiaTheme="minorEastAsia" w:hAnsiTheme="minorEastAsia" w:cs="Arial"/>
                <w:szCs w:val="21"/>
              </w:rPr>
            </w:pPr>
            <w:r w:rsidRPr="00D83956">
              <w:rPr>
                <w:rFonts w:asciiTheme="minorEastAsia" w:eastAsiaTheme="minorEastAsia" w:hAnsiTheme="minorEastAsia" w:cs="Arial" w:hint="eastAsia"/>
                <w:szCs w:val="21"/>
              </w:rPr>
              <w:t>0</w:t>
            </w:r>
            <w:r w:rsidRPr="00D83956">
              <w:rPr>
                <w:rFonts w:asciiTheme="minorEastAsia" w:eastAsiaTheme="minorEastAsia" w:hAnsiTheme="minorEastAsia" w:cs="Arial"/>
                <w:szCs w:val="21"/>
              </w:rPr>
              <w:t>.22</w:t>
            </w:r>
          </w:p>
        </w:tc>
      </w:tr>
      <w:tr w:rsidR="00D83956" w:rsidRPr="007E07B3" w:rsidTr="00730903">
        <w:trPr>
          <w:trHeight w:val="465"/>
        </w:trPr>
        <w:tc>
          <w:tcPr>
            <w:tcW w:w="3982" w:type="dxa"/>
            <w:shd w:val="clear" w:color="000000" w:fill="FFFFFF"/>
            <w:vAlign w:val="center"/>
          </w:tcPr>
          <w:p w:rsidR="00D83956" w:rsidRPr="00E82F60" w:rsidRDefault="00D83956" w:rsidP="00730903">
            <w:pPr>
              <w:spacing w:line="400" w:lineRule="exact"/>
              <w:rPr>
                <w:rFonts w:asciiTheme="minorEastAsia" w:eastAsiaTheme="minorEastAsia" w:hAnsiTheme="minorEastAsia" w:cs="Arial"/>
                <w:szCs w:val="21"/>
              </w:rPr>
            </w:pPr>
            <w:r w:rsidRPr="00E82F60">
              <w:rPr>
                <w:rFonts w:asciiTheme="minorEastAsia" w:eastAsiaTheme="minorEastAsia" w:hAnsiTheme="minorEastAsia" w:cs="Arial" w:hint="eastAsia"/>
                <w:szCs w:val="21"/>
              </w:rPr>
              <w:t>稀释每股收益</w:t>
            </w:r>
          </w:p>
        </w:tc>
        <w:tc>
          <w:tcPr>
            <w:tcW w:w="1843" w:type="dxa"/>
            <w:shd w:val="clear" w:color="auto" w:fill="auto"/>
            <w:noWrap/>
            <w:vAlign w:val="center"/>
          </w:tcPr>
          <w:p w:rsidR="00D83956" w:rsidRPr="009C11F1" w:rsidRDefault="00D83956" w:rsidP="00730903">
            <w:pPr>
              <w:spacing w:line="400" w:lineRule="exact"/>
              <w:jc w:val="right"/>
              <w:rPr>
                <w:rFonts w:asciiTheme="minorEastAsia" w:eastAsiaTheme="minorEastAsia" w:hAnsiTheme="minorEastAsia" w:cs="Arial"/>
                <w:szCs w:val="21"/>
              </w:rPr>
            </w:pPr>
            <w:r w:rsidRPr="009C11F1">
              <w:rPr>
                <w:rFonts w:asciiTheme="minorEastAsia" w:eastAsiaTheme="minorEastAsia" w:hAnsiTheme="minorEastAsia" w:cs="Arial" w:hint="eastAsia"/>
                <w:szCs w:val="21"/>
              </w:rPr>
              <w:t>0</w:t>
            </w:r>
            <w:r w:rsidRPr="009C11F1">
              <w:rPr>
                <w:rFonts w:asciiTheme="minorEastAsia" w:eastAsiaTheme="minorEastAsia" w:hAnsiTheme="minorEastAsia" w:cs="Arial"/>
                <w:szCs w:val="21"/>
              </w:rPr>
              <w:t>.24</w:t>
            </w:r>
          </w:p>
        </w:tc>
        <w:tc>
          <w:tcPr>
            <w:tcW w:w="1629" w:type="dxa"/>
            <w:shd w:val="clear" w:color="auto" w:fill="auto"/>
            <w:noWrap/>
            <w:vAlign w:val="center"/>
          </w:tcPr>
          <w:p w:rsidR="00D83956" w:rsidRPr="00D83956" w:rsidRDefault="00D83956" w:rsidP="00730903">
            <w:pPr>
              <w:spacing w:line="400" w:lineRule="exact"/>
              <w:jc w:val="right"/>
              <w:rPr>
                <w:rFonts w:asciiTheme="minorEastAsia" w:eastAsiaTheme="minorEastAsia" w:hAnsiTheme="minorEastAsia" w:cs="Arial"/>
                <w:szCs w:val="21"/>
              </w:rPr>
            </w:pPr>
            <w:r w:rsidRPr="00D83956">
              <w:rPr>
                <w:rFonts w:asciiTheme="minorEastAsia" w:eastAsiaTheme="minorEastAsia" w:hAnsiTheme="minorEastAsia" w:cs="Arial"/>
                <w:szCs w:val="21"/>
              </w:rPr>
              <w:t>-0.03</w:t>
            </w:r>
          </w:p>
        </w:tc>
        <w:tc>
          <w:tcPr>
            <w:tcW w:w="1676" w:type="dxa"/>
            <w:shd w:val="clear" w:color="auto" w:fill="auto"/>
            <w:noWrap/>
            <w:vAlign w:val="center"/>
          </w:tcPr>
          <w:p w:rsidR="00D83956" w:rsidRPr="00D83956" w:rsidRDefault="00D83956" w:rsidP="00730903">
            <w:pPr>
              <w:spacing w:line="400" w:lineRule="exact"/>
              <w:jc w:val="right"/>
              <w:rPr>
                <w:rFonts w:asciiTheme="minorEastAsia" w:eastAsiaTheme="minorEastAsia" w:hAnsiTheme="minorEastAsia" w:cs="Arial"/>
                <w:szCs w:val="21"/>
              </w:rPr>
            </w:pPr>
            <w:r w:rsidRPr="00D83956">
              <w:rPr>
                <w:rFonts w:asciiTheme="minorEastAsia" w:eastAsiaTheme="minorEastAsia" w:hAnsiTheme="minorEastAsia" w:cs="Arial" w:hint="eastAsia"/>
                <w:szCs w:val="21"/>
              </w:rPr>
              <w:t>0</w:t>
            </w:r>
            <w:r w:rsidRPr="00D83956">
              <w:rPr>
                <w:rFonts w:asciiTheme="minorEastAsia" w:eastAsiaTheme="minorEastAsia" w:hAnsiTheme="minorEastAsia" w:cs="Arial"/>
                <w:szCs w:val="21"/>
              </w:rPr>
              <w:t>.21</w:t>
            </w:r>
          </w:p>
        </w:tc>
      </w:tr>
    </w:tbl>
    <w:p w:rsidR="00D83956" w:rsidRPr="002804B2" w:rsidRDefault="00D83956" w:rsidP="00D83956">
      <w:pPr>
        <w:spacing w:line="440" w:lineRule="exact"/>
        <w:ind w:firstLineChars="200" w:firstLine="480"/>
        <w:rPr>
          <w:rFonts w:asciiTheme="minorEastAsia" w:eastAsiaTheme="minorEastAsia" w:hAnsiTheme="minorEastAsia" w:cs="Arial"/>
          <w:sz w:val="24"/>
        </w:rPr>
      </w:pPr>
      <w:r w:rsidRPr="002804B2">
        <w:rPr>
          <w:rFonts w:asciiTheme="minorEastAsia" w:eastAsiaTheme="minorEastAsia" w:hAnsiTheme="minorEastAsia" w:cs="Arial" w:hint="eastAsia"/>
          <w:sz w:val="24"/>
        </w:rPr>
        <w:t>说明：上表中投资收益、其他综合收益更正金额为对索尔思光电长期股权投资权益法核算进行差错更正导致。</w:t>
      </w:r>
    </w:p>
    <w:p w:rsidR="00D83956" w:rsidRPr="002804B2" w:rsidRDefault="00D83956" w:rsidP="00D83956">
      <w:pPr>
        <w:spacing w:line="440" w:lineRule="exact"/>
        <w:ind w:firstLineChars="200" w:firstLine="480"/>
        <w:rPr>
          <w:rFonts w:asciiTheme="minorEastAsia" w:eastAsiaTheme="minorEastAsia" w:hAnsiTheme="minorEastAsia" w:cs="Arial"/>
          <w:sz w:val="24"/>
        </w:rPr>
      </w:pPr>
      <w:r w:rsidRPr="002804B2">
        <w:rPr>
          <w:rFonts w:asciiTheme="minorEastAsia" w:eastAsiaTheme="minorEastAsia" w:hAnsiTheme="minorEastAsia" w:cs="Arial" w:hint="eastAsia"/>
          <w:sz w:val="24"/>
        </w:rPr>
        <w:t>（3）合并现金流量表项目</w:t>
      </w:r>
    </w:p>
    <w:p w:rsidR="00D83956" w:rsidRPr="002804B2" w:rsidRDefault="00D83956" w:rsidP="00D83956">
      <w:pPr>
        <w:spacing w:line="440" w:lineRule="exact"/>
        <w:ind w:firstLineChars="200" w:firstLine="480"/>
        <w:rPr>
          <w:rFonts w:asciiTheme="minorEastAsia" w:eastAsiaTheme="minorEastAsia" w:hAnsiTheme="minorEastAsia" w:cs="Arial"/>
          <w:sz w:val="24"/>
        </w:rPr>
      </w:pPr>
      <w:r w:rsidRPr="002804B2">
        <w:rPr>
          <w:rFonts w:asciiTheme="minorEastAsia" w:eastAsiaTheme="minorEastAsia" w:hAnsiTheme="minorEastAsia" w:cs="Arial" w:hint="eastAsia"/>
          <w:sz w:val="24"/>
        </w:rPr>
        <w:t>本次差错更正对现金流量表没有影响。</w:t>
      </w:r>
    </w:p>
    <w:p w:rsidR="00D83956" w:rsidRPr="002804B2" w:rsidRDefault="00D83956" w:rsidP="00D83956">
      <w:pPr>
        <w:spacing w:line="440" w:lineRule="exact"/>
        <w:ind w:firstLineChars="200" w:firstLine="480"/>
        <w:rPr>
          <w:rFonts w:asciiTheme="minorEastAsia" w:eastAsiaTheme="minorEastAsia" w:hAnsiTheme="minorEastAsia" w:cs="Arial"/>
          <w:sz w:val="24"/>
        </w:rPr>
      </w:pPr>
      <w:r w:rsidRPr="002804B2">
        <w:rPr>
          <w:rFonts w:asciiTheme="minorEastAsia" w:eastAsiaTheme="minorEastAsia" w:hAnsiTheme="minorEastAsia" w:cs="Arial" w:hint="eastAsia"/>
          <w:sz w:val="24"/>
        </w:rPr>
        <w:t>2、母公司财务报表</w:t>
      </w:r>
    </w:p>
    <w:p w:rsidR="00D83956" w:rsidRPr="002804B2" w:rsidRDefault="00D83956" w:rsidP="00D83956">
      <w:pPr>
        <w:spacing w:line="440" w:lineRule="exact"/>
        <w:ind w:firstLineChars="200" w:firstLine="480"/>
        <w:rPr>
          <w:rFonts w:asciiTheme="minorEastAsia" w:eastAsiaTheme="minorEastAsia" w:hAnsiTheme="minorEastAsia" w:cs="Arial"/>
          <w:sz w:val="24"/>
        </w:rPr>
      </w:pPr>
      <w:r w:rsidRPr="002804B2">
        <w:rPr>
          <w:rFonts w:asciiTheme="minorEastAsia" w:eastAsiaTheme="minorEastAsia" w:hAnsiTheme="minorEastAsia" w:cs="Arial" w:hint="eastAsia"/>
          <w:sz w:val="24"/>
        </w:rPr>
        <w:t>本次差错更正对资产负债表、利润表、现金流量表没有影响。</w:t>
      </w:r>
    </w:p>
    <w:p w:rsidR="00D83956" w:rsidRPr="004F18FA" w:rsidRDefault="00D83956">
      <w:pPr>
        <w:snapToGrid w:val="0"/>
        <w:spacing w:line="360" w:lineRule="auto"/>
        <w:ind w:firstLineChars="200" w:firstLine="480"/>
        <w:rPr>
          <w:rFonts w:ascii="宋体" w:hAnsi="宋体"/>
          <w:sz w:val="24"/>
          <w:szCs w:val="24"/>
        </w:rPr>
      </w:pPr>
    </w:p>
    <w:p w:rsidR="00436CE2" w:rsidRPr="00436CE2" w:rsidRDefault="00436CE2" w:rsidP="00436CE2">
      <w:pPr>
        <w:snapToGrid w:val="0"/>
        <w:spacing w:line="360" w:lineRule="auto"/>
        <w:rPr>
          <w:rFonts w:ascii="宋体" w:hAnsi="宋体"/>
          <w:b/>
          <w:sz w:val="24"/>
          <w:szCs w:val="24"/>
        </w:rPr>
      </w:pPr>
      <w:r w:rsidRPr="00436CE2">
        <w:rPr>
          <w:rFonts w:ascii="宋体" w:hAnsi="宋体" w:hint="eastAsia"/>
          <w:b/>
          <w:sz w:val="24"/>
          <w:szCs w:val="24"/>
        </w:rPr>
        <w:t>七、会计政策变更</w:t>
      </w:r>
    </w:p>
    <w:p w:rsidR="00436CE2" w:rsidRPr="00436CE2" w:rsidRDefault="00436CE2" w:rsidP="00436CE2">
      <w:pPr>
        <w:snapToGrid w:val="0"/>
        <w:spacing w:line="360" w:lineRule="auto"/>
        <w:ind w:firstLineChars="200" w:firstLine="480"/>
        <w:rPr>
          <w:rFonts w:ascii="宋体" w:hAnsi="宋体"/>
          <w:sz w:val="24"/>
          <w:szCs w:val="24"/>
        </w:rPr>
      </w:pPr>
      <w:r w:rsidRPr="00436CE2">
        <w:rPr>
          <w:rFonts w:ascii="宋体" w:hAnsi="宋体" w:hint="eastAsia"/>
          <w:sz w:val="24"/>
          <w:szCs w:val="24"/>
        </w:rPr>
        <w:t>2022年12月13日，财政部发布了《企业会计准则解释第16号》（财会〔2022〕31号，以下简称“解释16号”），解释16号“关于单项交易产生的资产和负债相关的递延所得税不适用初始确认豁免的会计处理”自2023年1月1日起施行，允许企业自发布年度提前执行。对于在首次施行解释16号的财务报表列报最早期间的期初（即2022年1月1日）因适用解释16号单项交易而确认的租赁负债和使用权资产，以及确认的弃置义务相关预计负债和对应的相关资产，产生可抵扣暂时性差异和应纳税暂时性差异的，按照解释16号和《企业会计准则第18号——所得税》的规定，将累积影响</w:t>
      </w:r>
      <w:proofErr w:type="gramStart"/>
      <w:r w:rsidRPr="00436CE2">
        <w:rPr>
          <w:rFonts w:ascii="宋体" w:hAnsi="宋体" w:hint="eastAsia"/>
          <w:sz w:val="24"/>
          <w:szCs w:val="24"/>
        </w:rPr>
        <w:t>数调整</w:t>
      </w:r>
      <w:proofErr w:type="gramEnd"/>
      <w:r w:rsidRPr="00436CE2">
        <w:rPr>
          <w:rFonts w:ascii="宋体" w:hAnsi="宋体" w:hint="eastAsia"/>
          <w:sz w:val="24"/>
          <w:szCs w:val="24"/>
        </w:rPr>
        <w:t>财务报表列报最早期间的期初（即2022年1月1日）留存收益及其他相关财务报表项目。公司自2023年1月1日起执行，该项会计政策变更对公司财务报表无影响。</w:t>
      </w:r>
    </w:p>
    <w:p w:rsidR="00436CE2" w:rsidRPr="00436CE2" w:rsidRDefault="00436CE2">
      <w:pPr>
        <w:snapToGrid w:val="0"/>
        <w:spacing w:line="360" w:lineRule="auto"/>
        <w:ind w:firstLineChars="200" w:firstLine="480"/>
        <w:rPr>
          <w:rFonts w:asciiTheme="minorEastAsia" w:eastAsiaTheme="minorEastAsia" w:hAnsiTheme="minorEastAsia"/>
          <w:sz w:val="24"/>
          <w:szCs w:val="24"/>
        </w:rPr>
      </w:pPr>
    </w:p>
    <w:p w:rsidR="00B041EC" w:rsidRDefault="00436CE2">
      <w:pPr>
        <w:adjustRightInd w:val="0"/>
        <w:snapToGrid w:val="0"/>
        <w:spacing w:line="360" w:lineRule="auto"/>
        <w:rPr>
          <w:rFonts w:ascii="宋体" w:hAnsi="宋体"/>
          <w:b/>
          <w:sz w:val="24"/>
          <w:szCs w:val="24"/>
        </w:rPr>
      </w:pPr>
      <w:r>
        <w:rPr>
          <w:rFonts w:ascii="宋体" w:hAnsi="宋体" w:hint="eastAsia"/>
          <w:b/>
          <w:sz w:val="24"/>
          <w:szCs w:val="24"/>
        </w:rPr>
        <w:t>八</w:t>
      </w:r>
      <w:r w:rsidR="002D04A5">
        <w:rPr>
          <w:rFonts w:ascii="宋体" w:hAnsi="宋体" w:hint="eastAsia"/>
          <w:b/>
          <w:sz w:val="24"/>
          <w:szCs w:val="24"/>
        </w:rPr>
        <w:t>、其他重要事项</w:t>
      </w:r>
    </w:p>
    <w:p w:rsidR="00B041EC" w:rsidRDefault="002D04A5">
      <w:pPr>
        <w:adjustRightInd w:val="0"/>
        <w:snapToGrid w:val="0"/>
        <w:spacing w:line="360" w:lineRule="auto"/>
        <w:ind w:firstLineChars="200" w:firstLine="480"/>
        <w:rPr>
          <w:rFonts w:ascii="宋体" w:hAnsi="宋体"/>
          <w:sz w:val="24"/>
          <w:szCs w:val="24"/>
        </w:rPr>
      </w:pPr>
      <w:r>
        <w:rPr>
          <w:rFonts w:ascii="宋体" w:hAnsi="宋体" w:hint="eastAsia"/>
          <w:sz w:val="24"/>
          <w:szCs w:val="24"/>
        </w:rPr>
        <w:t>1</w:t>
      </w:r>
      <w:r w:rsidR="00541DBB">
        <w:rPr>
          <w:rFonts w:ascii="宋体" w:hAnsi="宋体" w:hint="eastAsia"/>
          <w:sz w:val="24"/>
          <w:szCs w:val="24"/>
        </w:rPr>
        <w:t>、截至</w:t>
      </w:r>
      <w:r w:rsidR="00321BA0">
        <w:rPr>
          <w:rFonts w:ascii="宋体" w:hAnsi="宋体" w:hint="eastAsia"/>
          <w:sz w:val="24"/>
          <w:szCs w:val="24"/>
        </w:rPr>
        <w:t>2023年</w:t>
      </w:r>
      <w:r>
        <w:rPr>
          <w:rFonts w:ascii="宋体" w:hAnsi="宋体" w:hint="eastAsia"/>
          <w:sz w:val="24"/>
          <w:szCs w:val="24"/>
        </w:rPr>
        <w:t>12月31日，公司没有发生为控股股东及其下属企业提供非经营性资金的情形，不存在非经营性资金占用问题。</w:t>
      </w:r>
    </w:p>
    <w:p w:rsidR="00B041EC" w:rsidRDefault="002D04A5">
      <w:pPr>
        <w:adjustRightInd w:val="0"/>
        <w:snapToGrid w:val="0"/>
        <w:spacing w:line="360" w:lineRule="auto"/>
        <w:ind w:firstLineChars="200" w:firstLine="480"/>
        <w:rPr>
          <w:rFonts w:ascii="宋体" w:hAnsi="宋体"/>
          <w:sz w:val="24"/>
          <w:szCs w:val="24"/>
        </w:rPr>
      </w:pPr>
      <w:r>
        <w:rPr>
          <w:rFonts w:ascii="宋体" w:hAnsi="宋体" w:hint="eastAsia"/>
          <w:sz w:val="24"/>
          <w:szCs w:val="24"/>
        </w:rPr>
        <w:t>2</w:t>
      </w:r>
      <w:r w:rsidR="00541DBB">
        <w:rPr>
          <w:rFonts w:ascii="宋体" w:hAnsi="宋体" w:hint="eastAsia"/>
          <w:sz w:val="24"/>
          <w:szCs w:val="24"/>
        </w:rPr>
        <w:t>、截至</w:t>
      </w:r>
      <w:r w:rsidR="00321BA0">
        <w:rPr>
          <w:rFonts w:ascii="宋体" w:hAnsi="宋体" w:hint="eastAsia"/>
          <w:sz w:val="24"/>
          <w:szCs w:val="24"/>
        </w:rPr>
        <w:t>2023年</w:t>
      </w:r>
      <w:r>
        <w:rPr>
          <w:rFonts w:ascii="宋体" w:hAnsi="宋体" w:hint="eastAsia"/>
          <w:sz w:val="24"/>
          <w:szCs w:val="24"/>
        </w:rPr>
        <w:t>12月31日，公司存放在江苏华西集团财务有限公司的归集资金余额为零元。</w:t>
      </w:r>
    </w:p>
    <w:p w:rsidR="00B041EC" w:rsidRDefault="002D04A5">
      <w:pPr>
        <w:adjustRightInd w:val="0"/>
        <w:snapToGrid w:val="0"/>
        <w:spacing w:line="360" w:lineRule="auto"/>
        <w:ind w:firstLineChars="200" w:firstLine="480"/>
        <w:rPr>
          <w:rFonts w:ascii="宋体" w:hAnsi="宋体"/>
          <w:sz w:val="24"/>
        </w:rPr>
      </w:pPr>
      <w:r>
        <w:rPr>
          <w:rFonts w:ascii="宋体" w:hAnsi="宋体" w:hint="eastAsia"/>
          <w:sz w:val="24"/>
          <w:szCs w:val="24"/>
        </w:rPr>
        <w:lastRenderedPageBreak/>
        <w:t>3、</w:t>
      </w:r>
      <w:r w:rsidR="00541DBB">
        <w:rPr>
          <w:rFonts w:ascii="宋体" w:hAnsi="宋体" w:hint="eastAsia"/>
          <w:sz w:val="24"/>
        </w:rPr>
        <w:t>截至</w:t>
      </w:r>
      <w:r w:rsidR="00436CE2">
        <w:rPr>
          <w:rFonts w:ascii="宋体" w:hAnsi="宋体" w:hint="eastAsia"/>
          <w:sz w:val="24"/>
        </w:rPr>
        <w:t>2023</w:t>
      </w:r>
      <w:r w:rsidR="00321BA0">
        <w:rPr>
          <w:rFonts w:ascii="宋体" w:hAnsi="宋体" w:hint="eastAsia"/>
          <w:sz w:val="24"/>
        </w:rPr>
        <w:t>年</w:t>
      </w:r>
      <w:r>
        <w:rPr>
          <w:rFonts w:ascii="宋体" w:hAnsi="宋体" w:hint="eastAsia"/>
          <w:sz w:val="24"/>
        </w:rPr>
        <w:t>12月31日，公司为江苏华西集团有限公司贷款提供担保</w:t>
      </w:r>
      <w:r w:rsidR="007208F6">
        <w:rPr>
          <w:rFonts w:ascii="宋体" w:hAnsi="宋体" w:hint="eastAsia"/>
          <w:sz w:val="24"/>
        </w:rPr>
        <w:t>64</w:t>
      </w:r>
      <w:r>
        <w:rPr>
          <w:rFonts w:ascii="宋体" w:hAnsi="宋体" w:hint="eastAsia"/>
          <w:sz w:val="24"/>
        </w:rPr>
        <w:t>,</w:t>
      </w:r>
      <w:r w:rsidR="007208F6">
        <w:rPr>
          <w:rFonts w:ascii="宋体" w:hAnsi="宋体" w:hint="eastAsia"/>
          <w:sz w:val="24"/>
        </w:rPr>
        <w:t>5</w:t>
      </w:r>
      <w:r>
        <w:rPr>
          <w:rFonts w:ascii="宋体" w:hAnsi="宋体" w:hint="eastAsia"/>
          <w:sz w:val="24"/>
        </w:rPr>
        <w:t>00万元，公司为江阴市华西热电有限公司贷款提供担保21,6</w:t>
      </w:r>
      <w:r w:rsidR="007208F6">
        <w:rPr>
          <w:rFonts w:ascii="宋体" w:hAnsi="宋体" w:hint="eastAsia"/>
          <w:sz w:val="24"/>
        </w:rPr>
        <w:t>05</w:t>
      </w:r>
      <w:r>
        <w:rPr>
          <w:rFonts w:ascii="宋体" w:hAnsi="宋体" w:hint="eastAsia"/>
          <w:sz w:val="24"/>
        </w:rPr>
        <w:t>万元，合计实际提供对外担保86,</w:t>
      </w:r>
      <w:r w:rsidR="007208F6">
        <w:rPr>
          <w:rFonts w:ascii="宋体" w:hAnsi="宋体" w:hint="eastAsia"/>
          <w:sz w:val="24"/>
        </w:rPr>
        <w:t>105</w:t>
      </w:r>
      <w:r>
        <w:rPr>
          <w:rFonts w:ascii="宋体" w:hAnsi="宋体" w:hint="eastAsia"/>
          <w:sz w:val="24"/>
        </w:rPr>
        <w:t>万元。江苏华西集团有限公司为我司贷款</w:t>
      </w:r>
      <w:r w:rsidR="00AD4D9F">
        <w:rPr>
          <w:rFonts w:ascii="宋体" w:hAnsi="宋体" w:hint="eastAsia"/>
          <w:sz w:val="24"/>
        </w:rPr>
        <w:t>实际</w:t>
      </w:r>
      <w:r>
        <w:rPr>
          <w:rFonts w:ascii="宋体" w:hAnsi="宋体" w:hint="eastAsia"/>
          <w:sz w:val="24"/>
        </w:rPr>
        <w:t>提供担保总额为</w:t>
      </w:r>
      <w:r w:rsidR="00B31C66">
        <w:rPr>
          <w:rFonts w:ascii="宋体" w:hAnsi="宋体" w:hint="eastAsia"/>
          <w:sz w:val="24"/>
        </w:rPr>
        <w:t>81</w:t>
      </w:r>
      <w:r>
        <w:rPr>
          <w:rFonts w:ascii="宋体" w:hAnsi="宋体" w:hint="eastAsia"/>
          <w:sz w:val="24"/>
        </w:rPr>
        <w:t>,</w:t>
      </w:r>
      <w:r w:rsidR="00B31C66">
        <w:rPr>
          <w:rFonts w:ascii="宋体" w:hAnsi="宋体" w:hint="eastAsia"/>
          <w:sz w:val="24"/>
        </w:rPr>
        <w:t>432</w:t>
      </w:r>
      <w:r>
        <w:rPr>
          <w:rFonts w:ascii="宋体" w:hAnsi="宋体" w:hint="eastAsia"/>
          <w:sz w:val="24"/>
        </w:rPr>
        <w:t>.</w:t>
      </w:r>
      <w:r w:rsidR="00B31C66">
        <w:rPr>
          <w:rFonts w:ascii="宋体" w:hAnsi="宋体" w:hint="eastAsia"/>
          <w:sz w:val="24"/>
        </w:rPr>
        <w:t>9</w:t>
      </w:r>
      <w:r w:rsidR="003E0739">
        <w:rPr>
          <w:rFonts w:ascii="宋体" w:hAnsi="宋体" w:hint="eastAsia"/>
          <w:sz w:val="24"/>
        </w:rPr>
        <w:t>8</w:t>
      </w:r>
      <w:r>
        <w:rPr>
          <w:rFonts w:ascii="宋体" w:hAnsi="宋体" w:hint="eastAsia"/>
          <w:sz w:val="24"/>
        </w:rPr>
        <w:t>万元。</w:t>
      </w:r>
    </w:p>
    <w:p w:rsidR="00B041EC" w:rsidRDefault="002D04A5">
      <w:pPr>
        <w:adjustRightInd w:val="0"/>
        <w:snapToGrid w:val="0"/>
        <w:spacing w:line="360" w:lineRule="auto"/>
        <w:ind w:firstLineChars="200" w:firstLine="480"/>
        <w:rPr>
          <w:rFonts w:ascii="宋体" w:hAnsi="宋体"/>
          <w:sz w:val="24"/>
        </w:rPr>
      </w:pPr>
      <w:r>
        <w:rPr>
          <w:rFonts w:ascii="宋体" w:hAnsi="宋体" w:hint="eastAsia"/>
          <w:sz w:val="24"/>
          <w:szCs w:val="24"/>
        </w:rPr>
        <w:t>4、</w:t>
      </w:r>
      <w:r w:rsidR="00520C5A" w:rsidRPr="00141C7D">
        <w:rPr>
          <w:rFonts w:ascii="宋体" w:hAnsi="宋体" w:hint="eastAsia"/>
          <w:sz w:val="24"/>
        </w:rPr>
        <w:t>2023年度，</w:t>
      </w:r>
      <w:r w:rsidRPr="00141C7D">
        <w:rPr>
          <w:rFonts w:ascii="宋体" w:hAnsi="宋体"/>
          <w:sz w:val="24"/>
        </w:rPr>
        <w:t>公司</w:t>
      </w:r>
      <w:r w:rsidRPr="00141C7D">
        <w:rPr>
          <w:rFonts w:ascii="宋体" w:hAnsi="宋体" w:hint="eastAsia"/>
          <w:sz w:val="24"/>
        </w:rPr>
        <w:t>为</w:t>
      </w:r>
      <w:r w:rsidRPr="00141C7D">
        <w:rPr>
          <w:rFonts w:ascii="宋体" w:hAnsi="宋体"/>
          <w:sz w:val="24"/>
        </w:rPr>
        <w:t>子公司</w:t>
      </w:r>
      <w:r w:rsidRPr="00141C7D">
        <w:rPr>
          <w:rFonts w:ascii="宋体" w:hAnsi="宋体" w:hint="eastAsia"/>
          <w:sz w:val="24"/>
        </w:rPr>
        <w:t>江阴华西化工码头有限公司申请</w:t>
      </w:r>
      <w:r w:rsidR="00E15873" w:rsidRPr="00141C7D">
        <w:rPr>
          <w:rFonts w:ascii="宋体" w:hAnsi="宋体" w:hint="eastAsia"/>
          <w:sz w:val="24"/>
        </w:rPr>
        <w:t>的</w:t>
      </w:r>
      <w:r w:rsidRPr="00141C7D">
        <w:rPr>
          <w:rFonts w:ascii="宋体" w:hAnsi="宋体" w:hint="eastAsia"/>
          <w:sz w:val="24"/>
        </w:rPr>
        <w:t>甲醇</w:t>
      </w:r>
      <w:r w:rsidR="007208F6" w:rsidRPr="00141C7D">
        <w:rPr>
          <w:rFonts w:ascii="宋体" w:hAnsi="宋体" w:hint="eastAsia"/>
          <w:sz w:val="24"/>
        </w:rPr>
        <w:t>、</w:t>
      </w:r>
      <w:r w:rsidR="00A4719A" w:rsidRPr="00141C7D">
        <w:rPr>
          <w:rFonts w:ascii="宋体" w:hAnsi="宋体" w:hint="eastAsia"/>
          <w:sz w:val="24"/>
        </w:rPr>
        <w:t>苯乙烯</w:t>
      </w:r>
      <w:r w:rsidR="007208F6" w:rsidRPr="00141C7D">
        <w:rPr>
          <w:rFonts w:ascii="宋体" w:hAnsi="宋体" w:hint="eastAsia"/>
          <w:sz w:val="24"/>
        </w:rPr>
        <w:t>、对二甲苯指定</w:t>
      </w:r>
      <w:r w:rsidRPr="00141C7D">
        <w:rPr>
          <w:rFonts w:ascii="宋体" w:hAnsi="宋体" w:hint="eastAsia"/>
          <w:sz w:val="24"/>
        </w:rPr>
        <w:t>交割</w:t>
      </w:r>
      <w:r w:rsidR="00A4719A" w:rsidRPr="00141C7D">
        <w:rPr>
          <w:rFonts w:ascii="宋体" w:hAnsi="宋体" w:hint="eastAsia"/>
          <w:sz w:val="24"/>
        </w:rPr>
        <w:t>仓</w:t>
      </w:r>
      <w:r w:rsidRPr="00141C7D">
        <w:rPr>
          <w:rFonts w:ascii="宋体" w:hAnsi="宋体" w:hint="eastAsia"/>
          <w:sz w:val="24"/>
        </w:rPr>
        <w:t>库</w:t>
      </w:r>
      <w:r w:rsidR="007D4A45" w:rsidRPr="00141C7D">
        <w:rPr>
          <w:rFonts w:ascii="宋体" w:hAnsi="宋体" w:hint="eastAsia"/>
          <w:sz w:val="24"/>
        </w:rPr>
        <w:t>业务</w:t>
      </w:r>
      <w:r w:rsidRPr="00141C7D">
        <w:rPr>
          <w:rFonts w:ascii="宋体" w:hAnsi="宋体" w:hint="eastAsia"/>
          <w:sz w:val="24"/>
        </w:rPr>
        <w:t>提供担保</w:t>
      </w:r>
      <w:r w:rsidR="00541DBB" w:rsidRPr="00141C7D">
        <w:rPr>
          <w:rFonts w:ascii="宋体" w:hAnsi="宋体" w:hint="eastAsia"/>
          <w:sz w:val="24"/>
        </w:rPr>
        <w:t>实际发生金额为18,989万元，截至2023年12月31日，该类担保</w:t>
      </w:r>
      <w:r w:rsidRPr="00141C7D">
        <w:rPr>
          <w:rFonts w:ascii="宋体" w:hAnsi="宋体" w:hint="eastAsia"/>
          <w:sz w:val="24"/>
        </w:rPr>
        <w:t>实际金额为零元。</w:t>
      </w:r>
    </w:p>
    <w:p w:rsidR="00436CE2" w:rsidRPr="00436CE2" w:rsidRDefault="00436CE2">
      <w:pPr>
        <w:adjustRightInd w:val="0"/>
        <w:snapToGrid w:val="0"/>
        <w:spacing w:line="360" w:lineRule="auto"/>
        <w:ind w:firstLineChars="200" w:firstLine="480"/>
        <w:rPr>
          <w:rFonts w:ascii="宋体" w:hAnsi="宋体"/>
          <w:sz w:val="24"/>
        </w:rPr>
      </w:pPr>
    </w:p>
    <w:p w:rsidR="00B041EC" w:rsidRDefault="00B041EC">
      <w:pPr>
        <w:adjustRightInd w:val="0"/>
        <w:snapToGrid w:val="0"/>
        <w:spacing w:line="360" w:lineRule="auto"/>
        <w:ind w:firstLineChars="200" w:firstLine="480"/>
        <w:rPr>
          <w:rFonts w:ascii="宋体" w:hAnsi="宋体"/>
          <w:sz w:val="24"/>
          <w:szCs w:val="24"/>
        </w:rPr>
      </w:pPr>
    </w:p>
    <w:p w:rsidR="00665620" w:rsidRDefault="00665620">
      <w:pPr>
        <w:adjustRightInd w:val="0"/>
        <w:snapToGrid w:val="0"/>
        <w:spacing w:line="360" w:lineRule="auto"/>
        <w:ind w:firstLineChars="200" w:firstLine="480"/>
        <w:rPr>
          <w:rFonts w:ascii="宋体" w:hAnsi="宋体"/>
          <w:sz w:val="24"/>
          <w:szCs w:val="24"/>
        </w:rPr>
      </w:pPr>
    </w:p>
    <w:p w:rsidR="00436CE2" w:rsidRDefault="00436CE2">
      <w:pPr>
        <w:adjustRightInd w:val="0"/>
        <w:snapToGrid w:val="0"/>
        <w:spacing w:line="360" w:lineRule="auto"/>
        <w:ind w:firstLineChars="200" w:firstLine="480"/>
        <w:rPr>
          <w:rFonts w:ascii="宋体" w:hAnsi="宋体"/>
          <w:sz w:val="24"/>
          <w:szCs w:val="24"/>
        </w:rPr>
      </w:pPr>
    </w:p>
    <w:p w:rsidR="00B041EC" w:rsidRDefault="002D04A5">
      <w:pPr>
        <w:snapToGrid w:val="0"/>
        <w:spacing w:line="360" w:lineRule="auto"/>
        <w:ind w:firstLineChars="200" w:firstLine="480"/>
        <w:rPr>
          <w:rFonts w:ascii="宋体" w:hAnsi="宋体"/>
          <w:sz w:val="24"/>
          <w:szCs w:val="24"/>
        </w:rPr>
      </w:pPr>
      <w:r>
        <w:rPr>
          <w:rFonts w:ascii="宋体" w:hAnsi="宋体" w:hint="eastAsia"/>
          <w:sz w:val="24"/>
          <w:szCs w:val="24"/>
        </w:rPr>
        <w:t xml:space="preserve">                                   江苏华西村股份有限公司</w:t>
      </w:r>
      <w:r w:rsidR="00D52FF4">
        <w:rPr>
          <w:rFonts w:ascii="宋体" w:hAnsi="宋体" w:hint="eastAsia"/>
          <w:sz w:val="24"/>
          <w:szCs w:val="24"/>
        </w:rPr>
        <w:t>董事会</w:t>
      </w:r>
    </w:p>
    <w:p w:rsidR="00B041EC" w:rsidRDefault="002D04A5" w:rsidP="00CF09F8">
      <w:pPr>
        <w:snapToGrid w:val="0"/>
        <w:spacing w:line="360" w:lineRule="auto"/>
        <w:ind w:right="480" w:firstLineChars="2300" w:firstLine="5520"/>
        <w:rPr>
          <w:rFonts w:ascii="宋体" w:hAnsi="宋体"/>
          <w:sz w:val="24"/>
          <w:szCs w:val="24"/>
        </w:rPr>
      </w:pPr>
      <w:r>
        <w:rPr>
          <w:rFonts w:ascii="宋体" w:hAnsi="宋体" w:hint="eastAsia"/>
          <w:sz w:val="24"/>
          <w:szCs w:val="24"/>
        </w:rPr>
        <w:t>202</w:t>
      </w:r>
      <w:r w:rsidR="00321BA0">
        <w:rPr>
          <w:rFonts w:ascii="宋体" w:hAnsi="宋体" w:hint="eastAsia"/>
          <w:sz w:val="24"/>
          <w:szCs w:val="24"/>
        </w:rPr>
        <w:t>4</w:t>
      </w:r>
      <w:r>
        <w:rPr>
          <w:rFonts w:ascii="宋体" w:hAnsi="宋体" w:hint="eastAsia"/>
          <w:sz w:val="24"/>
          <w:szCs w:val="24"/>
        </w:rPr>
        <w:t>年4月</w:t>
      </w:r>
      <w:r w:rsidR="00D52FF4">
        <w:rPr>
          <w:rFonts w:ascii="宋体" w:hAnsi="宋体" w:hint="eastAsia"/>
          <w:sz w:val="24"/>
          <w:szCs w:val="24"/>
        </w:rPr>
        <w:t>30</w:t>
      </w:r>
      <w:r>
        <w:rPr>
          <w:rFonts w:ascii="宋体" w:hAnsi="宋体" w:hint="eastAsia"/>
          <w:sz w:val="24"/>
          <w:szCs w:val="24"/>
        </w:rPr>
        <w:t>日</w:t>
      </w:r>
    </w:p>
    <w:sectPr w:rsidR="00B041EC" w:rsidSect="00E76DF8">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38E" w:rsidRDefault="00E0138E">
      <w:r>
        <w:separator/>
      </w:r>
    </w:p>
  </w:endnote>
  <w:endnote w:type="continuationSeparator" w:id="0">
    <w:p w:rsidR="00E0138E" w:rsidRDefault="00E01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18D" w:rsidRDefault="003F218D">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3F218D" w:rsidRDefault="003F218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18D" w:rsidRDefault="003F218D">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D87942">
      <w:rPr>
        <w:rStyle w:val="a8"/>
        <w:noProof/>
      </w:rPr>
      <w:t>2</w:t>
    </w:r>
    <w:r>
      <w:rPr>
        <w:rStyle w:val="a8"/>
      </w:rPr>
      <w:fldChar w:fldCharType="end"/>
    </w:r>
  </w:p>
  <w:p w:rsidR="003F218D" w:rsidRDefault="003F218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38E" w:rsidRDefault="00E0138E">
      <w:r>
        <w:separator/>
      </w:r>
    </w:p>
  </w:footnote>
  <w:footnote w:type="continuationSeparator" w:id="0">
    <w:p w:rsidR="00E0138E" w:rsidRDefault="00E013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90762"/>
    <w:rsid w:val="0000026F"/>
    <w:rsid w:val="00001B5A"/>
    <w:rsid w:val="000020F6"/>
    <w:rsid w:val="000062E6"/>
    <w:rsid w:val="0001025C"/>
    <w:rsid w:val="00012E3A"/>
    <w:rsid w:val="0001309B"/>
    <w:rsid w:val="00016056"/>
    <w:rsid w:val="00023169"/>
    <w:rsid w:val="000240D6"/>
    <w:rsid w:val="000268EE"/>
    <w:rsid w:val="00032A8E"/>
    <w:rsid w:val="00034300"/>
    <w:rsid w:val="00034794"/>
    <w:rsid w:val="0003622E"/>
    <w:rsid w:val="00036A70"/>
    <w:rsid w:val="00037D9B"/>
    <w:rsid w:val="00042436"/>
    <w:rsid w:val="0004327A"/>
    <w:rsid w:val="00043905"/>
    <w:rsid w:val="00043A20"/>
    <w:rsid w:val="00045EAF"/>
    <w:rsid w:val="0005231A"/>
    <w:rsid w:val="00053F76"/>
    <w:rsid w:val="00055A07"/>
    <w:rsid w:val="00055DE5"/>
    <w:rsid w:val="00057C10"/>
    <w:rsid w:val="00061316"/>
    <w:rsid w:val="00062446"/>
    <w:rsid w:val="00063689"/>
    <w:rsid w:val="000657F5"/>
    <w:rsid w:val="00065883"/>
    <w:rsid w:val="00065DB4"/>
    <w:rsid w:val="00066F88"/>
    <w:rsid w:val="00072662"/>
    <w:rsid w:val="0007469E"/>
    <w:rsid w:val="00074CE6"/>
    <w:rsid w:val="00077D4B"/>
    <w:rsid w:val="00090762"/>
    <w:rsid w:val="00091FF7"/>
    <w:rsid w:val="00093E1B"/>
    <w:rsid w:val="00096B09"/>
    <w:rsid w:val="000A11BE"/>
    <w:rsid w:val="000A1476"/>
    <w:rsid w:val="000A19A4"/>
    <w:rsid w:val="000A4AB0"/>
    <w:rsid w:val="000B1FC4"/>
    <w:rsid w:val="000B366C"/>
    <w:rsid w:val="000B79E2"/>
    <w:rsid w:val="000C16C6"/>
    <w:rsid w:val="000C2D63"/>
    <w:rsid w:val="000C47A3"/>
    <w:rsid w:val="000C49DA"/>
    <w:rsid w:val="000C4AA7"/>
    <w:rsid w:val="000C580F"/>
    <w:rsid w:val="000D2707"/>
    <w:rsid w:val="000D376A"/>
    <w:rsid w:val="000E0816"/>
    <w:rsid w:val="000E2FD4"/>
    <w:rsid w:val="000E444A"/>
    <w:rsid w:val="000E67D0"/>
    <w:rsid w:val="000E68C0"/>
    <w:rsid w:val="000E68D7"/>
    <w:rsid w:val="000F5512"/>
    <w:rsid w:val="000F7E09"/>
    <w:rsid w:val="00101243"/>
    <w:rsid w:val="001043EF"/>
    <w:rsid w:val="00104D0D"/>
    <w:rsid w:val="00106469"/>
    <w:rsid w:val="00113184"/>
    <w:rsid w:val="001150B3"/>
    <w:rsid w:val="001213E1"/>
    <w:rsid w:val="00121894"/>
    <w:rsid w:val="00122795"/>
    <w:rsid w:val="00124A13"/>
    <w:rsid w:val="00124DAF"/>
    <w:rsid w:val="0012576F"/>
    <w:rsid w:val="001258A3"/>
    <w:rsid w:val="00125E4D"/>
    <w:rsid w:val="001260EC"/>
    <w:rsid w:val="00126DB8"/>
    <w:rsid w:val="0013032D"/>
    <w:rsid w:val="00130BCA"/>
    <w:rsid w:val="001334FF"/>
    <w:rsid w:val="001342BE"/>
    <w:rsid w:val="00135503"/>
    <w:rsid w:val="00135DCF"/>
    <w:rsid w:val="00141300"/>
    <w:rsid w:val="00141C7D"/>
    <w:rsid w:val="00146807"/>
    <w:rsid w:val="00154997"/>
    <w:rsid w:val="001564B5"/>
    <w:rsid w:val="0015695F"/>
    <w:rsid w:val="00156FF0"/>
    <w:rsid w:val="00166EE8"/>
    <w:rsid w:val="00171598"/>
    <w:rsid w:val="0018093F"/>
    <w:rsid w:val="001814ED"/>
    <w:rsid w:val="00181A79"/>
    <w:rsid w:val="00183003"/>
    <w:rsid w:val="001848E2"/>
    <w:rsid w:val="001864C2"/>
    <w:rsid w:val="00187B86"/>
    <w:rsid w:val="00190435"/>
    <w:rsid w:val="0019130C"/>
    <w:rsid w:val="00193881"/>
    <w:rsid w:val="00197F23"/>
    <w:rsid w:val="001A21AA"/>
    <w:rsid w:val="001A2E13"/>
    <w:rsid w:val="001A3DE5"/>
    <w:rsid w:val="001A52A8"/>
    <w:rsid w:val="001A52C9"/>
    <w:rsid w:val="001A5B19"/>
    <w:rsid w:val="001A712F"/>
    <w:rsid w:val="001B1A70"/>
    <w:rsid w:val="001B4DAB"/>
    <w:rsid w:val="001B65ED"/>
    <w:rsid w:val="001B6B53"/>
    <w:rsid w:val="001C0C7D"/>
    <w:rsid w:val="001C1122"/>
    <w:rsid w:val="001C1742"/>
    <w:rsid w:val="001C21DA"/>
    <w:rsid w:val="001C52B8"/>
    <w:rsid w:val="001C5321"/>
    <w:rsid w:val="001D0183"/>
    <w:rsid w:val="001D15D9"/>
    <w:rsid w:val="001D29D0"/>
    <w:rsid w:val="001D3986"/>
    <w:rsid w:val="001D3D45"/>
    <w:rsid w:val="001D4F93"/>
    <w:rsid w:val="001D528B"/>
    <w:rsid w:val="001D6832"/>
    <w:rsid w:val="001D7F4A"/>
    <w:rsid w:val="001E0040"/>
    <w:rsid w:val="001E1A44"/>
    <w:rsid w:val="001E354F"/>
    <w:rsid w:val="001E49A9"/>
    <w:rsid w:val="001E5A9E"/>
    <w:rsid w:val="001E735A"/>
    <w:rsid w:val="001E7F68"/>
    <w:rsid w:val="001F24BA"/>
    <w:rsid w:val="001F2ED9"/>
    <w:rsid w:val="001F4284"/>
    <w:rsid w:val="001F5C20"/>
    <w:rsid w:val="00201ABB"/>
    <w:rsid w:val="0020258D"/>
    <w:rsid w:val="00206166"/>
    <w:rsid w:val="002061D7"/>
    <w:rsid w:val="002064B4"/>
    <w:rsid w:val="0021535F"/>
    <w:rsid w:val="0021620E"/>
    <w:rsid w:val="00224F11"/>
    <w:rsid w:val="002258EB"/>
    <w:rsid w:val="00226E35"/>
    <w:rsid w:val="00231379"/>
    <w:rsid w:val="002318F5"/>
    <w:rsid w:val="00233097"/>
    <w:rsid w:val="00233105"/>
    <w:rsid w:val="002360C6"/>
    <w:rsid w:val="002375A1"/>
    <w:rsid w:val="00240E01"/>
    <w:rsid w:val="002419A4"/>
    <w:rsid w:val="0024253E"/>
    <w:rsid w:val="00246C3F"/>
    <w:rsid w:val="002477D2"/>
    <w:rsid w:val="002504DE"/>
    <w:rsid w:val="00250C3C"/>
    <w:rsid w:val="00252A64"/>
    <w:rsid w:val="00256C39"/>
    <w:rsid w:val="002578E0"/>
    <w:rsid w:val="00262404"/>
    <w:rsid w:val="0026261A"/>
    <w:rsid w:val="00266E2E"/>
    <w:rsid w:val="00266F47"/>
    <w:rsid w:val="00267C47"/>
    <w:rsid w:val="00270524"/>
    <w:rsid w:val="00270625"/>
    <w:rsid w:val="0027427E"/>
    <w:rsid w:val="00276E81"/>
    <w:rsid w:val="00280EDC"/>
    <w:rsid w:val="002823C2"/>
    <w:rsid w:val="00282EC2"/>
    <w:rsid w:val="002832FD"/>
    <w:rsid w:val="00286461"/>
    <w:rsid w:val="002915F2"/>
    <w:rsid w:val="00292692"/>
    <w:rsid w:val="00292884"/>
    <w:rsid w:val="00292933"/>
    <w:rsid w:val="0029358C"/>
    <w:rsid w:val="002942E8"/>
    <w:rsid w:val="002A0803"/>
    <w:rsid w:val="002B2A12"/>
    <w:rsid w:val="002B2F40"/>
    <w:rsid w:val="002B3A93"/>
    <w:rsid w:val="002B47FB"/>
    <w:rsid w:val="002B5A24"/>
    <w:rsid w:val="002B6778"/>
    <w:rsid w:val="002B6F46"/>
    <w:rsid w:val="002B7E91"/>
    <w:rsid w:val="002C0A0E"/>
    <w:rsid w:val="002C1209"/>
    <w:rsid w:val="002D04A5"/>
    <w:rsid w:val="002D2F1B"/>
    <w:rsid w:val="002D4A1A"/>
    <w:rsid w:val="002D5C50"/>
    <w:rsid w:val="002D6622"/>
    <w:rsid w:val="002D76A2"/>
    <w:rsid w:val="002E1977"/>
    <w:rsid w:val="002E1AEB"/>
    <w:rsid w:val="002E3D6A"/>
    <w:rsid w:val="002E4FD6"/>
    <w:rsid w:val="002E5A19"/>
    <w:rsid w:val="002E671B"/>
    <w:rsid w:val="002E7435"/>
    <w:rsid w:val="002F43AB"/>
    <w:rsid w:val="002F5BE7"/>
    <w:rsid w:val="003005F8"/>
    <w:rsid w:val="00300D3E"/>
    <w:rsid w:val="00304575"/>
    <w:rsid w:val="00307700"/>
    <w:rsid w:val="003163EE"/>
    <w:rsid w:val="003209E3"/>
    <w:rsid w:val="00321BA0"/>
    <w:rsid w:val="00324F69"/>
    <w:rsid w:val="00326E2F"/>
    <w:rsid w:val="00330D6C"/>
    <w:rsid w:val="00330E41"/>
    <w:rsid w:val="003311C8"/>
    <w:rsid w:val="003369E8"/>
    <w:rsid w:val="00344908"/>
    <w:rsid w:val="00350F90"/>
    <w:rsid w:val="0035396B"/>
    <w:rsid w:val="00355855"/>
    <w:rsid w:val="003574BF"/>
    <w:rsid w:val="0036134D"/>
    <w:rsid w:val="0036535B"/>
    <w:rsid w:val="00372BF4"/>
    <w:rsid w:val="0037697F"/>
    <w:rsid w:val="0037750D"/>
    <w:rsid w:val="00382E19"/>
    <w:rsid w:val="003836DC"/>
    <w:rsid w:val="00383900"/>
    <w:rsid w:val="003902CA"/>
    <w:rsid w:val="00392A72"/>
    <w:rsid w:val="0039583D"/>
    <w:rsid w:val="003A118D"/>
    <w:rsid w:val="003A291A"/>
    <w:rsid w:val="003A2B49"/>
    <w:rsid w:val="003A3495"/>
    <w:rsid w:val="003A4AB4"/>
    <w:rsid w:val="003A6B57"/>
    <w:rsid w:val="003A7F54"/>
    <w:rsid w:val="003B09A2"/>
    <w:rsid w:val="003B0CFE"/>
    <w:rsid w:val="003C063E"/>
    <w:rsid w:val="003C0ECC"/>
    <w:rsid w:val="003C1F36"/>
    <w:rsid w:val="003C4A19"/>
    <w:rsid w:val="003C7576"/>
    <w:rsid w:val="003D2837"/>
    <w:rsid w:val="003E0739"/>
    <w:rsid w:val="003E146A"/>
    <w:rsid w:val="003E5495"/>
    <w:rsid w:val="003F046D"/>
    <w:rsid w:val="003F218D"/>
    <w:rsid w:val="003F43D8"/>
    <w:rsid w:val="003F609A"/>
    <w:rsid w:val="003F716A"/>
    <w:rsid w:val="004013A6"/>
    <w:rsid w:val="00401A23"/>
    <w:rsid w:val="00402D53"/>
    <w:rsid w:val="00402E00"/>
    <w:rsid w:val="004030D6"/>
    <w:rsid w:val="004063E8"/>
    <w:rsid w:val="004103F3"/>
    <w:rsid w:val="00415972"/>
    <w:rsid w:val="00417342"/>
    <w:rsid w:val="00420920"/>
    <w:rsid w:val="00420D8C"/>
    <w:rsid w:val="00424420"/>
    <w:rsid w:val="00427608"/>
    <w:rsid w:val="004276EA"/>
    <w:rsid w:val="00432399"/>
    <w:rsid w:val="00433EA8"/>
    <w:rsid w:val="0043562E"/>
    <w:rsid w:val="00436CE2"/>
    <w:rsid w:val="00437B42"/>
    <w:rsid w:val="00443E7B"/>
    <w:rsid w:val="00443EEC"/>
    <w:rsid w:val="00446B62"/>
    <w:rsid w:val="004477B2"/>
    <w:rsid w:val="0045373B"/>
    <w:rsid w:val="0045439E"/>
    <w:rsid w:val="004643D8"/>
    <w:rsid w:val="00471458"/>
    <w:rsid w:val="00471B71"/>
    <w:rsid w:val="004721BE"/>
    <w:rsid w:val="0047232E"/>
    <w:rsid w:val="0047564E"/>
    <w:rsid w:val="00484436"/>
    <w:rsid w:val="00485780"/>
    <w:rsid w:val="00485A4A"/>
    <w:rsid w:val="0049185D"/>
    <w:rsid w:val="00492878"/>
    <w:rsid w:val="004932A4"/>
    <w:rsid w:val="00495E3D"/>
    <w:rsid w:val="004966AF"/>
    <w:rsid w:val="0049709E"/>
    <w:rsid w:val="004A1DC9"/>
    <w:rsid w:val="004A3A1F"/>
    <w:rsid w:val="004A733C"/>
    <w:rsid w:val="004B346D"/>
    <w:rsid w:val="004C0F82"/>
    <w:rsid w:val="004C1338"/>
    <w:rsid w:val="004C1554"/>
    <w:rsid w:val="004C526E"/>
    <w:rsid w:val="004C6519"/>
    <w:rsid w:val="004C69E9"/>
    <w:rsid w:val="004C7F7E"/>
    <w:rsid w:val="004D08B1"/>
    <w:rsid w:val="004D43E8"/>
    <w:rsid w:val="004E1916"/>
    <w:rsid w:val="004E3DD7"/>
    <w:rsid w:val="004E73D0"/>
    <w:rsid w:val="004E78F2"/>
    <w:rsid w:val="004F18FA"/>
    <w:rsid w:val="004F2868"/>
    <w:rsid w:val="004F5E47"/>
    <w:rsid w:val="004F6825"/>
    <w:rsid w:val="0050159D"/>
    <w:rsid w:val="00502C51"/>
    <w:rsid w:val="0050644E"/>
    <w:rsid w:val="00506CDB"/>
    <w:rsid w:val="00512330"/>
    <w:rsid w:val="005125DD"/>
    <w:rsid w:val="00512DCC"/>
    <w:rsid w:val="0051382B"/>
    <w:rsid w:val="00516076"/>
    <w:rsid w:val="005166FE"/>
    <w:rsid w:val="00516D7E"/>
    <w:rsid w:val="00520C5A"/>
    <w:rsid w:val="00525A55"/>
    <w:rsid w:val="00526630"/>
    <w:rsid w:val="00526EDE"/>
    <w:rsid w:val="0053064A"/>
    <w:rsid w:val="005310F3"/>
    <w:rsid w:val="00531B3B"/>
    <w:rsid w:val="00541063"/>
    <w:rsid w:val="00541A98"/>
    <w:rsid w:val="00541DBB"/>
    <w:rsid w:val="00541DCF"/>
    <w:rsid w:val="00545236"/>
    <w:rsid w:val="005457DC"/>
    <w:rsid w:val="00546351"/>
    <w:rsid w:val="005516AB"/>
    <w:rsid w:val="005522A6"/>
    <w:rsid w:val="00552458"/>
    <w:rsid w:val="00553CA5"/>
    <w:rsid w:val="00555B27"/>
    <w:rsid w:val="005572FC"/>
    <w:rsid w:val="005609A4"/>
    <w:rsid w:val="00560C4C"/>
    <w:rsid w:val="00561FDF"/>
    <w:rsid w:val="00562B04"/>
    <w:rsid w:val="0056435F"/>
    <w:rsid w:val="005654A7"/>
    <w:rsid w:val="0056569F"/>
    <w:rsid w:val="00566957"/>
    <w:rsid w:val="005669BD"/>
    <w:rsid w:val="00566B54"/>
    <w:rsid w:val="00573DCC"/>
    <w:rsid w:val="00580A6D"/>
    <w:rsid w:val="005828F5"/>
    <w:rsid w:val="00585271"/>
    <w:rsid w:val="00593293"/>
    <w:rsid w:val="005948F9"/>
    <w:rsid w:val="005975FB"/>
    <w:rsid w:val="005A271D"/>
    <w:rsid w:val="005A640C"/>
    <w:rsid w:val="005A6F3C"/>
    <w:rsid w:val="005B1461"/>
    <w:rsid w:val="005B355F"/>
    <w:rsid w:val="005B5E2B"/>
    <w:rsid w:val="005C0E29"/>
    <w:rsid w:val="005C2617"/>
    <w:rsid w:val="005C330E"/>
    <w:rsid w:val="005C3949"/>
    <w:rsid w:val="005C47E2"/>
    <w:rsid w:val="005C51AE"/>
    <w:rsid w:val="005C5E67"/>
    <w:rsid w:val="005D1B3C"/>
    <w:rsid w:val="005D3DC9"/>
    <w:rsid w:val="005E0D8D"/>
    <w:rsid w:val="005E3C93"/>
    <w:rsid w:val="005E4B97"/>
    <w:rsid w:val="005E63CC"/>
    <w:rsid w:val="005E68F0"/>
    <w:rsid w:val="005F2986"/>
    <w:rsid w:val="005F3737"/>
    <w:rsid w:val="005F4AF8"/>
    <w:rsid w:val="005F5635"/>
    <w:rsid w:val="005F7182"/>
    <w:rsid w:val="00600CAB"/>
    <w:rsid w:val="00604818"/>
    <w:rsid w:val="006069C0"/>
    <w:rsid w:val="0060799C"/>
    <w:rsid w:val="00607E46"/>
    <w:rsid w:val="006105B2"/>
    <w:rsid w:val="006147BE"/>
    <w:rsid w:val="00615EB4"/>
    <w:rsid w:val="00616E6C"/>
    <w:rsid w:val="006209F3"/>
    <w:rsid w:val="00624172"/>
    <w:rsid w:val="006256E9"/>
    <w:rsid w:val="00627174"/>
    <w:rsid w:val="0063005F"/>
    <w:rsid w:val="00631440"/>
    <w:rsid w:val="00631C0D"/>
    <w:rsid w:val="00632455"/>
    <w:rsid w:val="00633686"/>
    <w:rsid w:val="006344D4"/>
    <w:rsid w:val="00634E09"/>
    <w:rsid w:val="0063547D"/>
    <w:rsid w:val="00641DDB"/>
    <w:rsid w:val="00641FDA"/>
    <w:rsid w:val="00642FAB"/>
    <w:rsid w:val="0064302F"/>
    <w:rsid w:val="006434EC"/>
    <w:rsid w:val="006453EE"/>
    <w:rsid w:val="00645FF3"/>
    <w:rsid w:val="0064696F"/>
    <w:rsid w:val="00650317"/>
    <w:rsid w:val="00650F50"/>
    <w:rsid w:val="0065474C"/>
    <w:rsid w:val="00655765"/>
    <w:rsid w:val="006605D0"/>
    <w:rsid w:val="006621F3"/>
    <w:rsid w:val="0066256E"/>
    <w:rsid w:val="00662EED"/>
    <w:rsid w:val="00665620"/>
    <w:rsid w:val="006664C2"/>
    <w:rsid w:val="006708F8"/>
    <w:rsid w:val="00670E73"/>
    <w:rsid w:val="006743D4"/>
    <w:rsid w:val="00674D9E"/>
    <w:rsid w:val="00681CC3"/>
    <w:rsid w:val="00683C8B"/>
    <w:rsid w:val="00684CB1"/>
    <w:rsid w:val="00684FF7"/>
    <w:rsid w:val="00686BA7"/>
    <w:rsid w:val="00691B4D"/>
    <w:rsid w:val="00692E8E"/>
    <w:rsid w:val="006932F0"/>
    <w:rsid w:val="00694A0A"/>
    <w:rsid w:val="006A165E"/>
    <w:rsid w:val="006A2032"/>
    <w:rsid w:val="006B20A1"/>
    <w:rsid w:val="006B4568"/>
    <w:rsid w:val="006C05D1"/>
    <w:rsid w:val="006C0AD3"/>
    <w:rsid w:val="006C1914"/>
    <w:rsid w:val="006C479A"/>
    <w:rsid w:val="006C5A24"/>
    <w:rsid w:val="006D3DD2"/>
    <w:rsid w:val="006E038E"/>
    <w:rsid w:val="006E0551"/>
    <w:rsid w:val="006E2644"/>
    <w:rsid w:val="006E6F08"/>
    <w:rsid w:val="006F0163"/>
    <w:rsid w:val="006F09EE"/>
    <w:rsid w:val="006F17E3"/>
    <w:rsid w:val="006F4D68"/>
    <w:rsid w:val="006F6B66"/>
    <w:rsid w:val="00701E47"/>
    <w:rsid w:val="0070205E"/>
    <w:rsid w:val="00702557"/>
    <w:rsid w:val="007036C2"/>
    <w:rsid w:val="00707010"/>
    <w:rsid w:val="00707E11"/>
    <w:rsid w:val="00713F52"/>
    <w:rsid w:val="00715A82"/>
    <w:rsid w:val="007208F6"/>
    <w:rsid w:val="00723D6D"/>
    <w:rsid w:val="00724DDB"/>
    <w:rsid w:val="00732198"/>
    <w:rsid w:val="0073458E"/>
    <w:rsid w:val="00734F61"/>
    <w:rsid w:val="00740284"/>
    <w:rsid w:val="00740A5E"/>
    <w:rsid w:val="00741BE8"/>
    <w:rsid w:val="007426F0"/>
    <w:rsid w:val="00745A35"/>
    <w:rsid w:val="0074636B"/>
    <w:rsid w:val="007473CD"/>
    <w:rsid w:val="007537FB"/>
    <w:rsid w:val="00754E44"/>
    <w:rsid w:val="00754FA0"/>
    <w:rsid w:val="00755879"/>
    <w:rsid w:val="0075607C"/>
    <w:rsid w:val="00756E94"/>
    <w:rsid w:val="007579A2"/>
    <w:rsid w:val="00760A95"/>
    <w:rsid w:val="0076505D"/>
    <w:rsid w:val="007754C5"/>
    <w:rsid w:val="0077763B"/>
    <w:rsid w:val="00780CCB"/>
    <w:rsid w:val="00780F4A"/>
    <w:rsid w:val="00783A8A"/>
    <w:rsid w:val="007849EB"/>
    <w:rsid w:val="00797193"/>
    <w:rsid w:val="007A1162"/>
    <w:rsid w:val="007A2185"/>
    <w:rsid w:val="007A25DF"/>
    <w:rsid w:val="007A3E4F"/>
    <w:rsid w:val="007B1F0E"/>
    <w:rsid w:val="007B2400"/>
    <w:rsid w:val="007B2BB3"/>
    <w:rsid w:val="007B40A7"/>
    <w:rsid w:val="007B4920"/>
    <w:rsid w:val="007B6203"/>
    <w:rsid w:val="007B6DF6"/>
    <w:rsid w:val="007C0F41"/>
    <w:rsid w:val="007C4C96"/>
    <w:rsid w:val="007D02BF"/>
    <w:rsid w:val="007D0A23"/>
    <w:rsid w:val="007D3771"/>
    <w:rsid w:val="007D38DF"/>
    <w:rsid w:val="007D4A45"/>
    <w:rsid w:val="007D785F"/>
    <w:rsid w:val="007E1659"/>
    <w:rsid w:val="007E4CE8"/>
    <w:rsid w:val="007E6BBD"/>
    <w:rsid w:val="007F0853"/>
    <w:rsid w:val="007F50A5"/>
    <w:rsid w:val="007F64A3"/>
    <w:rsid w:val="007F6903"/>
    <w:rsid w:val="00811EBA"/>
    <w:rsid w:val="008137CC"/>
    <w:rsid w:val="008138C4"/>
    <w:rsid w:val="0081533B"/>
    <w:rsid w:val="00821828"/>
    <w:rsid w:val="008239C4"/>
    <w:rsid w:val="00824542"/>
    <w:rsid w:val="008253BF"/>
    <w:rsid w:val="0082541E"/>
    <w:rsid w:val="00826F3E"/>
    <w:rsid w:val="008307DA"/>
    <w:rsid w:val="008312F5"/>
    <w:rsid w:val="00831828"/>
    <w:rsid w:val="00831D4E"/>
    <w:rsid w:val="00832CDE"/>
    <w:rsid w:val="008330F4"/>
    <w:rsid w:val="008334C0"/>
    <w:rsid w:val="00841A4A"/>
    <w:rsid w:val="00844AF6"/>
    <w:rsid w:val="008476B1"/>
    <w:rsid w:val="00847C9B"/>
    <w:rsid w:val="00847EB0"/>
    <w:rsid w:val="00850384"/>
    <w:rsid w:val="00853CB3"/>
    <w:rsid w:val="00857B15"/>
    <w:rsid w:val="00861546"/>
    <w:rsid w:val="00861C62"/>
    <w:rsid w:val="00865334"/>
    <w:rsid w:val="008676F5"/>
    <w:rsid w:val="00871368"/>
    <w:rsid w:val="00871BF6"/>
    <w:rsid w:val="00875AFD"/>
    <w:rsid w:val="00882B63"/>
    <w:rsid w:val="00883593"/>
    <w:rsid w:val="00884609"/>
    <w:rsid w:val="00887600"/>
    <w:rsid w:val="00895B5D"/>
    <w:rsid w:val="008A10D0"/>
    <w:rsid w:val="008A3304"/>
    <w:rsid w:val="008B1EF9"/>
    <w:rsid w:val="008B23E3"/>
    <w:rsid w:val="008B3AF3"/>
    <w:rsid w:val="008B3B7A"/>
    <w:rsid w:val="008B7A8F"/>
    <w:rsid w:val="008C1351"/>
    <w:rsid w:val="008C2921"/>
    <w:rsid w:val="008C2932"/>
    <w:rsid w:val="008C2CFF"/>
    <w:rsid w:val="008C45A2"/>
    <w:rsid w:val="008C6BBB"/>
    <w:rsid w:val="008D2AC6"/>
    <w:rsid w:val="008E1678"/>
    <w:rsid w:val="008E1D1D"/>
    <w:rsid w:val="008E2687"/>
    <w:rsid w:val="008E41B9"/>
    <w:rsid w:val="008E60B8"/>
    <w:rsid w:val="008E68FB"/>
    <w:rsid w:val="008F006D"/>
    <w:rsid w:val="008F1000"/>
    <w:rsid w:val="008F33C2"/>
    <w:rsid w:val="008F4288"/>
    <w:rsid w:val="008F5324"/>
    <w:rsid w:val="008F5A30"/>
    <w:rsid w:val="008F6727"/>
    <w:rsid w:val="00903281"/>
    <w:rsid w:val="00907D57"/>
    <w:rsid w:val="009134BB"/>
    <w:rsid w:val="00917F1C"/>
    <w:rsid w:val="00920085"/>
    <w:rsid w:val="00922167"/>
    <w:rsid w:val="009237E2"/>
    <w:rsid w:val="0092620F"/>
    <w:rsid w:val="009275CC"/>
    <w:rsid w:val="009278D8"/>
    <w:rsid w:val="009316EC"/>
    <w:rsid w:val="009326C3"/>
    <w:rsid w:val="00951C4F"/>
    <w:rsid w:val="009573F7"/>
    <w:rsid w:val="00961791"/>
    <w:rsid w:val="00961E29"/>
    <w:rsid w:val="00962DE5"/>
    <w:rsid w:val="00962E1E"/>
    <w:rsid w:val="00963CE5"/>
    <w:rsid w:val="00964244"/>
    <w:rsid w:val="009644ED"/>
    <w:rsid w:val="00966731"/>
    <w:rsid w:val="00966D11"/>
    <w:rsid w:val="00967488"/>
    <w:rsid w:val="00972023"/>
    <w:rsid w:val="00972057"/>
    <w:rsid w:val="0097244E"/>
    <w:rsid w:val="0097255E"/>
    <w:rsid w:val="00975FBB"/>
    <w:rsid w:val="00976630"/>
    <w:rsid w:val="00976FC3"/>
    <w:rsid w:val="00976FF5"/>
    <w:rsid w:val="00985301"/>
    <w:rsid w:val="0098680C"/>
    <w:rsid w:val="00987037"/>
    <w:rsid w:val="00991BBE"/>
    <w:rsid w:val="00992802"/>
    <w:rsid w:val="0099447C"/>
    <w:rsid w:val="0099733B"/>
    <w:rsid w:val="00997B79"/>
    <w:rsid w:val="009A03E9"/>
    <w:rsid w:val="009A32AF"/>
    <w:rsid w:val="009A34E2"/>
    <w:rsid w:val="009A3B8F"/>
    <w:rsid w:val="009A5732"/>
    <w:rsid w:val="009A7513"/>
    <w:rsid w:val="009B075B"/>
    <w:rsid w:val="009B755D"/>
    <w:rsid w:val="009C4797"/>
    <w:rsid w:val="009C4A34"/>
    <w:rsid w:val="009C7FBD"/>
    <w:rsid w:val="009D1063"/>
    <w:rsid w:val="009D213B"/>
    <w:rsid w:val="009D2FE4"/>
    <w:rsid w:val="009D4E72"/>
    <w:rsid w:val="009E09B3"/>
    <w:rsid w:val="009E42E2"/>
    <w:rsid w:val="009E75AF"/>
    <w:rsid w:val="009E796E"/>
    <w:rsid w:val="00A05C0E"/>
    <w:rsid w:val="00A061F0"/>
    <w:rsid w:val="00A1073D"/>
    <w:rsid w:val="00A11A09"/>
    <w:rsid w:val="00A17513"/>
    <w:rsid w:val="00A20C80"/>
    <w:rsid w:val="00A23287"/>
    <w:rsid w:val="00A23678"/>
    <w:rsid w:val="00A237A5"/>
    <w:rsid w:val="00A305F0"/>
    <w:rsid w:val="00A32EA7"/>
    <w:rsid w:val="00A34C67"/>
    <w:rsid w:val="00A34F6F"/>
    <w:rsid w:val="00A3578A"/>
    <w:rsid w:val="00A35AD9"/>
    <w:rsid w:val="00A411EE"/>
    <w:rsid w:val="00A43188"/>
    <w:rsid w:val="00A45BA5"/>
    <w:rsid w:val="00A45DFC"/>
    <w:rsid w:val="00A46655"/>
    <w:rsid w:val="00A46689"/>
    <w:rsid w:val="00A4719A"/>
    <w:rsid w:val="00A479F2"/>
    <w:rsid w:val="00A51C85"/>
    <w:rsid w:val="00A53078"/>
    <w:rsid w:val="00A55B29"/>
    <w:rsid w:val="00A60787"/>
    <w:rsid w:val="00A6188C"/>
    <w:rsid w:val="00A62841"/>
    <w:rsid w:val="00A6429D"/>
    <w:rsid w:val="00A64DE4"/>
    <w:rsid w:val="00A653D7"/>
    <w:rsid w:val="00A73BA5"/>
    <w:rsid w:val="00A7605A"/>
    <w:rsid w:val="00A77F48"/>
    <w:rsid w:val="00A80AA7"/>
    <w:rsid w:val="00A80ABC"/>
    <w:rsid w:val="00A82909"/>
    <w:rsid w:val="00A82F3B"/>
    <w:rsid w:val="00A83795"/>
    <w:rsid w:val="00A878EB"/>
    <w:rsid w:val="00A92418"/>
    <w:rsid w:val="00A92E85"/>
    <w:rsid w:val="00A930CE"/>
    <w:rsid w:val="00A94A27"/>
    <w:rsid w:val="00A95DFF"/>
    <w:rsid w:val="00AA3587"/>
    <w:rsid w:val="00AA4C16"/>
    <w:rsid w:val="00AB0FBA"/>
    <w:rsid w:val="00AB28DC"/>
    <w:rsid w:val="00AB3C43"/>
    <w:rsid w:val="00AB734C"/>
    <w:rsid w:val="00AC2389"/>
    <w:rsid w:val="00AC3A74"/>
    <w:rsid w:val="00AC65A9"/>
    <w:rsid w:val="00AC783D"/>
    <w:rsid w:val="00AD4D9F"/>
    <w:rsid w:val="00AE08A6"/>
    <w:rsid w:val="00AE188E"/>
    <w:rsid w:val="00AE1E00"/>
    <w:rsid w:val="00AE2080"/>
    <w:rsid w:val="00AE20DF"/>
    <w:rsid w:val="00AE68E5"/>
    <w:rsid w:val="00AF4C2E"/>
    <w:rsid w:val="00AF5686"/>
    <w:rsid w:val="00AF5754"/>
    <w:rsid w:val="00B01F1D"/>
    <w:rsid w:val="00B02AF2"/>
    <w:rsid w:val="00B03062"/>
    <w:rsid w:val="00B041EC"/>
    <w:rsid w:val="00B0616E"/>
    <w:rsid w:val="00B10120"/>
    <w:rsid w:val="00B11608"/>
    <w:rsid w:val="00B12119"/>
    <w:rsid w:val="00B12490"/>
    <w:rsid w:val="00B147FD"/>
    <w:rsid w:val="00B14ED9"/>
    <w:rsid w:val="00B15695"/>
    <w:rsid w:val="00B163BE"/>
    <w:rsid w:val="00B31C66"/>
    <w:rsid w:val="00B3264E"/>
    <w:rsid w:val="00B33543"/>
    <w:rsid w:val="00B414A4"/>
    <w:rsid w:val="00B41AA8"/>
    <w:rsid w:val="00B43DBE"/>
    <w:rsid w:val="00B50207"/>
    <w:rsid w:val="00B5547D"/>
    <w:rsid w:val="00B56225"/>
    <w:rsid w:val="00B57B93"/>
    <w:rsid w:val="00B61349"/>
    <w:rsid w:val="00B61401"/>
    <w:rsid w:val="00B61ED3"/>
    <w:rsid w:val="00B626ED"/>
    <w:rsid w:val="00B704DC"/>
    <w:rsid w:val="00B70D97"/>
    <w:rsid w:val="00B72B81"/>
    <w:rsid w:val="00B72DAE"/>
    <w:rsid w:val="00B75212"/>
    <w:rsid w:val="00B77A1F"/>
    <w:rsid w:val="00B800A0"/>
    <w:rsid w:val="00B83F4F"/>
    <w:rsid w:val="00B86FC2"/>
    <w:rsid w:val="00B941D8"/>
    <w:rsid w:val="00B97346"/>
    <w:rsid w:val="00B973DF"/>
    <w:rsid w:val="00BA1513"/>
    <w:rsid w:val="00BA4575"/>
    <w:rsid w:val="00BA54DB"/>
    <w:rsid w:val="00BA57D4"/>
    <w:rsid w:val="00BA63C6"/>
    <w:rsid w:val="00BA6694"/>
    <w:rsid w:val="00BB0BDF"/>
    <w:rsid w:val="00BB0D86"/>
    <w:rsid w:val="00BB21A9"/>
    <w:rsid w:val="00BC253D"/>
    <w:rsid w:val="00BC2D73"/>
    <w:rsid w:val="00BC59DE"/>
    <w:rsid w:val="00BC6262"/>
    <w:rsid w:val="00BD0255"/>
    <w:rsid w:val="00BD0F02"/>
    <w:rsid w:val="00BD6353"/>
    <w:rsid w:val="00BD670C"/>
    <w:rsid w:val="00BD7B9D"/>
    <w:rsid w:val="00BE2801"/>
    <w:rsid w:val="00BE2DDA"/>
    <w:rsid w:val="00BE3192"/>
    <w:rsid w:val="00BE4E51"/>
    <w:rsid w:val="00BE5E9F"/>
    <w:rsid w:val="00BE6A05"/>
    <w:rsid w:val="00BE6CAE"/>
    <w:rsid w:val="00BF0549"/>
    <w:rsid w:val="00BF17E9"/>
    <w:rsid w:val="00BF1DDD"/>
    <w:rsid w:val="00BF5518"/>
    <w:rsid w:val="00BF5BF4"/>
    <w:rsid w:val="00BF67B0"/>
    <w:rsid w:val="00C06A14"/>
    <w:rsid w:val="00C07D9C"/>
    <w:rsid w:val="00C105D5"/>
    <w:rsid w:val="00C11136"/>
    <w:rsid w:val="00C1122D"/>
    <w:rsid w:val="00C1155B"/>
    <w:rsid w:val="00C11CB7"/>
    <w:rsid w:val="00C13FF7"/>
    <w:rsid w:val="00C145A0"/>
    <w:rsid w:val="00C149A9"/>
    <w:rsid w:val="00C17A38"/>
    <w:rsid w:val="00C20D6B"/>
    <w:rsid w:val="00C249C7"/>
    <w:rsid w:val="00C26572"/>
    <w:rsid w:val="00C32992"/>
    <w:rsid w:val="00C351DE"/>
    <w:rsid w:val="00C3662B"/>
    <w:rsid w:val="00C36E3A"/>
    <w:rsid w:val="00C42DBB"/>
    <w:rsid w:val="00C43045"/>
    <w:rsid w:val="00C437CD"/>
    <w:rsid w:val="00C446EF"/>
    <w:rsid w:val="00C4791B"/>
    <w:rsid w:val="00C51369"/>
    <w:rsid w:val="00C537A4"/>
    <w:rsid w:val="00C547BF"/>
    <w:rsid w:val="00C54A0E"/>
    <w:rsid w:val="00C55D26"/>
    <w:rsid w:val="00C608B9"/>
    <w:rsid w:val="00C61DAF"/>
    <w:rsid w:val="00C636AD"/>
    <w:rsid w:val="00C72323"/>
    <w:rsid w:val="00C72C27"/>
    <w:rsid w:val="00C7620F"/>
    <w:rsid w:val="00C76602"/>
    <w:rsid w:val="00C84992"/>
    <w:rsid w:val="00C85CB0"/>
    <w:rsid w:val="00C85D2B"/>
    <w:rsid w:val="00C860C3"/>
    <w:rsid w:val="00C87554"/>
    <w:rsid w:val="00C87D29"/>
    <w:rsid w:val="00C90F4D"/>
    <w:rsid w:val="00C94F5D"/>
    <w:rsid w:val="00C972BF"/>
    <w:rsid w:val="00C974DC"/>
    <w:rsid w:val="00C9799F"/>
    <w:rsid w:val="00CA1CFE"/>
    <w:rsid w:val="00CA2598"/>
    <w:rsid w:val="00CA518E"/>
    <w:rsid w:val="00CA52A9"/>
    <w:rsid w:val="00CA5F3C"/>
    <w:rsid w:val="00CA7B1D"/>
    <w:rsid w:val="00CB0B83"/>
    <w:rsid w:val="00CB1A9E"/>
    <w:rsid w:val="00CB4AED"/>
    <w:rsid w:val="00CB4DAD"/>
    <w:rsid w:val="00CB4DBA"/>
    <w:rsid w:val="00CB798D"/>
    <w:rsid w:val="00CB7E81"/>
    <w:rsid w:val="00CC00A8"/>
    <w:rsid w:val="00CC1A36"/>
    <w:rsid w:val="00CC3C8C"/>
    <w:rsid w:val="00CC69EE"/>
    <w:rsid w:val="00CD283D"/>
    <w:rsid w:val="00CD386B"/>
    <w:rsid w:val="00CD47F0"/>
    <w:rsid w:val="00CE1F4F"/>
    <w:rsid w:val="00CE20D1"/>
    <w:rsid w:val="00CF09F8"/>
    <w:rsid w:val="00CF1AF5"/>
    <w:rsid w:val="00CF259B"/>
    <w:rsid w:val="00CF3B5B"/>
    <w:rsid w:val="00CF53EF"/>
    <w:rsid w:val="00CF63FA"/>
    <w:rsid w:val="00CF6A94"/>
    <w:rsid w:val="00D006C0"/>
    <w:rsid w:val="00D017FE"/>
    <w:rsid w:val="00D02C7F"/>
    <w:rsid w:val="00D07FF6"/>
    <w:rsid w:val="00D1078B"/>
    <w:rsid w:val="00D107A9"/>
    <w:rsid w:val="00D107DA"/>
    <w:rsid w:val="00D10ED4"/>
    <w:rsid w:val="00D142AB"/>
    <w:rsid w:val="00D21127"/>
    <w:rsid w:val="00D24A79"/>
    <w:rsid w:val="00D31A36"/>
    <w:rsid w:val="00D34961"/>
    <w:rsid w:val="00D37A2B"/>
    <w:rsid w:val="00D412A2"/>
    <w:rsid w:val="00D4328C"/>
    <w:rsid w:val="00D45C7D"/>
    <w:rsid w:val="00D467A6"/>
    <w:rsid w:val="00D52FF4"/>
    <w:rsid w:val="00D5319D"/>
    <w:rsid w:val="00D534FD"/>
    <w:rsid w:val="00D5561A"/>
    <w:rsid w:val="00D560E4"/>
    <w:rsid w:val="00D56B4E"/>
    <w:rsid w:val="00D578EA"/>
    <w:rsid w:val="00D60D2E"/>
    <w:rsid w:val="00D62843"/>
    <w:rsid w:val="00D628C2"/>
    <w:rsid w:val="00D62D72"/>
    <w:rsid w:val="00D642B1"/>
    <w:rsid w:val="00D665C7"/>
    <w:rsid w:val="00D66931"/>
    <w:rsid w:val="00D6781D"/>
    <w:rsid w:val="00D70488"/>
    <w:rsid w:val="00D7071B"/>
    <w:rsid w:val="00D72CC4"/>
    <w:rsid w:val="00D73C23"/>
    <w:rsid w:val="00D81D14"/>
    <w:rsid w:val="00D827E4"/>
    <w:rsid w:val="00D83956"/>
    <w:rsid w:val="00D856EA"/>
    <w:rsid w:val="00D86137"/>
    <w:rsid w:val="00D86D33"/>
    <w:rsid w:val="00D87942"/>
    <w:rsid w:val="00D919C9"/>
    <w:rsid w:val="00D936D4"/>
    <w:rsid w:val="00D949A7"/>
    <w:rsid w:val="00D96C96"/>
    <w:rsid w:val="00DA0392"/>
    <w:rsid w:val="00DA0CF5"/>
    <w:rsid w:val="00DA2216"/>
    <w:rsid w:val="00DA36B2"/>
    <w:rsid w:val="00DA3B5E"/>
    <w:rsid w:val="00DA5044"/>
    <w:rsid w:val="00DA777B"/>
    <w:rsid w:val="00DA7F42"/>
    <w:rsid w:val="00DB16AB"/>
    <w:rsid w:val="00DB22C7"/>
    <w:rsid w:val="00DB2FBF"/>
    <w:rsid w:val="00DB60BA"/>
    <w:rsid w:val="00DB63A5"/>
    <w:rsid w:val="00DB67D4"/>
    <w:rsid w:val="00DC31CB"/>
    <w:rsid w:val="00DC5B66"/>
    <w:rsid w:val="00DD1852"/>
    <w:rsid w:val="00DD4097"/>
    <w:rsid w:val="00DD4604"/>
    <w:rsid w:val="00DD7A84"/>
    <w:rsid w:val="00DE0BE2"/>
    <w:rsid w:val="00DE48E7"/>
    <w:rsid w:val="00DE48EB"/>
    <w:rsid w:val="00DE6D4B"/>
    <w:rsid w:val="00DF0957"/>
    <w:rsid w:val="00DF194F"/>
    <w:rsid w:val="00DF309D"/>
    <w:rsid w:val="00DF355C"/>
    <w:rsid w:val="00E00D34"/>
    <w:rsid w:val="00E0138E"/>
    <w:rsid w:val="00E036B5"/>
    <w:rsid w:val="00E067C6"/>
    <w:rsid w:val="00E15873"/>
    <w:rsid w:val="00E21DF5"/>
    <w:rsid w:val="00E22BA1"/>
    <w:rsid w:val="00E22C98"/>
    <w:rsid w:val="00E25868"/>
    <w:rsid w:val="00E27E62"/>
    <w:rsid w:val="00E329BB"/>
    <w:rsid w:val="00E336C0"/>
    <w:rsid w:val="00E344C5"/>
    <w:rsid w:val="00E40F54"/>
    <w:rsid w:val="00E41270"/>
    <w:rsid w:val="00E43799"/>
    <w:rsid w:val="00E45AEB"/>
    <w:rsid w:val="00E4619D"/>
    <w:rsid w:val="00E46A7D"/>
    <w:rsid w:val="00E47C27"/>
    <w:rsid w:val="00E50997"/>
    <w:rsid w:val="00E52BF5"/>
    <w:rsid w:val="00E547ED"/>
    <w:rsid w:val="00E554AB"/>
    <w:rsid w:val="00E56375"/>
    <w:rsid w:val="00E57A04"/>
    <w:rsid w:val="00E60F20"/>
    <w:rsid w:val="00E635D6"/>
    <w:rsid w:val="00E63C14"/>
    <w:rsid w:val="00E74AEE"/>
    <w:rsid w:val="00E76B3A"/>
    <w:rsid w:val="00E76DF8"/>
    <w:rsid w:val="00E812E5"/>
    <w:rsid w:val="00E8336C"/>
    <w:rsid w:val="00E836D3"/>
    <w:rsid w:val="00E8403F"/>
    <w:rsid w:val="00E85293"/>
    <w:rsid w:val="00E91DF9"/>
    <w:rsid w:val="00E9782F"/>
    <w:rsid w:val="00E97D8C"/>
    <w:rsid w:val="00EA1B99"/>
    <w:rsid w:val="00EA2E10"/>
    <w:rsid w:val="00EA448F"/>
    <w:rsid w:val="00EA5D7C"/>
    <w:rsid w:val="00EA6878"/>
    <w:rsid w:val="00EB0F8D"/>
    <w:rsid w:val="00EB6003"/>
    <w:rsid w:val="00EB7294"/>
    <w:rsid w:val="00ED0310"/>
    <w:rsid w:val="00ED14B8"/>
    <w:rsid w:val="00ED2F23"/>
    <w:rsid w:val="00ED43D8"/>
    <w:rsid w:val="00ED69E2"/>
    <w:rsid w:val="00ED71F4"/>
    <w:rsid w:val="00EE16F1"/>
    <w:rsid w:val="00EE19CB"/>
    <w:rsid w:val="00EE2D2F"/>
    <w:rsid w:val="00EE3574"/>
    <w:rsid w:val="00EE42B4"/>
    <w:rsid w:val="00EE57BF"/>
    <w:rsid w:val="00EE7ED7"/>
    <w:rsid w:val="00EF1F69"/>
    <w:rsid w:val="00EF284E"/>
    <w:rsid w:val="00EF3549"/>
    <w:rsid w:val="00EF5019"/>
    <w:rsid w:val="00EF5930"/>
    <w:rsid w:val="00EF5935"/>
    <w:rsid w:val="00EF76EB"/>
    <w:rsid w:val="00F00E5A"/>
    <w:rsid w:val="00F0278D"/>
    <w:rsid w:val="00F03AE7"/>
    <w:rsid w:val="00F04674"/>
    <w:rsid w:val="00F04D16"/>
    <w:rsid w:val="00F05E95"/>
    <w:rsid w:val="00F12CE6"/>
    <w:rsid w:val="00F1448C"/>
    <w:rsid w:val="00F14E3D"/>
    <w:rsid w:val="00F15BEF"/>
    <w:rsid w:val="00F205A9"/>
    <w:rsid w:val="00F20D42"/>
    <w:rsid w:val="00F21827"/>
    <w:rsid w:val="00F23779"/>
    <w:rsid w:val="00F23B26"/>
    <w:rsid w:val="00F30CBC"/>
    <w:rsid w:val="00F334D5"/>
    <w:rsid w:val="00F44FBE"/>
    <w:rsid w:val="00F51429"/>
    <w:rsid w:val="00F54E0A"/>
    <w:rsid w:val="00F55180"/>
    <w:rsid w:val="00F554A2"/>
    <w:rsid w:val="00F62556"/>
    <w:rsid w:val="00F70098"/>
    <w:rsid w:val="00F704E2"/>
    <w:rsid w:val="00F72852"/>
    <w:rsid w:val="00F73103"/>
    <w:rsid w:val="00F743CE"/>
    <w:rsid w:val="00F76E01"/>
    <w:rsid w:val="00F800F2"/>
    <w:rsid w:val="00F80723"/>
    <w:rsid w:val="00F82FA5"/>
    <w:rsid w:val="00F85E70"/>
    <w:rsid w:val="00F87EC4"/>
    <w:rsid w:val="00F957F8"/>
    <w:rsid w:val="00F96BCE"/>
    <w:rsid w:val="00F97FEA"/>
    <w:rsid w:val="00FA0272"/>
    <w:rsid w:val="00FA1297"/>
    <w:rsid w:val="00FA321A"/>
    <w:rsid w:val="00FA4288"/>
    <w:rsid w:val="00FA5153"/>
    <w:rsid w:val="00FA5571"/>
    <w:rsid w:val="00FA5C25"/>
    <w:rsid w:val="00FA6DD3"/>
    <w:rsid w:val="00FB3738"/>
    <w:rsid w:val="00FC16F2"/>
    <w:rsid w:val="00FC2294"/>
    <w:rsid w:val="00FC43E9"/>
    <w:rsid w:val="00FC6228"/>
    <w:rsid w:val="00FC68AD"/>
    <w:rsid w:val="00FD0A94"/>
    <w:rsid w:val="00FD11BA"/>
    <w:rsid w:val="00FD2ADC"/>
    <w:rsid w:val="00FD4F9E"/>
    <w:rsid w:val="00FD799B"/>
    <w:rsid w:val="00FE0C8A"/>
    <w:rsid w:val="00FE72B7"/>
    <w:rsid w:val="00FE7A55"/>
    <w:rsid w:val="00FF13EB"/>
    <w:rsid w:val="00FF14F2"/>
    <w:rsid w:val="00FF1B65"/>
    <w:rsid w:val="00FF1FBD"/>
    <w:rsid w:val="00FF4910"/>
    <w:rsid w:val="00FF4D76"/>
    <w:rsid w:val="00FF6AC1"/>
    <w:rsid w:val="00FF725E"/>
    <w:rsid w:val="12CE00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DF8"/>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E76DF8"/>
    <w:pPr>
      <w:ind w:firstLine="420"/>
    </w:pPr>
    <w:rPr>
      <w:rFonts w:ascii="Times New Roman" w:eastAsia="仿宋_GB2312" w:hAnsi="Times New Roman"/>
      <w:sz w:val="28"/>
      <w:szCs w:val="20"/>
    </w:rPr>
  </w:style>
  <w:style w:type="paragraph" w:styleId="a4">
    <w:name w:val="Balloon Text"/>
    <w:basedOn w:val="a"/>
    <w:semiHidden/>
    <w:qFormat/>
    <w:rsid w:val="00E76DF8"/>
    <w:rPr>
      <w:sz w:val="18"/>
      <w:szCs w:val="18"/>
    </w:rPr>
  </w:style>
  <w:style w:type="paragraph" w:styleId="a5">
    <w:name w:val="footer"/>
    <w:basedOn w:val="a"/>
    <w:link w:val="Char"/>
    <w:uiPriority w:val="99"/>
    <w:semiHidden/>
    <w:unhideWhenUsed/>
    <w:rsid w:val="00E76DF8"/>
    <w:pPr>
      <w:tabs>
        <w:tab w:val="center" w:pos="4153"/>
        <w:tab w:val="right" w:pos="8306"/>
      </w:tabs>
      <w:snapToGrid w:val="0"/>
      <w:jc w:val="left"/>
    </w:pPr>
    <w:rPr>
      <w:sz w:val="18"/>
      <w:szCs w:val="18"/>
    </w:rPr>
  </w:style>
  <w:style w:type="paragraph" w:styleId="a6">
    <w:name w:val="header"/>
    <w:basedOn w:val="a"/>
    <w:link w:val="Char0"/>
    <w:uiPriority w:val="99"/>
    <w:semiHidden/>
    <w:unhideWhenUsed/>
    <w:rsid w:val="00E76DF8"/>
    <w:pPr>
      <w:pBdr>
        <w:bottom w:val="single" w:sz="6" w:space="1" w:color="auto"/>
      </w:pBdr>
      <w:tabs>
        <w:tab w:val="center" w:pos="4153"/>
        <w:tab w:val="right" w:pos="8306"/>
      </w:tabs>
      <w:snapToGrid w:val="0"/>
      <w:jc w:val="center"/>
    </w:pPr>
    <w:rPr>
      <w:sz w:val="18"/>
      <w:szCs w:val="18"/>
    </w:rPr>
  </w:style>
  <w:style w:type="paragraph" w:styleId="a7">
    <w:name w:val="Title"/>
    <w:basedOn w:val="a"/>
    <w:next w:val="a"/>
    <w:link w:val="Char1"/>
    <w:qFormat/>
    <w:rsid w:val="00E76DF8"/>
    <w:pPr>
      <w:spacing w:before="240" w:after="60"/>
      <w:jc w:val="center"/>
      <w:outlineLvl w:val="0"/>
    </w:pPr>
    <w:rPr>
      <w:rFonts w:ascii="Cambria" w:hAnsi="Cambria"/>
      <w:b/>
      <w:bCs/>
      <w:sz w:val="32"/>
      <w:szCs w:val="32"/>
    </w:rPr>
  </w:style>
  <w:style w:type="character" w:styleId="a8">
    <w:name w:val="page number"/>
    <w:basedOn w:val="a0"/>
    <w:qFormat/>
    <w:rsid w:val="00E76DF8"/>
  </w:style>
  <w:style w:type="character" w:customStyle="1" w:styleId="Char0">
    <w:name w:val="页眉 Char"/>
    <w:basedOn w:val="a0"/>
    <w:link w:val="a6"/>
    <w:uiPriority w:val="99"/>
    <w:semiHidden/>
    <w:rsid w:val="00E76DF8"/>
    <w:rPr>
      <w:sz w:val="18"/>
      <w:szCs w:val="18"/>
    </w:rPr>
  </w:style>
  <w:style w:type="character" w:customStyle="1" w:styleId="Char">
    <w:name w:val="页脚 Char"/>
    <w:basedOn w:val="a0"/>
    <w:link w:val="a5"/>
    <w:uiPriority w:val="99"/>
    <w:semiHidden/>
    <w:rsid w:val="00E76DF8"/>
    <w:rPr>
      <w:sz w:val="18"/>
      <w:szCs w:val="18"/>
    </w:rPr>
  </w:style>
  <w:style w:type="paragraph" w:customStyle="1" w:styleId="CharCharCharCharCharChar1CharCharChar">
    <w:name w:val="Char Char Char Char Char Char1 Char Char Char"/>
    <w:basedOn w:val="a"/>
    <w:qFormat/>
    <w:rsid w:val="00E76DF8"/>
    <w:pPr>
      <w:autoSpaceDE w:val="0"/>
      <w:autoSpaceDN w:val="0"/>
      <w:adjustRightInd w:val="0"/>
      <w:jc w:val="left"/>
      <w:textAlignment w:val="baseline"/>
    </w:pPr>
    <w:rPr>
      <w:rFonts w:ascii="宋体" w:hAnsi="Times New Roman"/>
      <w:kern w:val="0"/>
      <w:sz w:val="34"/>
      <w:szCs w:val="20"/>
    </w:rPr>
  </w:style>
  <w:style w:type="paragraph" w:customStyle="1" w:styleId="Section">
    <w:name w:val="Section"/>
    <w:next w:val="a"/>
    <w:qFormat/>
    <w:rsid w:val="00E76DF8"/>
    <w:pPr>
      <w:keepNext/>
      <w:keepLines/>
      <w:widowControl w:val="0"/>
      <w:spacing w:before="300" w:after="300" w:line="241" w:lineRule="auto"/>
      <w:jc w:val="both"/>
    </w:pPr>
    <w:rPr>
      <w:b/>
      <w:bCs/>
      <w:kern w:val="28"/>
      <w:sz w:val="21"/>
      <w:szCs w:val="21"/>
    </w:rPr>
  </w:style>
  <w:style w:type="character" w:customStyle="1" w:styleId="Char1">
    <w:name w:val="标题 Char"/>
    <w:basedOn w:val="a0"/>
    <w:link w:val="a7"/>
    <w:qFormat/>
    <w:rsid w:val="00E76DF8"/>
    <w:rPr>
      <w:rFonts w:ascii="Cambria" w:hAnsi="Cambria"/>
      <w:b/>
      <w:bCs/>
      <w:kern w:val="2"/>
      <w:sz w:val="32"/>
      <w:szCs w:val="32"/>
    </w:rPr>
  </w:style>
  <w:style w:type="paragraph" w:styleId="a9">
    <w:name w:val="List Paragraph"/>
    <w:basedOn w:val="a"/>
    <w:uiPriority w:val="34"/>
    <w:qFormat/>
    <w:rsid w:val="00E76DF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5573230">
      <w:bodyDiv w:val="1"/>
      <w:marLeft w:val="0"/>
      <w:marRight w:val="0"/>
      <w:marTop w:val="0"/>
      <w:marBottom w:val="0"/>
      <w:divBdr>
        <w:top w:val="none" w:sz="0" w:space="0" w:color="auto"/>
        <w:left w:val="none" w:sz="0" w:space="0" w:color="auto"/>
        <w:bottom w:val="none" w:sz="0" w:space="0" w:color="auto"/>
        <w:right w:val="none" w:sz="0" w:space="0" w:color="auto"/>
      </w:divBdr>
    </w:div>
    <w:div w:id="20677937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BA803B-2430-446D-9CB1-0C4B55CCB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9</Pages>
  <Words>1177</Words>
  <Characters>6714</Characters>
  <Application>Microsoft Office Word</Application>
  <DocSecurity>0</DocSecurity>
  <Lines>55</Lines>
  <Paragraphs>15</Paragraphs>
  <ScaleCrop>false</ScaleCrop>
  <Company>Lenovo (Beijing) Limited</Company>
  <LinksUpToDate>false</LinksUpToDate>
  <CharactersWithSpaces>7876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徐建蓉</dc:creator>
  <cp:lastModifiedBy>Lenovo</cp:lastModifiedBy>
  <cp:revision>607</cp:revision>
  <cp:lastPrinted>2024-04-19T05:41:00Z</cp:lastPrinted>
  <dcterms:created xsi:type="dcterms:W3CDTF">2019-03-27T11:57:00Z</dcterms:created>
  <dcterms:modified xsi:type="dcterms:W3CDTF">2024-04-28T03:12:00Z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DA5013315A78421E89CCD8C7A3A0AB06</vt:lpwstr>
  </property>
</Properties>
</file>