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70" w:rsidRPr="0083131E" w:rsidRDefault="00315170" w:rsidP="00315170">
      <w:pPr>
        <w:spacing w:before="200" w:after="120" w:line="480" w:lineRule="auto"/>
        <w:jc w:val="center"/>
        <w:rPr>
          <w:rFonts w:ascii="宋体" w:eastAsia="宋体" w:hAnsi="宋体" w:cs="宋体"/>
          <w:szCs w:val="21"/>
        </w:rPr>
      </w:pPr>
      <w:r w:rsidRPr="0083131E">
        <w:rPr>
          <w:rFonts w:ascii="宋体" w:eastAsia="宋体" w:hAnsi="宋体" w:cs="宋体"/>
          <w:szCs w:val="21"/>
        </w:rPr>
        <w:t>证券代码：000936                证券简称：华西股份                公告编号：</w:t>
      </w:r>
      <w:r>
        <w:rPr>
          <w:rFonts w:ascii="宋体" w:eastAsia="宋体" w:hAnsi="宋体" w:cs="宋体"/>
          <w:szCs w:val="21"/>
        </w:rPr>
        <w:t>202</w:t>
      </w:r>
      <w:r>
        <w:rPr>
          <w:rFonts w:ascii="宋体" w:eastAsia="宋体" w:hAnsi="宋体" w:cs="宋体" w:hint="eastAsia"/>
          <w:szCs w:val="21"/>
        </w:rPr>
        <w:t>4</w:t>
      </w:r>
      <w:r w:rsidRPr="0083131E">
        <w:rPr>
          <w:rFonts w:ascii="宋体" w:eastAsia="宋体" w:hAnsi="宋体" w:cs="宋体"/>
          <w:szCs w:val="21"/>
        </w:rPr>
        <w:t>-0</w:t>
      </w:r>
      <w:r>
        <w:rPr>
          <w:rFonts w:ascii="宋体" w:eastAsia="宋体" w:hAnsi="宋体" w:cs="宋体" w:hint="eastAsia"/>
          <w:szCs w:val="21"/>
        </w:rPr>
        <w:t>21</w:t>
      </w:r>
    </w:p>
    <w:p w:rsidR="001E789C" w:rsidRDefault="009B38C1">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江苏华西村股份有限公司</w:t>
      </w:r>
    </w:p>
    <w:p w:rsidR="001E789C" w:rsidRDefault="009B38C1">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2024年第一季度报告</w:t>
      </w:r>
    </w:p>
    <w:p w:rsidR="001E789C" w:rsidRDefault="009B38C1">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ascii="宋体" w:eastAsia="宋体" w:hAnsi="宋体" w:cs="宋体"/>
          <w:sz w:val="18"/>
          <w:szCs w:val="18"/>
        </w:rPr>
      </w:pPr>
      <w:r>
        <w:rPr>
          <w:rFonts w:ascii="宋体" w:eastAsia="宋体" w:hAnsi="宋体" w:cs="宋体"/>
          <w:sz w:val="18"/>
          <w:szCs w:val="18"/>
        </w:rPr>
        <w:t>本公司及董事会全体成员保证信息披露的内容真实、准确、完整，没有虚假记载、误导性陈述或重大遗漏。</w:t>
      </w:r>
    </w:p>
    <w:p w:rsidR="001E789C" w:rsidRDefault="009B38C1">
      <w:pPr>
        <w:spacing w:before="40" w:after="40" w:line="420" w:lineRule="exact"/>
        <w:rPr>
          <w:rFonts w:ascii="宋体" w:eastAsia="宋体" w:hAnsi="宋体" w:cs="宋体"/>
          <w:b/>
          <w:bCs/>
          <w:sz w:val="24"/>
          <w:szCs w:val="24"/>
        </w:rPr>
      </w:pPr>
      <w:r>
        <w:rPr>
          <w:rFonts w:ascii="宋体" w:eastAsia="宋体" w:hAnsi="宋体" w:cs="宋体"/>
          <w:b/>
          <w:bCs/>
          <w:sz w:val="24"/>
          <w:szCs w:val="24"/>
        </w:rPr>
        <w:t>重要内容提示：</w:t>
      </w:r>
    </w:p>
    <w:p w:rsidR="001E789C" w:rsidRDefault="009B38C1">
      <w:pPr>
        <w:spacing w:before="100" w:after="100" w:line="400" w:lineRule="exact"/>
        <w:rPr>
          <w:rFonts w:ascii="宋体" w:eastAsia="宋体" w:hAnsi="宋体" w:cs="宋体"/>
          <w:sz w:val="18"/>
          <w:szCs w:val="18"/>
        </w:rPr>
      </w:pPr>
      <w:r>
        <w:rPr>
          <w:rFonts w:ascii="宋体" w:eastAsia="宋体" w:hAnsi="宋体" w:cs="宋体"/>
          <w:sz w:val="18"/>
          <w:szCs w:val="18"/>
        </w:rPr>
        <w:t>1.董事会、监事会及董事、监事、高级管理人员保证季度报告的真实、准确、完整，不存在虚假记载、误导性陈述或重大遗漏，并承担个别和连带的法律责任。</w:t>
      </w:r>
    </w:p>
    <w:p w:rsidR="001E789C" w:rsidRDefault="009B38C1">
      <w:pPr>
        <w:spacing w:before="100" w:after="100" w:line="400" w:lineRule="exact"/>
        <w:rPr>
          <w:rFonts w:ascii="宋体" w:eastAsia="宋体" w:hAnsi="宋体" w:cs="宋体"/>
          <w:sz w:val="18"/>
          <w:szCs w:val="18"/>
        </w:rPr>
      </w:pPr>
      <w:r>
        <w:rPr>
          <w:rFonts w:ascii="宋体" w:eastAsia="宋体" w:hAnsi="宋体" w:cs="宋体"/>
          <w:sz w:val="18"/>
          <w:szCs w:val="18"/>
        </w:rPr>
        <w:t>2.公司负责人、主管会计工作负责人及会计机构负责人(会计主管人员)声明：保证季度报告中财务信息的真实、准确、完整。</w:t>
      </w:r>
    </w:p>
    <w:p w:rsidR="001E789C" w:rsidRDefault="009B38C1">
      <w:pPr>
        <w:spacing w:before="100" w:after="100" w:line="400" w:lineRule="exact"/>
        <w:rPr>
          <w:rFonts w:ascii="宋体" w:eastAsia="宋体" w:hAnsi="宋体" w:cs="宋体"/>
          <w:sz w:val="18"/>
          <w:szCs w:val="18"/>
        </w:rPr>
      </w:pPr>
      <w:r>
        <w:rPr>
          <w:rFonts w:ascii="宋体" w:eastAsia="宋体" w:hAnsi="宋体" w:cs="宋体"/>
          <w:sz w:val="18"/>
          <w:szCs w:val="18"/>
        </w:rPr>
        <w:t>3.第一季度报告是否经审计</w:t>
      </w:r>
    </w:p>
    <w:p w:rsidR="001E789C" w:rsidRDefault="009B38C1">
      <w:pPr>
        <w:spacing w:before="100" w:after="100" w:line="40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E789C" w:rsidRDefault="009B38C1">
      <w:pPr>
        <w:pStyle w:val="headingh1"/>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t>一、主要财务数据</w:t>
      </w:r>
      <w:bookmarkEnd w:id="0"/>
    </w:p>
    <w:p w:rsidR="001E789C" w:rsidRDefault="009B38C1">
      <w:pPr>
        <w:pStyle w:val="2"/>
        <w:spacing w:before="300" w:after="300" w:line="280" w:lineRule="exact"/>
        <w:rPr>
          <w:rFonts w:ascii="宋体" w:eastAsia="宋体" w:hAnsi="宋体" w:cs="宋体"/>
          <w:b/>
          <w:bCs/>
        </w:rPr>
      </w:pPr>
      <w:bookmarkStart w:id="1" w:name="_Toc988890"/>
      <w:r>
        <w:rPr>
          <w:rFonts w:ascii="宋体" w:eastAsia="宋体" w:hAnsi="宋体" w:cs="宋体"/>
          <w:b/>
          <w:bCs/>
        </w:rPr>
        <w:t>（一） 主要会计数据和财务指标</w:t>
      </w:r>
      <w:bookmarkEnd w:id="1"/>
    </w:p>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647,621,703.01</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673,285,142.37</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-3.81%</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40,145,777.19</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22,172,234.53</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81.06%</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r w:rsidR="00315170">
              <w:rPr>
                <w:rFonts w:ascii="宋体" w:eastAsia="宋体" w:hAnsi="宋体" w:cs="宋体"/>
                <w:sz w:val="18"/>
                <w:szCs w:val="18"/>
              </w:rPr>
              <w:t>（</w:t>
            </w:r>
            <w:r>
              <w:rPr>
                <w:rFonts w:ascii="宋体" w:eastAsia="宋体" w:hAnsi="宋体" w:cs="宋体"/>
                <w:sz w:val="18"/>
                <w:szCs w:val="18"/>
              </w:rPr>
              <w:t>元）</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40,162,490.59</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21,533,830.58</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86.51%</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-24,562,512.57</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-156,012,177.82</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84.26%</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66.67%</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稀释每股收益（元/股）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66.67%</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0.78%</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0A35C5">
            <w:pPr>
              <w:spacing w:line="240" w:lineRule="exact"/>
              <w:jc w:val="right"/>
              <w:rPr>
                <w:rFonts w:ascii="宋体" w:eastAsia="宋体" w:hAnsi="宋体" w:cs="宋体"/>
                <w:sz w:val="18"/>
                <w:szCs w:val="18"/>
              </w:rPr>
            </w:pPr>
            <w:r>
              <w:rPr>
                <w:rFonts w:ascii="宋体" w:eastAsia="宋体" w:hAnsi="宋体" w:cs="宋体" w:hint="eastAsia"/>
                <w:sz w:val="18"/>
                <w:szCs w:val="18"/>
              </w:rPr>
              <w:t>增加</w:t>
            </w:r>
            <w:r w:rsidR="00315170">
              <w:rPr>
                <w:rFonts w:ascii="宋体" w:eastAsia="宋体" w:hAnsi="宋体" w:cs="宋体" w:hint="eastAsia"/>
                <w:sz w:val="18"/>
                <w:szCs w:val="18"/>
              </w:rPr>
              <w:t>了</w:t>
            </w:r>
            <w:r>
              <w:rPr>
                <w:rFonts w:ascii="宋体" w:eastAsia="宋体" w:hAnsi="宋体" w:cs="宋体" w:hint="eastAsia"/>
                <w:sz w:val="18"/>
                <w:szCs w:val="18"/>
              </w:rPr>
              <w:t>0.</w:t>
            </w:r>
            <w:r>
              <w:rPr>
                <w:rFonts w:ascii="宋体" w:eastAsia="宋体" w:hAnsi="宋体" w:cs="宋体"/>
                <w:sz w:val="18"/>
                <w:szCs w:val="18"/>
              </w:rPr>
              <w:t>34</w:t>
            </w:r>
            <w:r>
              <w:rPr>
                <w:rFonts w:ascii="宋体" w:eastAsia="宋体" w:hAnsi="宋体" w:cs="宋体" w:hint="eastAsia"/>
                <w:sz w:val="18"/>
                <w:szCs w:val="18"/>
              </w:rPr>
              <w:t>个百分点</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6,467,307,388.51</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6,456,602,837.61</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0.17%</w:t>
            </w:r>
          </w:p>
        </w:tc>
      </w:tr>
      <w:tr w:rsidR="001E789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5,156,393,081.30</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5,115,698,061.06</w:t>
            </w:r>
          </w:p>
        </w:tc>
        <w:tc>
          <w:tcPr>
            <w:tcW w:w="2410"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0.80%</w:t>
            </w:r>
          </w:p>
        </w:tc>
      </w:tr>
    </w:tbl>
    <w:p w:rsidR="001E789C" w:rsidRDefault="001E789C">
      <w:pPr>
        <w:spacing w:line="0" w:lineRule="atLeast"/>
      </w:pPr>
    </w:p>
    <w:p w:rsidR="001E789C" w:rsidRDefault="001E789C">
      <w:pPr>
        <w:spacing w:line="0" w:lineRule="atLeast"/>
      </w:pPr>
    </w:p>
    <w:p w:rsidR="001E789C" w:rsidRDefault="009B38C1">
      <w:pPr>
        <w:pStyle w:val="2"/>
        <w:spacing w:before="300" w:after="300" w:line="280" w:lineRule="exact"/>
        <w:rPr>
          <w:rFonts w:ascii="宋体" w:eastAsia="宋体" w:hAnsi="宋体" w:cs="宋体"/>
          <w:b/>
          <w:bCs/>
        </w:rPr>
      </w:pPr>
      <w:bookmarkStart w:id="2" w:name="_Toc988891"/>
      <w:r>
        <w:rPr>
          <w:rFonts w:ascii="宋体" w:eastAsia="宋体" w:hAnsi="宋体" w:cs="宋体"/>
          <w:b/>
          <w:bCs/>
        </w:rPr>
        <w:lastRenderedPageBreak/>
        <w:t>（二） 非经常性损益项目和金额</w:t>
      </w:r>
      <w:bookmarkEnd w:id="2"/>
    </w:p>
    <w:p w:rsidR="001E789C" w:rsidRDefault="009B38C1">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期金额</w:t>
            </w:r>
            <w:proofErr w:type="gramEnd"/>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非流动性资产处置损益（包括已计提资产减值准备的冲销部分）</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-38,779.51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19,467.32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-2,598.79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-16,713.40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1E789C" w:rsidRDefault="009B38C1">
      <w:pPr>
        <w:spacing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原因</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25,196,398.44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产生的公允价值变动损益，以及处置交易性金融资产和可供出售金融资产取得的投资收益均来自于公司及子公司，系公司的经常性损益。</w:t>
            </w:r>
          </w:p>
        </w:tc>
      </w:tr>
    </w:tbl>
    <w:p w:rsidR="001E789C" w:rsidRDefault="009B38C1">
      <w:pPr>
        <w:pStyle w:val="2"/>
        <w:spacing w:before="300" w:after="300" w:line="280" w:lineRule="exact"/>
        <w:rPr>
          <w:rFonts w:ascii="宋体" w:eastAsia="宋体" w:hAnsi="宋体" w:cs="宋体"/>
          <w:b/>
          <w:bCs/>
        </w:rPr>
      </w:pPr>
      <w:bookmarkStart w:id="3" w:name="_Toc988892"/>
      <w:r>
        <w:rPr>
          <w:rFonts w:ascii="宋体" w:eastAsia="宋体" w:hAnsi="宋体" w:cs="宋体"/>
          <w:b/>
          <w:bCs/>
        </w:rPr>
        <w:t>（三） 主要会计数据和财务指标发生变动的情况及原因</w:t>
      </w:r>
      <w:bookmarkEnd w:id="3"/>
    </w:p>
    <w:p w:rsidR="001E789C" w:rsidRDefault="009B38C1">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1、应收账款期末余额较年初数增加了31.70%，主要原因是期末应收的化纤出口销售货款增加。</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2、预付款项期末余额较年初数增加了164.57%，主要原因是期末预付的化纤原材料款项增加。</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3、其他应收款期末余额较年初数增加了4646.71%，主要原因是期末增加了被投资单位宣告发放尚未收到的股利分配款6,138.62万元。</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4、在建工程期末余额较年初数增加了185.63%，主要原因是本期增加了化纤厂生产设备的投入。</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5、其他非流动资产期末余额较年初数减少了79.13%，主要原因是期末预付的长期资产构建款项减少。</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6、预收款项期末余额较年初数减少了54.76%，主要原因是期末预收的仓储款项减少。</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7、合同负债期末余额较年初数增加了94.85%，主要原因是期末化纤厂预收销售合同货款增加。</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8、应付职工薪</w:t>
      </w:r>
      <w:proofErr w:type="gramStart"/>
      <w:r>
        <w:rPr>
          <w:rFonts w:cs="Times New Roman" w:hint="eastAsia"/>
          <w:color w:val="000000"/>
          <w:sz w:val="18"/>
          <w:szCs w:val="18"/>
        </w:rPr>
        <w:t>酬</w:t>
      </w:r>
      <w:proofErr w:type="gramEnd"/>
      <w:r>
        <w:rPr>
          <w:rFonts w:cs="Times New Roman" w:hint="eastAsia"/>
          <w:color w:val="000000"/>
          <w:sz w:val="18"/>
          <w:szCs w:val="18"/>
        </w:rPr>
        <w:t>期末余额较年初数减少了58.26%，主要原因是本期支付了上年计提的奖金款项。</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9、财务费用本期金额比上年同期减少了43.57%，主要原因是本期汇兑收益比上年同期增加。</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10、其他收益本期金额比上年同期减少了58.66%，主要原因是本期收到的政府补助款比上年同期减少。</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11、投资收益本期金额比上年同期减少了35.51%，主要原因是本期处置交易性金融资产取得的投资收益比上年同期减少。</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12、公允价值变动收益本期金额比上年同期增加了329.01%，主要原因是本期持有的金融资产产生的公允价值变动收益比上年同期增加。</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13、信用减值损失本期金额比上年同期增加了45.15%，主要原因是本期计提的坏账准备比上年同期减少。</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14、资产减值损失本期金额比上年同期减少了789.18%，主要原因是本期计提的存货跌价准备比上年同期增加。</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lastRenderedPageBreak/>
        <w:t>15、营业外收入本期金额比上年同期减少了93.70%，主要原因是本期收到的赔偿款比上年同期减少。</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16、所得税费用本期金额比上年同期增加了65.42%，主要原因是本期利润总额增加影响本期所得税费用比上年同期增加。</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17、归属于母公司</w:t>
      </w:r>
      <w:r w:rsidR="000F3840">
        <w:rPr>
          <w:rFonts w:cs="Times New Roman" w:hint="eastAsia"/>
          <w:color w:val="000000"/>
          <w:sz w:val="18"/>
          <w:szCs w:val="18"/>
        </w:rPr>
        <w:t>股东</w:t>
      </w:r>
      <w:r>
        <w:rPr>
          <w:rFonts w:cs="Times New Roman" w:hint="eastAsia"/>
          <w:color w:val="000000"/>
          <w:sz w:val="18"/>
          <w:szCs w:val="18"/>
        </w:rPr>
        <w:t>的净利润本期金额比上年同期增加了81.06%，主要原因是本期公允价值变动收益比上年同期增加。</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18、经营活动产生的现金流量净额本期金额比上年同期金额增加了84.26%，主要原因是：①本期购买商品支付的现金比上年同期减少；②本期支付其他与经营活动有关的现金比上年同期减少。</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19、投资活动产生的现金流量净额本期金额比上年同期金额减少了392.19%，主要原因是本期购建固定资产支付的现金比上年同期增加。</w:t>
      </w:r>
    </w:p>
    <w:p w:rsidR="00D3262D" w:rsidRDefault="009B38C1" w:rsidP="00315170">
      <w:pPr>
        <w:pStyle w:val="a3"/>
        <w:adjustRightInd w:val="0"/>
        <w:snapToGrid w:val="0"/>
        <w:spacing w:before="0" w:beforeAutospacing="0" w:after="0" w:afterAutospacing="0" w:line="360" w:lineRule="auto"/>
        <w:ind w:firstLine="357"/>
        <w:jc w:val="both"/>
        <w:divId w:val="1346059000"/>
        <w:rPr>
          <w:rFonts w:ascii="Times New Roman" w:hAnsi="Times New Roman" w:cs="Times New Roman"/>
          <w:sz w:val="18"/>
          <w:szCs w:val="18"/>
        </w:rPr>
      </w:pPr>
      <w:r>
        <w:rPr>
          <w:rFonts w:cs="Times New Roman" w:hint="eastAsia"/>
          <w:color w:val="000000"/>
          <w:sz w:val="18"/>
          <w:szCs w:val="18"/>
        </w:rPr>
        <w:t>20、筹资活动产生的现金流量净额本期金额比上</w:t>
      </w:r>
      <w:bookmarkStart w:id="4" w:name="_GoBack"/>
      <w:bookmarkEnd w:id="4"/>
      <w:r>
        <w:rPr>
          <w:rFonts w:cs="Times New Roman" w:hint="eastAsia"/>
          <w:color w:val="000000"/>
          <w:sz w:val="18"/>
          <w:szCs w:val="18"/>
        </w:rPr>
        <w:t>年同期金额减少了254.59%，主要原因是本期取得借款收到的现金比上年同期减少。</w:t>
      </w:r>
    </w:p>
    <w:p w:rsidR="001E789C" w:rsidRDefault="009B38C1">
      <w:pPr>
        <w:pStyle w:val="headingh1"/>
        <w:spacing w:before="300" w:after="300" w:line="320" w:lineRule="exact"/>
        <w:rPr>
          <w:rFonts w:ascii="宋体" w:eastAsia="宋体" w:hAnsi="宋体" w:cs="宋体"/>
          <w:b/>
          <w:bCs/>
          <w:sz w:val="24"/>
          <w:szCs w:val="24"/>
        </w:rPr>
      </w:pPr>
      <w:bookmarkStart w:id="5" w:name="_Toc988893"/>
      <w:r>
        <w:rPr>
          <w:rFonts w:ascii="宋体" w:eastAsia="宋体" w:hAnsi="宋体" w:cs="宋体"/>
          <w:b/>
          <w:bCs/>
          <w:sz w:val="24"/>
          <w:szCs w:val="24"/>
        </w:rPr>
        <w:t xml:space="preserve">二、股东信息 </w:t>
      </w:r>
      <w:bookmarkEnd w:id="5"/>
    </w:p>
    <w:p w:rsidR="001E789C" w:rsidRDefault="009B38C1">
      <w:pPr>
        <w:pStyle w:val="2"/>
        <w:spacing w:before="300" w:after="300" w:line="280" w:lineRule="exact"/>
        <w:rPr>
          <w:rFonts w:ascii="宋体" w:eastAsia="宋体" w:hAnsi="宋体" w:cs="宋体"/>
          <w:b/>
          <w:bCs/>
        </w:rPr>
      </w:pPr>
      <w:bookmarkStart w:id="6" w:name="_Toc988894"/>
      <w:r>
        <w:rPr>
          <w:rFonts w:ascii="宋体" w:eastAsia="宋体" w:hAnsi="宋体" w:cs="宋体"/>
          <w:b/>
          <w:bCs/>
        </w:rPr>
        <w:t>（一） 普通股股东总数和表决权恢复的优先股股东数量及前十名股东持股情况表</w:t>
      </w:r>
      <w:bookmarkEnd w:id="6"/>
    </w:p>
    <w:p w:rsidR="001E789C" w:rsidRDefault="009B38C1">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923"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701"/>
        <w:gridCol w:w="1276"/>
        <w:gridCol w:w="851"/>
        <w:gridCol w:w="1701"/>
        <w:gridCol w:w="1275"/>
        <w:gridCol w:w="1418"/>
        <w:gridCol w:w="1701"/>
      </w:tblGrid>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88,734</w:t>
            </w:r>
          </w:p>
        </w:tc>
        <w:tc>
          <w:tcPr>
            <w:tcW w:w="439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E789C" w:rsidTr="00511228">
        <w:trPr>
          <w:trHeight w:val="240"/>
        </w:trPr>
        <w:tc>
          <w:tcPr>
            <w:tcW w:w="9923"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1E789C" w:rsidTr="00511228">
        <w:trPr>
          <w:trHeight w:val="240"/>
        </w:trPr>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31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511228" w:rsidTr="00511228">
        <w:trPr>
          <w:trHeight w:val="240"/>
        </w:trPr>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质押</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260,000,000.00</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国有法人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质押</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40,000,000.00</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元</w:t>
            </w:r>
            <w:proofErr w:type="gramStart"/>
            <w:r>
              <w:rPr>
                <w:rFonts w:ascii="宋体" w:eastAsia="宋体" w:hAnsi="宋体" w:cs="宋体"/>
                <w:sz w:val="18"/>
                <w:szCs w:val="18"/>
              </w:rPr>
              <w:t>元</w:t>
            </w:r>
            <w:proofErr w:type="gramEnd"/>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境外自然人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0.91%</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8,053,267.00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境外法人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0.85%</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7,489,160.00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5,944,511.00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proofErr w:type="gramStart"/>
            <w:r>
              <w:rPr>
                <w:rFonts w:ascii="宋体" w:eastAsia="宋体" w:hAnsi="宋体" w:cs="宋体"/>
                <w:sz w:val="18"/>
                <w:szCs w:val="18"/>
              </w:rPr>
              <w:t>元秀湘</w:t>
            </w:r>
            <w:proofErr w:type="gramEnd"/>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0.49%</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4,376,527.00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聂鹏举</w:t>
            </w:r>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2,953,200.00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陈杏英</w:t>
            </w:r>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2,800,000.00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科力尔电机集团股份有限公司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0.30%</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2,634,100.00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E789C" w:rsidTr="00511228">
        <w:trPr>
          <w:trHeight w:val="240"/>
        </w:trPr>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林凯铭</w:t>
            </w:r>
          </w:p>
        </w:tc>
        <w:tc>
          <w:tcPr>
            <w:tcW w:w="1276" w:type="dxa"/>
            <w:tcBorders>
              <w:top w:val="single" w:sz="2" w:space="0" w:color="auto"/>
              <w:left w:val="single" w:sz="2" w:space="0" w:color="auto"/>
              <w:bottom w:val="single" w:sz="2" w:space="0" w:color="auto"/>
              <w:right w:val="single" w:sz="2" w:space="0" w:color="auto"/>
            </w:tcBorders>
            <w:vAlign w:val="center"/>
          </w:tcPr>
          <w:p w:rsidR="001E789C" w:rsidRDefault="009B38C1" w:rsidP="00315170">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2,469,000.00</w:t>
            </w:r>
          </w:p>
        </w:tc>
        <w:tc>
          <w:tcPr>
            <w:tcW w:w="1275"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不适用</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E789C" w:rsidTr="00511228">
        <w:trPr>
          <w:trHeight w:val="240"/>
        </w:trPr>
        <w:tc>
          <w:tcPr>
            <w:tcW w:w="9923"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股东持股情况</w:t>
            </w:r>
          </w:p>
        </w:tc>
      </w:tr>
      <w:tr w:rsidR="001E789C" w:rsidTr="00511228">
        <w:trPr>
          <w:trHeight w:val="240"/>
        </w:trPr>
        <w:tc>
          <w:tcPr>
            <w:tcW w:w="297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3827"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持有无限</w:t>
            </w:r>
            <w:proofErr w:type="gramStart"/>
            <w:r>
              <w:rPr>
                <w:rFonts w:ascii="宋体" w:eastAsia="宋体" w:hAnsi="宋体" w:cs="宋体"/>
                <w:sz w:val="18"/>
                <w:szCs w:val="18"/>
              </w:rPr>
              <w:t>售条件</w:t>
            </w:r>
            <w:proofErr w:type="gramEnd"/>
            <w:r>
              <w:rPr>
                <w:rFonts w:ascii="宋体" w:eastAsia="宋体" w:hAnsi="宋体" w:cs="宋体"/>
                <w:sz w:val="18"/>
                <w:szCs w:val="18"/>
              </w:rPr>
              <w:t>股份数量</w:t>
            </w:r>
          </w:p>
        </w:tc>
        <w:tc>
          <w:tcPr>
            <w:tcW w:w="31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股份种类</w:t>
            </w:r>
          </w:p>
        </w:tc>
      </w:tr>
      <w:tr w:rsidR="001E789C" w:rsidTr="00511228">
        <w:trPr>
          <w:trHeight w:val="240"/>
        </w:trPr>
        <w:tc>
          <w:tcPr>
            <w:tcW w:w="2977" w:type="dxa"/>
            <w:gridSpan w:val="2"/>
            <w:vMerge/>
            <w:tcBorders>
              <w:top w:val="single" w:sz="2" w:space="0" w:color="auto"/>
              <w:left w:val="single" w:sz="2" w:space="0" w:color="auto"/>
              <w:bottom w:val="single" w:sz="2" w:space="0" w:color="auto"/>
              <w:right w:val="single" w:sz="2" w:space="0" w:color="auto"/>
            </w:tcBorders>
            <w:vAlign w:val="center"/>
          </w:tcPr>
          <w:p w:rsidR="001E789C" w:rsidRDefault="001E789C"/>
        </w:tc>
        <w:tc>
          <w:tcPr>
            <w:tcW w:w="3827" w:type="dxa"/>
            <w:gridSpan w:val="3"/>
            <w:vMerge/>
            <w:tcBorders>
              <w:top w:val="single" w:sz="2" w:space="0" w:color="auto"/>
              <w:left w:val="single" w:sz="2" w:space="0" w:color="auto"/>
              <w:bottom w:val="single" w:sz="2" w:space="0" w:color="auto"/>
              <w:right w:val="single" w:sz="2" w:space="0" w:color="auto"/>
            </w:tcBorders>
            <w:vAlign w:val="center"/>
          </w:tcPr>
          <w:p w:rsidR="001E789C" w:rsidRDefault="001E789C"/>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260,000,000.00</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82,129,483.00</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元</w:t>
            </w:r>
            <w:proofErr w:type="gramStart"/>
            <w:r>
              <w:rPr>
                <w:rFonts w:ascii="宋体" w:eastAsia="宋体" w:hAnsi="宋体" w:cs="宋体"/>
                <w:sz w:val="18"/>
                <w:szCs w:val="18"/>
              </w:rPr>
              <w:t>元</w:t>
            </w:r>
            <w:proofErr w:type="gramEnd"/>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8,053,267.00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8,053,267.00</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7,489,160.00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7,489,160.00</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5,944,511.00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5,944,511.00</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proofErr w:type="gramStart"/>
            <w:r>
              <w:rPr>
                <w:rFonts w:ascii="宋体" w:eastAsia="宋体" w:hAnsi="宋体" w:cs="宋体"/>
                <w:sz w:val="18"/>
                <w:szCs w:val="18"/>
              </w:rPr>
              <w:t>元秀湘</w:t>
            </w:r>
            <w:proofErr w:type="gramEnd"/>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4,376,527.00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4,376,527.00</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聂鹏举</w:t>
            </w:r>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2,953,200.00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2,953,200.00</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陈杏英</w:t>
            </w:r>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2,800,000.00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2,800,000.00</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科力尔电机集团股份有限公司</w:t>
            </w:r>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2,634,100.00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2,634,100.00</w:t>
            </w:r>
          </w:p>
        </w:tc>
      </w:tr>
      <w:tr w:rsidR="001E789C" w:rsidTr="00511228">
        <w:trPr>
          <w:trHeight w:val="240"/>
        </w:trPr>
        <w:tc>
          <w:tcPr>
            <w:tcW w:w="2977" w:type="dxa"/>
            <w:gridSpan w:val="2"/>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林凯铭</w:t>
            </w:r>
          </w:p>
        </w:tc>
        <w:tc>
          <w:tcPr>
            <w:tcW w:w="3827" w:type="dxa"/>
            <w:gridSpan w:val="3"/>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2,469,000.00</w:t>
            </w:r>
          </w:p>
        </w:tc>
        <w:tc>
          <w:tcPr>
            <w:tcW w:w="1418" w:type="dxa"/>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jc w:val="center"/>
              <w:rPr>
                <w:rFonts w:ascii="宋体" w:eastAsia="宋体" w:hAnsi="宋体" w:cs="宋体"/>
                <w:sz w:val="18"/>
                <w:szCs w:val="18"/>
              </w:rPr>
            </w:pPr>
            <w:r>
              <w:rPr>
                <w:rFonts w:ascii="宋体" w:eastAsia="宋体" w:hAnsi="宋体" w:cs="宋体"/>
                <w:sz w:val="18"/>
                <w:szCs w:val="18"/>
              </w:rPr>
              <w:t>人民币普通股</w:t>
            </w:r>
          </w:p>
        </w:tc>
        <w:tc>
          <w:tcPr>
            <w:tcW w:w="1701"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2,469,000.00</w:t>
            </w:r>
          </w:p>
        </w:tc>
      </w:tr>
      <w:tr w:rsidR="001E789C" w:rsidTr="00511228">
        <w:trPr>
          <w:trHeight w:val="240"/>
        </w:trPr>
        <w:tc>
          <w:tcPr>
            <w:tcW w:w="382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6095" w:type="dxa"/>
            <w:gridSpan w:val="4"/>
            <w:tcBorders>
              <w:top w:val="single" w:sz="2" w:space="0" w:color="auto"/>
              <w:left w:val="single" w:sz="2" w:space="0" w:color="auto"/>
              <w:bottom w:val="single" w:sz="2" w:space="0" w:color="auto"/>
              <w:right w:val="single" w:sz="2" w:space="0" w:color="auto"/>
            </w:tcBorders>
            <w:vAlign w:val="center"/>
          </w:tcPr>
          <w:p w:rsidR="001E789C" w:rsidRDefault="009B38C1" w:rsidP="00511228">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w:t>
            </w:r>
            <w:r w:rsidR="00511228">
              <w:rPr>
                <w:rFonts w:ascii="宋体" w:eastAsia="宋体" w:hAnsi="宋体" w:cs="宋体" w:hint="eastAsia"/>
                <w:sz w:val="18"/>
                <w:szCs w:val="18"/>
              </w:rPr>
              <w:t>系</w:t>
            </w:r>
            <w:r>
              <w:rPr>
                <w:rFonts w:ascii="宋体" w:eastAsia="宋体" w:hAnsi="宋体" w:cs="宋体"/>
                <w:sz w:val="18"/>
                <w:szCs w:val="18"/>
              </w:rPr>
              <w:t>，也不属于一致行动人。未知其他股东之间是否存在关联关系，也未知</w:t>
            </w:r>
            <w:proofErr w:type="gramStart"/>
            <w:r>
              <w:rPr>
                <w:rFonts w:ascii="宋体" w:eastAsia="宋体" w:hAnsi="宋体" w:cs="宋体"/>
                <w:sz w:val="18"/>
                <w:szCs w:val="18"/>
              </w:rPr>
              <w:t>其一</w:t>
            </w:r>
            <w:r>
              <w:rPr>
                <w:rFonts w:ascii="宋体" w:eastAsia="宋体" w:hAnsi="宋体" w:cs="宋体"/>
                <w:sz w:val="18"/>
                <w:szCs w:val="18"/>
              </w:rPr>
              <w:lastRenderedPageBreak/>
              <w:t>致</w:t>
            </w:r>
            <w:proofErr w:type="gramEnd"/>
            <w:r>
              <w:rPr>
                <w:rFonts w:ascii="宋体" w:eastAsia="宋体" w:hAnsi="宋体" w:cs="宋体"/>
                <w:sz w:val="18"/>
                <w:szCs w:val="18"/>
              </w:rPr>
              <w:t>行动情况。</w:t>
            </w:r>
          </w:p>
        </w:tc>
      </w:tr>
      <w:tr w:rsidR="001E789C" w:rsidTr="00511228">
        <w:trPr>
          <w:trHeight w:val="240"/>
        </w:trPr>
        <w:tc>
          <w:tcPr>
            <w:tcW w:w="382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lastRenderedPageBreak/>
              <w:t>前10名股东参与融资融券业务情况说明（如有）</w:t>
            </w:r>
          </w:p>
        </w:tc>
        <w:tc>
          <w:tcPr>
            <w:tcW w:w="6095" w:type="dxa"/>
            <w:gridSpan w:val="4"/>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股东“元元”通过信用交易证券担保账户持有公司股票8,053,267股；</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股东“杨光勇”通过信用交易证券担保账户持有公司股票5,944,511股；</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股东“元秀湘”通过信用交易证券担保账户持有公司股票4,376,527股；</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股东“聂鹏举”通过信用交易证券担保账户持有公司股票2,953,200股；</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股东“陈杏英”通过信用交易证券担保账户持有公司股票2,800,000股；</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股东“林凯铭”通过信用交易证券担保账户持有公司股票2,469,000股。</w:t>
            </w:r>
          </w:p>
        </w:tc>
      </w:tr>
    </w:tbl>
    <w:p w:rsidR="001E789C" w:rsidRDefault="009B38C1">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股股东参与转融通业务出借股份情况</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E789C" w:rsidRDefault="009B38C1">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股股东因转融通出借/归还原因导致较上期发生变化</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E789C" w:rsidRDefault="009B38C1">
      <w:pPr>
        <w:pStyle w:val="2"/>
        <w:spacing w:before="300" w:after="300" w:line="280" w:lineRule="exact"/>
        <w:rPr>
          <w:rFonts w:ascii="宋体" w:eastAsia="宋体" w:hAnsi="宋体" w:cs="宋体"/>
          <w:b/>
          <w:bCs/>
        </w:rPr>
      </w:pPr>
      <w:bookmarkStart w:id="7" w:name="_Toc988895"/>
      <w:r>
        <w:rPr>
          <w:rFonts w:ascii="宋体" w:eastAsia="宋体" w:hAnsi="宋体" w:cs="宋体"/>
          <w:b/>
          <w:bCs/>
        </w:rPr>
        <w:t>（二） 公司优先股股东总数及前10名优先股股东持股情况表</w:t>
      </w:r>
      <w:bookmarkEnd w:id="7"/>
    </w:p>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E789C" w:rsidRPr="00315170" w:rsidRDefault="009B38C1">
      <w:pPr>
        <w:pStyle w:val="headingh1"/>
        <w:spacing w:before="300" w:after="300" w:line="320" w:lineRule="exact"/>
        <w:rPr>
          <w:rFonts w:ascii="宋体" w:eastAsia="宋体" w:hAnsi="宋体" w:cs="宋体"/>
          <w:b/>
          <w:bCs/>
          <w:sz w:val="24"/>
          <w:szCs w:val="24"/>
        </w:rPr>
      </w:pPr>
      <w:bookmarkStart w:id="8" w:name="_Toc988896"/>
      <w:r w:rsidRPr="00315170">
        <w:rPr>
          <w:rFonts w:ascii="宋体" w:eastAsia="宋体" w:hAnsi="宋体" w:cs="宋体"/>
          <w:b/>
          <w:bCs/>
          <w:sz w:val="24"/>
          <w:szCs w:val="24"/>
        </w:rPr>
        <w:t>三、其他重要事项</w:t>
      </w:r>
      <w:bookmarkEnd w:id="8"/>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E789C" w:rsidRPr="00315170" w:rsidRDefault="009B38C1">
      <w:pPr>
        <w:pStyle w:val="headingh1"/>
        <w:spacing w:before="300" w:after="300" w:line="320" w:lineRule="exact"/>
        <w:rPr>
          <w:rFonts w:ascii="宋体" w:eastAsia="宋体" w:hAnsi="宋体" w:cs="宋体"/>
          <w:b/>
          <w:bCs/>
          <w:sz w:val="24"/>
          <w:szCs w:val="24"/>
        </w:rPr>
      </w:pPr>
      <w:bookmarkStart w:id="9" w:name="_Toc988897"/>
      <w:r w:rsidRPr="00315170">
        <w:rPr>
          <w:rFonts w:ascii="宋体" w:eastAsia="宋体" w:hAnsi="宋体" w:cs="宋体"/>
          <w:b/>
          <w:bCs/>
          <w:sz w:val="24"/>
          <w:szCs w:val="24"/>
        </w:rPr>
        <w:t>四、季度财务报表</w:t>
      </w:r>
      <w:bookmarkEnd w:id="9"/>
    </w:p>
    <w:p w:rsidR="001E789C" w:rsidRDefault="009B38C1">
      <w:pPr>
        <w:pStyle w:val="2"/>
        <w:spacing w:before="300" w:after="300" w:line="280" w:lineRule="exact"/>
        <w:rPr>
          <w:rFonts w:ascii="宋体" w:eastAsia="宋体" w:hAnsi="宋体" w:cs="宋体"/>
          <w:b/>
          <w:bCs/>
        </w:rPr>
      </w:pPr>
      <w:bookmarkStart w:id="10" w:name="_Toc988898"/>
      <w:r>
        <w:rPr>
          <w:rFonts w:ascii="宋体" w:eastAsia="宋体" w:hAnsi="宋体" w:cs="宋体"/>
          <w:b/>
          <w:bCs/>
        </w:rPr>
        <w:t>（一） 财务报表</w:t>
      </w:r>
      <w:bookmarkEnd w:id="10"/>
    </w:p>
    <w:p w:rsidR="001E789C" w:rsidRDefault="009B38C1">
      <w:pPr>
        <w:pStyle w:val="3"/>
        <w:spacing w:line="280" w:lineRule="exact"/>
        <w:jc w:val="left"/>
        <w:rPr>
          <w:rFonts w:ascii="宋体" w:hAnsi="宋体" w:cs="宋体"/>
          <w:b/>
          <w:bCs/>
        </w:rPr>
      </w:pPr>
      <w:bookmarkStart w:id="11" w:name="_Toc988899"/>
      <w:r>
        <w:rPr>
          <w:rFonts w:ascii="宋体" w:hAnsi="宋体" w:cs="宋体"/>
          <w:b/>
          <w:bCs/>
        </w:rPr>
        <w:t>1、合并资产负债表</w:t>
      </w:r>
      <w:bookmarkEnd w:id="11"/>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315170" w:rsidRDefault="00315170" w:rsidP="00315170">
      <w:pPr>
        <w:spacing w:line="240" w:lineRule="exact"/>
        <w:jc w:val="center"/>
        <w:rPr>
          <w:rFonts w:ascii="宋体" w:eastAsia="宋体" w:hAnsi="宋体" w:cs="宋体"/>
          <w:sz w:val="18"/>
          <w:szCs w:val="18"/>
        </w:rPr>
      </w:pPr>
      <w:r>
        <w:rPr>
          <w:rFonts w:ascii="宋体" w:eastAsia="宋体" w:hAnsi="宋体" w:cs="宋体"/>
          <w:sz w:val="18"/>
          <w:szCs w:val="18"/>
        </w:rPr>
        <w:t>202</w:t>
      </w:r>
      <w:r>
        <w:rPr>
          <w:rFonts w:ascii="宋体" w:eastAsia="宋体" w:hAnsi="宋体" w:cs="宋体" w:hint="eastAsia"/>
          <w:sz w:val="18"/>
          <w:szCs w:val="18"/>
        </w:rPr>
        <w:t>4</w:t>
      </w:r>
      <w:r>
        <w:rPr>
          <w:rFonts w:ascii="宋体" w:eastAsia="宋体" w:hAnsi="宋体" w:cs="宋体"/>
          <w:sz w:val="18"/>
          <w:szCs w:val="18"/>
        </w:rPr>
        <w:t>年03月31日</w:t>
      </w:r>
    </w:p>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528,579,544.13</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666,337,136.82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353,230,988.28</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309,897,476.06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49,594,876.09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51,216,616.87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144,526,458.54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109,741,338.42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144,873,194.73</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141,899,872.44</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93,829,331.36</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35,465,028.18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67,560,341.29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1,423,307.95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61,386,236.43</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307,699,398.94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334,634,188.55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29,472,585.57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31,586,437.65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1,719,366,718.93</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1,682,201,402.94</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3,516,670,167.84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3,571,290,697.32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659,909,863.78</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659,909,863.78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456,605,723.66</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466,295,788.81</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67,782,796.28</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23,731,322.46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19,902,137.19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20,097,035.61</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23,360,416.66</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23,131,362.52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1,644,700.00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7,880,500.00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4,747,940,669.58</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4,774,401,434.67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6,467,307,388.51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6,456,602,837.61</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1,040,262,759.73</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1,094,175,911.15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66,163,008.60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77,396,186.48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3,224,282.85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7,126,997.60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112,935,738.87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57,960,875.88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14,687,222.70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35,186,096.44</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2,514,598.86</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2,589,275.66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696,896.51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607,183.47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31,472,022.67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30,426,414.30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1,271,956,530.79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1,305,468,940.98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4,103,750.00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4,221,000.00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34,854,026.42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31,214,835.57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38,957,776.42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35,435,835.57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1,310,914,307.21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1,340,904,776.55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391,049,342.12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391,049,342.12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13,480,359.77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12,931,116.72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435,671,944.53</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435,671,944.53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3,430,178,547.88</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3,390,032,770.69</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5,156,393,081.30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5,115,698,061.06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5,156,393,081.30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5,115,698,061.06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6,467,307,388.51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6,456,602,837.61</w:t>
            </w:r>
          </w:p>
        </w:tc>
      </w:tr>
    </w:tbl>
    <w:p w:rsidR="001E789C" w:rsidRDefault="009B38C1">
      <w:pPr>
        <w:spacing w:line="240" w:lineRule="exact"/>
        <w:rPr>
          <w:rFonts w:ascii="宋体" w:eastAsia="宋体" w:hAnsi="宋体" w:cs="宋体"/>
          <w:sz w:val="18"/>
          <w:szCs w:val="18"/>
        </w:rPr>
      </w:pPr>
      <w:r>
        <w:rPr>
          <w:rFonts w:ascii="宋体" w:eastAsia="宋体" w:hAnsi="宋体" w:cs="宋体"/>
          <w:sz w:val="18"/>
          <w:szCs w:val="18"/>
        </w:rPr>
        <w:t xml:space="preserve">法定代表人：吴协恩   </w:t>
      </w:r>
      <w:r w:rsidR="00315170">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sidR="00315170">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1E789C" w:rsidRDefault="009B38C1">
      <w:pPr>
        <w:pStyle w:val="3"/>
        <w:spacing w:line="280" w:lineRule="exact"/>
        <w:jc w:val="left"/>
        <w:rPr>
          <w:rFonts w:ascii="宋体" w:hAnsi="宋体" w:cs="宋体"/>
          <w:b/>
          <w:bCs/>
        </w:rPr>
      </w:pPr>
      <w:bookmarkStart w:id="12" w:name="_Toc988900"/>
      <w:r>
        <w:rPr>
          <w:rFonts w:ascii="宋体" w:hAnsi="宋体" w:cs="宋体"/>
          <w:b/>
          <w:bCs/>
        </w:rPr>
        <w:t>2、合并利润表</w:t>
      </w:r>
      <w:bookmarkEnd w:id="12"/>
    </w:p>
    <w:p w:rsidR="001E789C" w:rsidRDefault="009B38C1">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647,621,703.01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673,285,142.37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647,621,703.01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673,285,142.37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634,657,331.77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645,725,437.28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611,372,083.29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618,283,976.15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1,742,197.82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2,163,415.71</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1,110,285.54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1,160,946.99</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13,396,395.85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12,961,072.83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1,965,551.08</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2,170,297.88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5,070,818.19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8,985,727.72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8,146,711.39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9,672,835.81</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1,835,684.95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2,969,721.55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205,104.12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496,102.89</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10,242,474.32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15,881,180.03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6,893,263.90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6,578,657.22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30,119,248.58</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-13,152,021.80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-2,176,211.06</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-3,967,393.66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-3,585,230.91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-403,205.65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47,769,756.29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26,414,366.90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22,380.34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355,102.37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41,692.53</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47,750,444.10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26,769,469.27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7,604,666.91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4,597,234.74</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40,145,777.19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22,172,234.53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40,145,777.19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22,172,234.53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40,145,777.19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22,172,234.53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549,243.05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3,993,040.05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549,243.05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3,993,040.05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549,243.05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3,993,040.05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549,243.05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3,993,040.05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40,695,020.24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26,165,274.58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40,695,020.24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26,165,274.58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0.03</w:t>
            </w:r>
          </w:p>
        </w:tc>
      </w:tr>
    </w:tbl>
    <w:p w:rsidR="001E789C" w:rsidRDefault="009B38C1">
      <w:pPr>
        <w:spacing w:line="240" w:lineRule="exact"/>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rsidR="001E789C" w:rsidRDefault="009B38C1">
      <w:pPr>
        <w:spacing w:line="240" w:lineRule="exact"/>
        <w:rPr>
          <w:rFonts w:ascii="宋体" w:eastAsia="宋体" w:hAnsi="宋体" w:cs="宋体"/>
          <w:sz w:val="18"/>
          <w:szCs w:val="18"/>
        </w:rPr>
      </w:pPr>
      <w:r>
        <w:rPr>
          <w:rFonts w:ascii="宋体" w:eastAsia="宋体" w:hAnsi="宋体" w:cs="宋体"/>
          <w:sz w:val="18"/>
          <w:szCs w:val="18"/>
        </w:rPr>
        <w:t xml:space="preserve">法定代表人：吴协恩   </w:t>
      </w:r>
      <w:r w:rsidR="00315170">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sidR="00315170">
        <w:rPr>
          <w:rFonts w:ascii="宋体" w:eastAsia="宋体" w:hAnsi="宋体" w:cs="宋体" w:hint="eastAsia"/>
          <w:sz w:val="18"/>
          <w:szCs w:val="18"/>
        </w:rPr>
        <w:t xml:space="preserve">          </w:t>
      </w:r>
      <w:r>
        <w:rPr>
          <w:rFonts w:ascii="宋体" w:eastAsia="宋体" w:hAnsi="宋体" w:cs="宋体"/>
          <w:sz w:val="18"/>
          <w:szCs w:val="18"/>
        </w:rPr>
        <w:t>会计机构负责人：吴雅清</w:t>
      </w:r>
    </w:p>
    <w:p w:rsidR="001E789C" w:rsidRDefault="009B38C1">
      <w:pPr>
        <w:pStyle w:val="3"/>
        <w:spacing w:line="280" w:lineRule="exact"/>
        <w:jc w:val="left"/>
        <w:rPr>
          <w:rFonts w:ascii="宋体" w:hAnsi="宋体" w:cs="宋体"/>
          <w:b/>
          <w:bCs/>
        </w:rPr>
      </w:pPr>
      <w:bookmarkStart w:id="13" w:name="_Toc988901"/>
      <w:r>
        <w:rPr>
          <w:rFonts w:ascii="宋体" w:hAnsi="宋体" w:cs="宋体"/>
          <w:b/>
          <w:bCs/>
        </w:rPr>
        <w:t>3、合并现金流量表</w:t>
      </w:r>
      <w:bookmarkEnd w:id="13"/>
    </w:p>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731,923,001.72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751,551,835.22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13,038,043.67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11,577,992.09</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2,756,899.26</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5,143,606.73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747,717,944.65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768,273,434.04</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706,573,103.87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790,664,184.42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45,522,618.00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48,473,138.53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5,285,589.76</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17,614,003.48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14,899,145.59</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67,534,285.43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lastRenderedPageBreak/>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772,280,457.22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924,285,611.86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-24,562,512.57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-156,012,177.82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28,428,487.71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21,129,577.68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3,274,137.74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8,687,070.48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12,000.00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31,714,625.45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29,816,648.16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35,184,177.23</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1,603,185.16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40,965,951.35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13,005,618.06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76,150,128.58</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14,608,803.22</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-44,435,503.13</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15,207,844.94</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1E789C"/>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425,000,000.00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601,720,000.00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425,000,000.00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601,720,000.00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479,000,000.00</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549,720,000.00</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8,059,862.81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11,417,016.57</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1E789C">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439,193.58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487,059,862.81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561,576,210.15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-62,059,862.81</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40,143,789.85</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2,156,219.54</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-419,757.63</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-128,901,658.97</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-101,080,300.66</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510,630,988.92</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r w:rsidR="001E789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E789C" w:rsidRDefault="009B38C1">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381,729,329.95</w:t>
            </w:r>
          </w:p>
        </w:tc>
        <w:tc>
          <w:tcPr>
            <w:tcW w:w="3213" w:type="dxa"/>
            <w:tcBorders>
              <w:top w:val="single" w:sz="2" w:space="0" w:color="auto"/>
              <w:left w:val="single" w:sz="2" w:space="0" w:color="auto"/>
              <w:bottom w:val="single" w:sz="2" w:space="0" w:color="auto"/>
              <w:right w:val="single" w:sz="2" w:space="0" w:color="auto"/>
            </w:tcBorders>
            <w:vAlign w:val="center"/>
          </w:tcPr>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321,474,249.82</w:t>
            </w:r>
          </w:p>
        </w:tc>
      </w:tr>
    </w:tbl>
    <w:p w:rsidR="001E789C" w:rsidRPr="00315170" w:rsidRDefault="009B38C1">
      <w:pPr>
        <w:pStyle w:val="2"/>
        <w:spacing w:before="300" w:after="300" w:line="280" w:lineRule="exact"/>
        <w:rPr>
          <w:rFonts w:ascii="宋体" w:eastAsia="宋体" w:hAnsi="宋体" w:cs="宋体"/>
          <w:b/>
          <w:bCs/>
        </w:rPr>
      </w:pPr>
      <w:bookmarkStart w:id="14" w:name="_Toc988902"/>
      <w:r w:rsidRPr="00315170">
        <w:rPr>
          <w:rFonts w:ascii="宋体" w:eastAsia="宋体" w:hAnsi="宋体" w:cs="宋体"/>
          <w:b/>
          <w:bCs/>
        </w:rPr>
        <w:t>（二） 2024年起首次执行新会计准则调整首次执行当年年初财务报表相关项目情况</w:t>
      </w:r>
      <w:bookmarkEnd w:id="14"/>
    </w:p>
    <w:p w:rsidR="001E789C" w:rsidRDefault="009B38C1">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1E789C" w:rsidRPr="00315170" w:rsidRDefault="009B38C1">
      <w:pPr>
        <w:pStyle w:val="2"/>
        <w:spacing w:before="300" w:after="300" w:line="280" w:lineRule="exact"/>
        <w:rPr>
          <w:rFonts w:ascii="宋体" w:eastAsia="宋体" w:hAnsi="宋体" w:cs="宋体"/>
          <w:b/>
          <w:bCs/>
        </w:rPr>
      </w:pPr>
      <w:bookmarkStart w:id="15" w:name="_Toc988903"/>
      <w:r w:rsidRPr="00315170">
        <w:rPr>
          <w:rFonts w:ascii="宋体" w:eastAsia="宋体" w:hAnsi="宋体" w:cs="宋体"/>
          <w:b/>
          <w:bCs/>
        </w:rPr>
        <w:t>（三） 审计报告</w:t>
      </w:r>
      <w:bookmarkEnd w:id="15"/>
    </w:p>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第一季度报告是否经过审计</w:t>
      </w:r>
    </w:p>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1E789C" w:rsidRDefault="009B38C1">
      <w:pPr>
        <w:spacing w:before="40" w:after="40" w:line="240" w:lineRule="exact"/>
        <w:rPr>
          <w:rFonts w:ascii="宋体" w:eastAsia="宋体" w:hAnsi="宋体" w:cs="宋体"/>
          <w:sz w:val="18"/>
          <w:szCs w:val="18"/>
        </w:rPr>
      </w:pPr>
      <w:r>
        <w:rPr>
          <w:rFonts w:ascii="宋体" w:eastAsia="宋体" w:hAnsi="宋体" w:cs="宋体"/>
          <w:sz w:val="18"/>
          <w:szCs w:val="18"/>
        </w:rPr>
        <w:t>公司第一季度报告未经审计。</w:t>
      </w:r>
    </w:p>
    <w:p w:rsidR="001E789C" w:rsidRDefault="009B38C1">
      <w:pPr>
        <w:spacing w:before="40" w:after="40" w:line="240" w:lineRule="exact"/>
        <w:jc w:val="right"/>
        <w:rPr>
          <w:rFonts w:ascii="宋体" w:eastAsia="宋体" w:hAnsi="宋体" w:cs="宋体"/>
          <w:sz w:val="18"/>
          <w:szCs w:val="18"/>
        </w:rPr>
      </w:pPr>
      <w:r>
        <w:rPr>
          <w:rFonts w:ascii="宋体" w:eastAsia="宋体" w:hAnsi="宋体" w:cs="宋体"/>
          <w:sz w:val="18"/>
          <w:szCs w:val="18"/>
        </w:rPr>
        <w:t>江苏华西村股份有限公司董事会</w:t>
      </w:r>
    </w:p>
    <w:p w:rsidR="001E789C" w:rsidRDefault="009B38C1">
      <w:pPr>
        <w:spacing w:line="240" w:lineRule="exact"/>
        <w:jc w:val="right"/>
        <w:rPr>
          <w:rFonts w:ascii="宋体" w:eastAsia="宋体" w:hAnsi="宋体" w:cs="宋体"/>
          <w:sz w:val="18"/>
          <w:szCs w:val="18"/>
        </w:rPr>
      </w:pPr>
      <w:r>
        <w:rPr>
          <w:rFonts w:ascii="宋体" w:eastAsia="宋体" w:hAnsi="宋体" w:cs="宋体"/>
          <w:sz w:val="18"/>
          <w:szCs w:val="18"/>
        </w:rPr>
        <w:t>2024年04月30日</w:t>
      </w:r>
    </w:p>
    <w:sectPr w:rsidR="001E789C">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84" w:rsidRDefault="00A56084">
      <w:r>
        <w:separator/>
      </w:r>
    </w:p>
  </w:endnote>
  <w:endnote w:type="continuationSeparator" w:id="0">
    <w:p w:rsidR="00A56084" w:rsidRDefault="00A5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170" w:rsidRDefault="00315170" w:rsidP="00315170">
    <w:pPr>
      <w:pStyle w:val="fotter1"/>
      <w:jc w:val="center"/>
    </w:pPr>
    <w:r>
      <w:fldChar w:fldCharType="begin"/>
    </w:r>
    <w:r>
      <w:instrText>PAGE   \* MERGEFORMAT</w:instrText>
    </w:r>
    <w:r>
      <w:fldChar w:fldCharType="separate"/>
    </w:r>
    <w:r w:rsidR="000F384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84" w:rsidRDefault="00A56084">
      <w:r>
        <w:separator/>
      </w:r>
    </w:p>
  </w:footnote>
  <w:footnote w:type="continuationSeparator" w:id="0">
    <w:p w:rsidR="00A56084" w:rsidRDefault="00A56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170" w:rsidRDefault="00315170">
    <w:pPr>
      <w:pStyle w:val="Header1"/>
      <w:pBdr>
        <w:bottom w:val="single" w:sz="6" w:space="1" w:color="auto"/>
      </w:pBdr>
    </w:pPr>
    <w:r>
      <w:t>江苏华西村股份有限公司2024年第一季度报告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789C"/>
    <w:rsid w:val="000A35C5"/>
    <w:rsid w:val="000F3840"/>
    <w:rsid w:val="00135D1D"/>
    <w:rsid w:val="001E789C"/>
    <w:rsid w:val="00300376"/>
    <w:rsid w:val="00315170"/>
    <w:rsid w:val="00480168"/>
    <w:rsid w:val="00511228"/>
    <w:rsid w:val="009B38C1"/>
    <w:rsid w:val="00A56084"/>
    <w:rsid w:val="00BF31E5"/>
    <w:rsid w:val="00D32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3151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5170"/>
    <w:rPr>
      <w:sz w:val="18"/>
      <w:szCs w:val="18"/>
    </w:rPr>
  </w:style>
  <w:style w:type="paragraph" w:styleId="a5">
    <w:name w:val="footer"/>
    <w:basedOn w:val="a"/>
    <w:link w:val="Char0"/>
    <w:uiPriority w:val="99"/>
    <w:unhideWhenUsed/>
    <w:rsid w:val="00315170"/>
    <w:pPr>
      <w:tabs>
        <w:tab w:val="center" w:pos="4153"/>
        <w:tab w:val="right" w:pos="8306"/>
      </w:tabs>
      <w:snapToGrid w:val="0"/>
    </w:pPr>
    <w:rPr>
      <w:sz w:val="18"/>
      <w:szCs w:val="18"/>
    </w:rPr>
  </w:style>
  <w:style w:type="character" w:customStyle="1" w:styleId="Char0">
    <w:name w:val="页脚 Char"/>
    <w:basedOn w:val="a0"/>
    <w:link w:val="a5"/>
    <w:uiPriority w:val="99"/>
    <w:rsid w:val="003151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3151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5170"/>
    <w:rPr>
      <w:sz w:val="18"/>
      <w:szCs w:val="18"/>
    </w:rPr>
  </w:style>
  <w:style w:type="paragraph" w:styleId="a5">
    <w:name w:val="footer"/>
    <w:basedOn w:val="a"/>
    <w:link w:val="Char0"/>
    <w:uiPriority w:val="99"/>
    <w:unhideWhenUsed/>
    <w:rsid w:val="00315170"/>
    <w:pPr>
      <w:tabs>
        <w:tab w:val="center" w:pos="4153"/>
        <w:tab w:val="right" w:pos="8306"/>
      </w:tabs>
      <w:snapToGrid w:val="0"/>
    </w:pPr>
    <w:rPr>
      <w:sz w:val="18"/>
      <w:szCs w:val="18"/>
    </w:rPr>
  </w:style>
  <w:style w:type="character" w:customStyle="1" w:styleId="Char0">
    <w:name w:val="页脚 Char"/>
    <w:basedOn w:val="a0"/>
    <w:link w:val="a5"/>
    <w:uiPriority w:val="99"/>
    <w:rsid w:val="003151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059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1520</Words>
  <Characters>8665</Characters>
  <Application>Microsoft Office Word</Application>
  <DocSecurity>0</DocSecurity>
  <Lines>72</Lines>
  <Paragraphs>20</Paragraphs>
  <ScaleCrop>false</ScaleCrop>
  <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7</cp:revision>
  <dcterms:created xsi:type="dcterms:W3CDTF">2024-04-24T10:04:00Z</dcterms:created>
  <dcterms:modified xsi:type="dcterms:W3CDTF">2024-04-28T02:37:00Z</dcterms:modified>
</cp:coreProperties>
</file>