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D1" w:rsidRPr="00630333" w:rsidRDefault="00DC21A6" w:rsidP="00630333">
      <w:pPr>
        <w:spacing w:before="200" w:after="600" w:line="560" w:lineRule="exact"/>
        <w:jc w:val="center"/>
        <w:rPr>
          <w:rFonts w:ascii="宋体" w:eastAsia="宋体" w:hAnsi="宋体" w:cs="宋体"/>
          <w:szCs w:val="21"/>
        </w:rPr>
      </w:pPr>
      <w:r w:rsidRPr="00630333">
        <w:rPr>
          <w:rFonts w:ascii="宋体" w:eastAsia="宋体" w:hAnsi="宋体" w:cs="宋体"/>
          <w:szCs w:val="21"/>
        </w:rPr>
        <w:t>证券代码：000936                证券简称：华西股份                公告编号：2024-008</w:t>
      </w:r>
    </w:p>
    <w:p w:rsidR="00F25CD1" w:rsidRDefault="00DC21A6">
      <w:pPr>
        <w:spacing w:after="1000" w:line="400" w:lineRule="exact"/>
        <w:jc w:val="center"/>
        <w:rPr>
          <w:rFonts w:ascii="宋体" w:eastAsia="宋体" w:hAnsi="宋体" w:cs="宋体"/>
          <w:b/>
          <w:bCs/>
          <w:sz w:val="36"/>
          <w:szCs w:val="36"/>
        </w:rPr>
      </w:pPr>
      <w:r>
        <w:rPr>
          <w:rFonts w:ascii="宋体" w:eastAsia="宋体" w:hAnsi="宋体" w:cs="宋体"/>
          <w:b/>
          <w:bCs/>
          <w:sz w:val="36"/>
          <w:szCs w:val="36"/>
        </w:rPr>
        <w:t>江苏华西村股份有限公司2023年年度报告摘要</w:t>
      </w:r>
    </w:p>
    <w:p w:rsidR="00F25CD1" w:rsidRDefault="00DC21A6">
      <w:pPr>
        <w:pStyle w:val="2"/>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t>一、重要提示</w:t>
      </w:r>
      <w:bookmarkEnd w:id="0"/>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本年度报告摘要来自年度报告全文，为全面了解本公司的经营成果、财务状况及未来发展规划，投资者应当到证监会指定媒体仔细阅读年度报告全文。</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所有董事均</w:t>
      </w:r>
      <w:proofErr w:type="gramStart"/>
      <w:r>
        <w:rPr>
          <w:rFonts w:ascii="宋体" w:eastAsia="宋体" w:hAnsi="宋体" w:cs="宋体"/>
          <w:sz w:val="18"/>
          <w:szCs w:val="18"/>
        </w:rPr>
        <w:t>已出席</w:t>
      </w:r>
      <w:proofErr w:type="gramEnd"/>
      <w:r>
        <w:rPr>
          <w:rFonts w:ascii="宋体" w:eastAsia="宋体" w:hAnsi="宋体" w:cs="宋体"/>
          <w:sz w:val="18"/>
          <w:szCs w:val="18"/>
        </w:rPr>
        <w:t>了审议本报告的董事会会议。</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非标准审计意见提示</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董事会审议的报告期利润分配预案或公积金转增股本预案</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是否以公积金转增股本</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25CD1" w:rsidRDefault="00DC21A6" w:rsidP="000C10FE">
      <w:pPr>
        <w:adjustRightInd w:val="0"/>
        <w:snapToGrid w:val="0"/>
        <w:spacing w:before="40" w:after="40"/>
        <w:rPr>
          <w:rFonts w:ascii="宋体" w:eastAsia="宋体" w:hAnsi="宋体" w:cs="宋体"/>
          <w:sz w:val="18"/>
          <w:szCs w:val="18"/>
        </w:rPr>
      </w:pPr>
      <w:r>
        <w:rPr>
          <w:rFonts w:ascii="宋体" w:eastAsia="宋体" w:hAnsi="宋体" w:cs="宋体"/>
          <w:sz w:val="18"/>
          <w:szCs w:val="18"/>
        </w:rPr>
        <w:t>公司经本次董事会审议通过的利润分配预案为：以未来实施分配方案时股权登记日的总股本为基数，向全体股东每10股派发现金红利0.2元（含税），送红股0股（含税），不以公积金转增股本。</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董事会决议通过的本报告期优先股利润分配预案</w:t>
      </w:r>
    </w:p>
    <w:p w:rsidR="00F25CD1" w:rsidRDefault="00DC21A6" w:rsidP="000C10FE">
      <w:pPr>
        <w:adjustRightInd w:val="0"/>
        <w:snapToGrid w:val="0"/>
        <w:spacing w:before="100" w:after="100"/>
        <w:rPr>
          <w:rFonts w:ascii="宋体" w:eastAsia="宋体" w:hAnsi="宋体" w:cs="宋体"/>
          <w:sz w:val="18"/>
          <w:szCs w:val="18"/>
        </w:rPr>
      </w:pPr>
      <w:r>
        <w:rPr>
          <w:rFonts w:ascii="宋体" w:eastAsia="宋体" w:hAnsi="宋体" w:cs="宋体"/>
          <w:sz w:val="18"/>
          <w:szCs w:val="18"/>
        </w:rPr>
        <w:t xml:space="preserve">□适用 </w:t>
      </w:r>
      <w:r w:rsidR="000C10FE">
        <w:rPr>
          <w:rFonts w:ascii="宋体" w:eastAsia="宋体" w:hAnsi="宋体" w:cs="宋体"/>
          <w:sz w:val="18"/>
          <w:szCs w:val="18"/>
        </w:rPr>
        <w:sym w:font="Wingdings 2" w:char="F052"/>
      </w:r>
      <w:r>
        <w:rPr>
          <w:rFonts w:ascii="宋体" w:eastAsia="宋体" w:hAnsi="宋体" w:cs="宋体"/>
          <w:sz w:val="18"/>
          <w:szCs w:val="18"/>
        </w:rPr>
        <w:t>不适用</w:t>
      </w:r>
    </w:p>
    <w:p w:rsidR="00F25CD1" w:rsidRDefault="00DC21A6">
      <w:pPr>
        <w:pStyle w:val="2"/>
        <w:spacing w:before="300" w:after="300" w:line="320" w:lineRule="exact"/>
        <w:rPr>
          <w:rFonts w:ascii="宋体" w:eastAsia="宋体" w:hAnsi="宋体" w:cs="宋体"/>
          <w:b/>
          <w:bCs/>
          <w:sz w:val="24"/>
          <w:szCs w:val="24"/>
        </w:rPr>
      </w:pPr>
      <w:bookmarkStart w:id="1" w:name="_Toc988890"/>
      <w:r>
        <w:rPr>
          <w:rFonts w:ascii="宋体" w:eastAsia="宋体" w:hAnsi="宋体" w:cs="宋体"/>
          <w:b/>
          <w:bCs/>
          <w:sz w:val="24"/>
          <w:szCs w:val="24"/>
        </w:rPr>
        <w:t>二、公司基本情况</w:t>
      </w:r>
      <w:bookmarkEnd w:id="1"/>
    </w:p>
    <w:p w:rsidR="00F25CD1" w:rsidRDefault="00DC21A6">
      <w:pPr>
        <w:pStyle w:val="3"/>
        <w:spacing w:line="280" w:lineRule="exact"/>
        <w:jc w:val="left"/>
        <w:rPr>
          <w:rFonts w:ascii="宋体" w:hAnsi="宋体" w:cs="宋体"/>
          <w:b/>
          <w:bCs/>
        </w:rPr>
      </w:pPr>
      <w:bookmarkStart w:id="2" w:name="_Toc988891"/>
      <w:r>
        <w:rPr>
          <w:rFonts w:ascii="宋体" w:hAnsi="宋体" w:cs="宋体"/>
          <w:b/>
          <w:bCs/>
        </w:rPr>
        <w:t>1、公司简介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199"/>
        <w:gridCol w:w="1480"/>
        <w:gridCol w:w="740"/>
        <w:gridCol w:w="740"/>
        <w:gridCol w:w="1480"/>
      </w:tblGrid>
      <w:tr w:rsidR="00F25CD1">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1480"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华西股份</w:t>
            </w:r>
          </w:p>
        </w:tc>
        <w:tc>
          <w:tcPr>
            <w:tcW w:w="148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1480"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000936</w:t>
            </w:r>
          </w:p>
        </w:tc>
      </w:tr>
      <w:tr w:rsidR="00F25CD1">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股票上市交易所</w:t>
            </w:r>
          </w:p>
        </w:tc>
        <w:tc>
          <w:tcPr>
            <w:tcW w:w="4439" w:type="dxa"/>
            <w:gridSpan w:val="4"/>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F25CD1">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22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22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F25CD1">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王学良</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F25CD1">
            <w:pPr>
              <w:spacing w:line="240" w:lineRule="exact"/>
              <w:rPr>
                <w:rFonts w:ascii="宋体" w:eastAsia="宋体" w:hAnsi="宋体" w:cs="宋体"/>
                <w:sz w:val="18"/>
                <w:szCs w:val="18"/>
              </w:rPr>
            </w:pPr>
          </w:p>
        </w:tc>
      </w:tr>
      <w:tr w:rsidR="00F25CD1">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江苏省江阴市华士镇华西工业园</w:t>
            </w:r>
            <w:proofErr w:type="gramStart"/>
            <w:r>
              <w:rPr>
                <w:rFonts w:ascii="宋体" w:eastAsia="宋体" w:hAnsi="宋体" w:cs="宋体"/>
                <w:sz w:val="18"/>
                <w:szCs w:val="18"/>
              </w:rPr>
              <w:t>泾浜</w:t>
            </w:r>
            <w:proofErr w:type="gramEnd"/>
            <w:r>
              <w:rPr>
                <w:rFonts w:ascii="宋体" w:eastAsia="宋体" w:hAnsi="宋体" w:cs="宋体"/>
                <w:sz w:val="18"/>
                <w:szCs w:val="18"/>
              </w:rPr>
              <w:t>路88号</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F25CD1">
            <w:pPr>
              <w:spacing w:line="240" w:lineRule="exact"/>
              <w:rPr>
                <w:rFonts w:ascii="宋体" w:eastAsia="宋体" w:hAnsi="宋体" w:cs="宋体"/>
                <w:sz w:val="18"/>
                <w:szCs w:val="18"/>
              </w:rPr>
            </w:pPr>
          </w:p>
        </w:tc>
      </w:tr>
      <w:tr w:rsidR="00F25CD1">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0510-86217177</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F25CD1">
            <w:pPr>
              <w:spacing w:line="240" w:lineRule="exact"/>
              <w:rPr>
                <w:rFonts w:ascii="宋体" w:eastAsia="宋体" w:hAnsi="宋体" w:cs="宋体"/>
                <w:sz w:val="18"/>
                <w:szCs w:val="18"/>
              </w:rPr>
            </w:pPr>
          </w:p>
        </w:tc>
      </w:tr>
      <w:tr w:rsidR="00F25CD1">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0510-86217188</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F25CD1">
            <w:pPr>
              <w:spacing w:line="240" w:lineRule="exact"/>
              <w:rPr>
                <w:rFonts w:ascii="宋体" w:eastAsia="宋体" w:hAnsi="宋体" w:cs="宋体"/>
                <w:sz w:val="18"/>
                <w:szCs w:val="18"/>
              </w:rPr>
            </w:pPr>
          </w:p>
        </w:tc>
      </w:tr>
      <w:tr w:rsidR="00F25CD1">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wangxl@cnhuaxicun.com</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F25CD1" w:rsidRDefault="00F25CD1">
            <w:pPr>
              <w:spacing w:line="240" w:lineRule="exact"/>
              <w:rPr>
                <w:rFonts w:ascii="宋体" w:eastAsia="宋体" w:hAnsi="宋体" w:cs="宋体"/>
                <w:sz w:val="18"/>
                <w:szCs w:val="18"/>
              </w:rPr>
            </w:pPr>
          </w:p>
        </w:tc>
      </w:tr>
    </w:tbl>
    <w:p w:rsidR="00F25CD1" w:rsidRDefault="00DC21A6">
      <w:pPr>
        <w:pStyle w:val="3"/>
        <w:spacing w:line="280" w:lineRule="exact"/>
        <w:jc w:val="left"/>
        <w:rPr>
          <w:rFonts w:ascii="宋体" w:hAnsi="宋体" w:cs="宋体"/>
          <w:b/>
          <w:bCs/>
        </w:rPr>
      </w:pPr>
      <w:bookmarkStart w:id="3" w:name="_Toc988892"/>
      <w:r>
        <w:rPr>
          <w:rFonts w:ascii="宋体" w:hAnsi="宋体" w:cs="宋体"/>
          <w:b/>
          <w:bCs/>
        </w:rPr>
        <w:t>2、报告期主要业务或产品简介</w:t>
      </w:r>
      <w:bookmarkEnd w:id="3"/>
    </w:p>
    <w:p w:rsidR="00DC21A6" w:rsidRDefault="00DC21A6" w:rsidP="000C10FE">
      <w:pPr>
        <w:pStyle w:val="a3"/>
        <w:adjustRightInd w:val="0"/>
        <w:snapToGrid w:val="0"/>
        <w:spacing w:before="0" w:beforeAutospacing="0" w:after="0" w:afterAutospacing="0" w:line="276" w:lineRule="auto"/>
        <w:ind w:firstLine="361"/>
        <w:jc w:val="both"/>
        <w:divId w:val="159347242"/>
        <w:rPr>
          <w:rFonts w:ascii="Calibri" w:hAnsi="Calibri" w:cs="Calibri"/>
          <w:sz w:val="21"/>
          <w:szCs w:val="21"/>
        </w:rPr>
      </w:pPr>
      <w:r>
        <w:rPr>
          <w:rStyle w:val="a4"/>
          <w:rFonts w:cs="Calibri" w:hint="eastAsia"/>
          <w:color w:val="000000"/>
          <w:sz w:val="18"/>
          <w:szCs w:val="18"/>
        </w:rPr>
        <w:t>（一）公司主要业务情况</w:t>
      </w:r>
    </w:p>
    <w:p w:rsidR="00DC21A6" w:rsidRDefault="00DC21A6" w:rsidP="000C10FE">
      <w:pPr>
        <w:pStyle w:val="a3"/>
        <w:adjustRightInd w:val="0"/>
        <w:snapToGrid w:val="0"/>
        <w:spacing w:before="0" w:beforeAutospacing="0" w:after="0" w:afterAutospacing="0" w:line="276" w:lineRule="auto"/>
        <w:ind w:firstLine="360"/>
        <w:jc w:val="both"/>
        <w:divId w:val="159347242"/>
        <w:rPr>
          <w:rFonts w:ascii="Calibri" w:hAnsi="Calibri" w:cs="Calibri"/>
          <w:sz w:val="21"/>
          <w:szCs w:val="21"/>
        </w:rPr>
      </w:pPr>
      <w:r>
        <w:rPr>
          <w:rFonts w:cs="Calibri" w:hint="eastAsia"/>
          <w:color w:val="000000"/>
          <w:sz w:val="18"/>
          <w:szCs w:val="18"/>
        </w:rPr>
        <w:t>公司主要从事涤纶化纤的研发、生产和销售，石化仓储物流服务。</w:t>
      </w:r>
    </w:p>
    <w:p w:rsidR="00DC21A6" w:rsidRDefault="00DC21A6" w:rsidP="000C10FE">
      <w:pPr>
        <w:pStyle w:val="a3"/>
        <w:adjustRightInd w:val="0"/>
        <w:snapToGrid w:val="0"/>
        <w:spacing w:before="0" w:beforeAutospacing="0" w:after="0" w:afterAutospacing="0" w:line="276" w:lineRule="auto"/>
        <w:ind w:firstLine="360"/>
        <w:jc w:val="both"/>
        <w:divId w:val="159347242"/>
        <w:rPr>
          <w:rFonts w:ascii="Calibri" w:hAnsi="Calibri" w:cs="Calibri"/>
          <w:sz w:val="21"/>
          <w:szCs w:val="21"/>
        </w:rPr>
      </w:pPr>
      <w:r>
        <w:rPr>
          <w:rFonts w:cs="Calibri" w:hint="eastAsia"/>
          <w:color w:val="000000"/>
          <w:sz w:val="18"/>
          <w:szCs w:val="18"/>
        </w:rPr>
        <w:t>1、涤纶化纤业务</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公司化纤产品主要为涤纶短纤维，主要包括水刺专用涤纶短纤维、半消光涤纶短纤维、有光涤纶短纤维、荧光增白涤纶短纤维等。水刺专用涤纶短纤维主要应用于水刺、针刺等设备，最终产品被广泛应用到卫材、医疗和擦拭，汽车、过滤、皮革和工程基建等领域。半消光涤纶短纤维、有光涤纶短纤维、荧光增白涤纶短纤维等主要用于纺织行业，单独纺纱或与棉、粘胶纤维、麻、毛、维纶等混纺，所得纱线用于服饰纺织、家装面料等。</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lastRenderedPageBreak/>
        <w:t>2、石化仓储业务</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公司的石化仓储业务主要由全资子公司</w:t>
      </w:r>
      <w:r w:rsidR="004842B0">
        <w:rPr>
          <w:rFonts w:hint="eastAsia"/>
          <w:sz w:val="18"/>
          <w:szCs w:val="18"/>
        </w:rPr>
        <w:t>江阴</w:t>
      </w:r>
      <w:r>
        <w:rPr>
          <w:rFonts w:hint="eastAsia"/>
          <w:sz w:val="18"/>
          <w:szCs w:val="18"/>
        </w:rPr>
        <w:t>华西</w:t>
      </w:r>
      <w:r w:rsidR="004842B0">
        <w:rPr>
          <w:rFonts w:hint="eastAsia"/>
          <w:sz w:val="18"/>
          <w:szCs w:val="18"/>
        </w:rPr>
        <w:t>化工码头有限公司（以下简称“华西</w:t>
      </w:r>
      <w:r>
        <w:rPr>
          <w:rFonts w:hint="eastAsia"/>
          <w:sz w:val="18"/>
          <w:szCs w:val="18"/>
        </w:rPr>
        <w:t>码头</w:t>
      </w:r>
      <w:r w:rsidR="004842B0">
        <w:rPr>
          <w:rFonts w:hint="eastAsia"/>
          <w:sz w:val="18"/>
          <w:szCs w:val="18"/>
        </w:rPr>
        <w:t>”）</w:t>
      </w:r>
      <w:r>
        <w:rPr>
          <w:rFonts w:hint="eastAsia"/>
          <w:sz w:val="18"/>
          <w:szCs w:val="18"/>
        </w:rPr>
        <w:t>开展。华西码头位于苏、锡、常化工企业中心区，紧邻长江、连接京杭大运河，顺长江而上可直达长江中上游主要城市，地理位置优越，是长三角石化物流基地的重要国际港口口岸。华西码头仓储总容量达30万立方米，可接卸苯类、醇类、酸类等五十多种化工品。</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公司石化物流仓储业务主要为客户提供液态化工品的码头装卸、仓储、驳运中转、管道运输等服务。客户将其采购的化工品存储在公司的储罐中，公司为其提供仓储物流服务并收取服务费。</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 </w:t>
      </w:r>
    </w:p>
    <w:p w:rsidR="00DC21A6" w:rsidRDefault="00DC21A6" w:rsidP="000C10FE">
      <w:pPr>
        <w:pStyle w:val="a3"/>
        <w:adjustRightInd w:val="0"/>
        <w:snapToGrid w:val="0"/>
        <w:spacing w:before="0" w:beforeAutospacing="0" w:after="0" w:afterAutospacing="0" w:line="276" w:lineRule="auto"/>
        <w:ind w:firstLine="361"/>
        <w:jc w:val="both"/>
        <w:divId w:val="159347242"/>
      </w:pPr>
      <w:r>
        <w:rPr>
          <w:rStyle w:val="a4"/>
          <w:rFonts w:hint="eastAsia"/>
          <w:sz w:val="18"/>
          <w:szCs w:val="18"/>
        </w:rPr>
        <w:t>（二）行业发展状况及总体供求趋势</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根据中国证监会发布的《上市公司行业分类指引》，公司的行业分类为化学纤维制造业。</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涤纶短纤维也称为聚酯短纤维，是由聚酯（PET）经过纺丝、拉伸和切断工艺制成的短纤维。它具有强度高、耐磨性好、不易</w:t>
      </w:r>
      <w:proofErr w:type="gramStart"/>
      <w:r>
        <w:rPr>
          <w:rFonts w:hint="eastAsia"/>
          <w:sz w:val="18"/>
          <w:szCs w:val="18"/>
        </w:rPr>
        <w:t>沾污</w:t>
      </w:r>
      <w:proofErr w:type="gramEnd"/>
      <w:r>
        <w:rPr>
          <w:rFonts w:hint="eastAsia"/>
          <w:sz w:val="18"/>
          <w:szCs w:val="18"/>
        </w:rPr>
        <w:t>等优点。涤纶短纤维行业的规模随着全球纺织行业的发展而不断扩大，随着技术的进步和工艺的成熟，涤纶短纤维的生产效率不断提高，产量稳步增长。同时，涤纶短纤维的应用领域也在不断拓宽，除了传统的服装、家纺领域，还开始涉足汽车内饰、建筑增强材料等新领域。涤纶短纤维行业的市场结构较为复杂，存在多个竞争梯队，竞争的核心在于生产规模附带的原材料成本优势和设备使用效率优势、研发能力带来的差别化定制优势、生产管理能力带来的产品质量优势等。涤纶短纤维行业的技术创新和研发对于提升产品质量、降低成本和满足市场需求具有重要意义，随着技术的不断进步，新型涤纶短纤维的研发更加注重环保、高性能和多功能性。大型企业通过规模经济、技术优势和品牌效应等占据市场份额，而中小企业则通过差异化竞争和细分市场等策略。</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截至2023年10月，国内新增涤纶短纤维产能73万吨/年，总产能达到1,000万吨/年，年均复合增长率为6.07%（数据</w:t>
      </w:r>
      <w:proofErr w:type="gramStart"/>
      <w:r>
        <w:rPr>
          <w:rFonts w:hint="eastAsia"/>
          <w:sz w:val="18"/>
          <w:szCs w:val="18"/>
        </w:rPr>
        <w:t>来源于隆众资讯</w:t>
      </w:r>
      <w:proofErr w:type="gramEnd"/>
      <w:r>
        <w:rPr>
          <w:rFonts w:hint="eastAsia"/>
          <w:sz w:val="18"/>
          <w:szCs w:val="18"/>
        </w:rPr>
        <w:t>涤纶短</w:t>
      </w:r>
      <w:proofErr w:type="gramStart"/>
      <w:r>
        <w:rPr>
          <w:rFonts w:hint="eastAsia"/>
          <w:sz w:val="18"/>
          <w:szCs w:val="18"/>
        </w:rPr>
        <w:t>纤</w:t>
      </w:r>
      <w:proofErr w:type="gramEnd"/>
      <w:r>
        <w:rPr>
          <w:rFonts w:hint="eastAsia"/>
          <w:sz w:val="18"/>
          <w:szCs w:val="18"/>
        </w:rPr>
        <w:t>2023-2024年度报告）。市场集中度进一步提高，行业竞争日趋激烈，产品盈利能力下滑。</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产品下游需求方面，棉纺行业仍是涤纶短纤维主要消费领域之一，终端纺织服装企业外贸需求疲软，国内需求增长趋缓，涤纶短纤维下游消费增速维持在8.5%左右（数据</w:t>
      </w:r>
      <w:proofErr w:type="gramStart"/>
      <w:r>
        <w:rPr>
          <w:rFonts w:hint="eastAsia"/>
          <w:sz w:val="18"/>
          <w:szCs w:val="18"/>
        </w:rPr>
        <w:t>来源于隆众资讯</w:t>
      </w:r>
      <w:proofErr w:type="gramEnd"/>
      <w:r>
        <w:rPr>
          <w:rFonts w:hint="eastAsia"/>
          <w:sz w:val="18"/>
          <w:szCs w:val="18"/>
        </w:rPr>
        <w:t>涤纶短</w:t>
      </w:r>
      <w:proofErr w:type="gramStart"/>
      <w:r>
        <w:rPr>
          <w:rFonts w:hint="eastAsia"/>
          <w:sz w:val="18"/>
          <w:szCs w:val="18"/>
        </w:rPr>
        <w:t>纤</w:t>
      </w:r>
      <w:proofErr w:type="gramEnd"/>
      <w:r>
        <w:rPr>
          <w:rFonts w:hint="eastAsia"/>
          <w:sz w:val="18"/>
          <w:szCs w:val="18"/>
        </w:rPr>
        <w:t>2023-2024年度报告）。其中纺纱、缝纫线、填充行业为主要增长领域，水刺无纺布行业由于涤纶作为石油基纤维不可降解的特性，在未来水刺行业中的原料占比预计下滑。</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报告期内，涤纶短纤维行业面临着价格波动频繁、盈利压力加大等诸多挑战。产品市场价格虽整体呈震荡上行趋势，但行业加工费持续低位运行，4月行业加工费均值566.33 元/吨，更是创了近15 年行业单月加工费最低值（数据</w:t>
      </w:r>
      <w:proofErr w:type="gramStart"/>
      <w:r>
        <w:rPr>
          <w:rFonts w:hint="eastAsia"/>
          <w:sz w:val="18"/>
          <w:szCs w:val="18"/>
        </w:rPr>
        <w:t>来源于隆众资讯</w:t>
      </w:r>
      <w:proofErr w:type="gramEnd"/>
      <w:r>
        <w:rPr>
          <w:rFonts w:hint="eastAsia"/>
          <w:sz w:val="18"/>
          <w:szCs w:val="18"/>
        </w:rPr>
        <w:t>涤纶短</w:t>
      </w:r>
      <w:proofErr w:type="gramStart"/>
      <w:r>
        <w:rPr>
          <w:rFonts w:hint="eastAsia"/>
          <w:sz w:val="18"/>
          <w:szCs w:val="18"/>
        </w:rPr>
        <w:t>纤</w:t>
      </w:r>
      <w:proofErr w:type="gramEnd"/>
      <w:r>
        <w:rPr>
          <w:rFonts w:hint="eastAsia"/>
          <w:sz w:val="18"/>
          <w:szCs w:val="18"/>
        </w:rPr>
        <w:t>2023-2024年度报告）。由于产能持续扩张，导致产品供过于求，品牌替换成本低，使得市场逐渐成为买方市场，下游议价能力增强。</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 </w:t>
      </w:r>
    </w:p>
    <w:p w:rsidR="00DC21A6" w:rsidRDefault="00DC21A6" w:rsidP="000C10FE">
      <w:pPr>
        <w:pStyle w:val="a3"/>
        <w:adjustRightInd w:val="0"/>
        <w:snapToGrid w:val="0"/>
        <w:spacing w:before="0" w:beforeAutospacing="0" w:after="0" w:afterAutospacing="0" w:line="276" w:lineRule="auto"/>
        <w:ind w:firstLine="361"/>
        <w:jc w:val="both"/>
        <w:divId w:val="159347242"/>
      </w:pPr>
      <w:r>
        <w:rPr>
          <w:rStyle w:val="a4"/>
          <w:rFonts w:hint="eastAsia"/>
          <w:sz w:val="18"/>
          <w:szCs w:val="18"/>
        </w:rPr>
        <w:t>（三）所属行业情况及公司地位</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公司所处的化纤行业属于国计民生的基础性行业，行业受国际油价、行业产能变化、原材料价格、市场需求等因素影响较大。</w:t>
      </w:r>
    </w:p>
    <w:p w:rsidR="00DC21A6" w:rsidRDefault="00DC21A6" w:rsidP="000C10FE">
      <w:pPr>
        <w:pStyle w:val="a3"/>
        <w:adjustRightInd w:val="0"/>
        <w:snapToGrid w:val="0"/>
        <w:spacing w:before="0" w:beforeAutospacing="0" w:after="0" w:afterAutospacing="0" w:line="276" w:lineRule="auto"/>
        <w:ind w:firstLine="360"/>
        <w:jc w:val="both"/>
        <w:divId w:val="159347242"/>
      </w:pPr>
      <w:r>
        <w:rPr>
          <w:rFonts w:hint="eastAsia"/>
          <w:sz w:val="18"/>
          <w:szCs w:val="18"/>
        </w:rPr>
        <w:t>目前公司涤纶短纤维产能为40万吨/年，产品上的主要竞争优势是技术创新和产品研发，不断提升差别化纤维品种比重。公司现有产能及产量在涤纶短纤维行业中产能（按集团）排名为国内第7位，产量（按集团）排名为国内第6位（数据</w:t>
      </w:r>
      <w:proofErr w:type="gramStart"/>
      <w:r>
        <w:rPr>
          <w:rFonts w:hint="eastAsia"/>
          <w:sz w:val="18"/>
          <w:szCs w:val="18"/>
        </w:rPr>
        <w:t>来源于隆众资讯</w:t>
      </w:r>
      <w:proofErr w:type="gramEnd"/>
      <w:r>
        <w:rPr>
          <w:rFonts w:hint="eastAsia"/>
          <w:sz w:val="18"/>
          <w:szCs w:val="18"/>
        </w:rPr>
        <w:t>涤纶短</w:t>
      </w:r>
      <w:proofErr w:type="gramStart"/>
      <w:r>
        <w:rPr>
          <w:rFonts w:hint="eastAsia"/>
          <w:sz w:val="18"/>
          <w:szCs w:val="18"/>
        </w:rPr>
        <w:t>纤</w:t>
      </w:r>
      <w:proofErr w:type="gramEnd"/>
      <w:r>
        <w:rPr>
          <w:rFonts w:hint="eastAsia"/>
          <w:sz w:val="18"/>
          <w:szCs w:val="18"/>
        </w:rPr>
        <w:t>2023-2024年度报告）。</w:t>
      </w:r>
    </w:p>
    <w:p w:rsidR="00F25CD1" w:rsidRDefault="00DC21A6">
      <w:pPr>
        <w:pStyle w:val="3"/>
        <w:spacing w:line="280" w:lineRule="exact"/>
        <w:jc w:val="left"/>
        <w:rPr>
          <w:rFonts w:ascii="宋体" w:hAnsi="宋体" w:cs="宋体"/>
          <w:b/>
          <w:bCs/>
        </w:rPr>
      </w:pPr>
      <w:bookmarkStart w:id="4" w:name="_Toc988893"/>
      <w:r>
        <w:rPr>
          <w:rFonts w:ascii="宋体" w:hAnsi="宋体" w:cs="宋体"/>
          <w:b/>
          <w:bCs/>
        </w:rPr>
        <w:t>3、主要会计数据和财务指标</w:t>
      </w:r>
      <w:bookmarkEnd w:id="4"/>
    </w:p>
    <w:p w:rsidR="00F25CD1" w:rsidRDefault="00DC21A6">
      <w:pPr>
        <w:keepNext/>
        <w:keepLines/>
        <w:spacing w:before="300" w:after="300" w:line="280" w:lineRule="exact"/>
        <w:outlineLvl w:val="3"/>
        <w:rPr>
          <w:rFonts w:ascii="宋体" w:eastAsia="宋体" w:hAnsi="宋体" w:cs="宋体"/>
          <w:b/>
          <w:bCs/>
          <w:sz w:val="18"/>
          <w:szCs w:val="18"/>
        </w:rPr>
      </w:pPr>
      <w:bookmarkStart w:id="5" w:name="_Toc988894"/>
      <w:r>
        <w:rPr>
          <w:rFonts w:ascii="宋体" w:eastAsia="宋体" w:hAnsi="宋体" w:cs="宋体"/>
          <w:b/>
          <w:bCs/>
          <w:sz w:val="18"/>
          <w:szCs w:val="18"/>
        </w:rPr>
        <w:t>（1） 近三年主要会计数据和财务指标</w:t>
      </w:r>
      <w:bookmarkEnd w:id="5"/>
    </w:p>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t>追溯调整或重述原因</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会计差错更正</w:t>
      </w:r>
    </w:p>
    <w:p w:rsidR="00F25CD1" w:rsidRDefault="000E17E9" w:rsidP="000E17E9">
      <w:pPr>
        <w:spacing w:before="120" w:after="120" w:line="240" w:lineRule="exact"/>
        <w:ind w:right="720"/>
        <w:jc w:val="center"/>
        <w:rPr>
          <w:rFonts w:ascii="宋体" w:eastAsia="宋体" w:hAnsi="宋体" w:cs="宋体"/>
          <w:sz w:val="18"/>
          <w:szCs w:val="18"/>
        </w:rPr>
      </w:pPr>
      <w:r>
        <w:rPr>
          <w:rFonts w:ascii="宋体" w:eastAsia="宋体" w:hAnsi="宋体" w:cs="宋体" w:hint="eastAsia"/>
          <w:sz w:val="18"/>
          <w:szCs w:val="18"/>
        </w:rPr>
        <w:t xml:space="preserve">                                                                            </w:t>
      </w:r>
      <w:r w:rsidR="00630333">
        <w:rPr>
          <w:rFonts w:ascii="宋体" w:eastAsia="宋体" w:hAnsi="宋体" w:cs="宋体" w:hint="eastAsia"/>
          <w:sz w:val="18"/>
          <w:szCs w:val="18"/>
        </w:rPr>
        <w:t xml:space="preserve"> </w:t>
      </w:r>
      <w:r>
        <w:rPr>
          <w:rFonts w:ascii="宋体" w:eastAsia="宋体" w:hAnsi="宋体" w:cs="宋体" w:hint="eastAsia"/>
          <w:sz w:val="18"/>
          <w:szCs w:val="18"/>
        </w:rPr>
        <w:t xml:space="preserve">    单位：</w:t>
      </w:r>
      <w:r w:rsidR="00DC21A6">
        <w:rPr>
          <w:rFonts w:ascii="宋体" w:eastAsia="宋体" w:hAnsi="宋体" w:cs="宋体"/>
          <w:sz w:val="18"/>
          <w:szCs w:val="18"/>
        </w:rPr>
        <w:t>元</w:t>
      </w:r>
    </w:p>
    <w:tbl>
      <w:tblPr>
        <w:tblW w:w="96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850"/>
        <w:gridCol w:w="1701"/>
        <w:gridCol w:w="1701"/>
        <w:gridCol w:w="1276"/>
        <w:gridCol w:w="1701"/>
      </w:tblGrid>
      <w:tr w:rsidR="000E17E9" w:rsidTr="00D565CB">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tc>
        <w:tc>
          <w:tcPr>
            <w:tcW w:w="1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2023年末</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2022年末</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1701" w:type="dxa"/>
            <w:vMerge w:val="restart"/>
            <w:tcBorders>
              <w:top w:val="single" w:sz="2" w:space="0" w:color="auto"/>
              <w:left w:val="single" w:sz="2" w:space="0" w:color="auto"/>
              <w:right w:val="single" w:sz="2" w:space="0" w:color="auto"/>
            </w:tcBorders>
            <w:shd w:val="clear" w:color="auto" w:fill="D3D3D3"/>
            <w:vAlign w:val="center"/>
          </w:tcPr>
          <w:p w:rsidR="000E17E9" w:rsidRDefault="000E17E9" w:rsidP="000E17E9">
            <w:pPr>
              <w:spacing w:before="40" w:after="40" w:line="240" w:lineRule="exact"/>
              <w:jc w:val="center"/>
              <w:rPr>
                <w:rFonts w:ascii="宋体" w:eastAsia="宋体" w:hAnsi="宋体" w:cs="宋体"/>
                <w:sz w:val="18"/>
                <w:szCs w:val="18"/>
              </w:rPr>
            </w:pPr>
            <w:r>
              <w:rPr>
                <w:rFonts w:ascii="宋体" w:eastAsia="宋体" w:hAnsi="宋体" w:cs="宋体"/>
                <w:sz w:val="18"/>
                <w:szCs w:val="18"/>
              </w:rPr>
              <w:t>2021年末</w:t>
            </w:r>
          </w:p>
        </w:tc>
      </w:tr>
      <w:tr w:rsidR="000E17E9" w:rsidTr="00D565CB">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tc>
        <w:tc>
          <w:tcPr>
            <w:tcW w:w="1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调整前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w:t>
            </w:r>
          </w:p>
        </w:tc>
        <w:tc>
          <w:tcPr>
            <w:tcW w:w="1701" w:type="dxa"/>
            <w:vMerge/>
            <w:tcBorders>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总资产</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6,456,602,837.61</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6,394,067,380.22</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0.98%</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6,723,135,632.50</w:t>
            </w: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5,054,158,944.54</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1.22%</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5,006,443,695.47</w:t>
            </w:r>
          </w:p>
        </w:tc>
      </w:tr>
      <w:tr w:rsidR="000E17E9" w:rsidTr="00D565CB">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tc>
        <w:tc>
          <w:tcPr>
            <w:tcW w:w="1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1701" w:type="dxa"/>
            <w:vMerge w:val="restart"/>
            <w:tcBorders>
              <w:top w:val="single" w:sz="2" w:space="0" w:color="auto"/>
              <w:left w:val="single" w:sz="2" w:space="0" w:color="auto"/>
              <w:right w:val="single" w:sz="2" w:space="0" w:color="auto"/>
            </w:tcBorders>
            <w:shd w:val="clear" w:color="auto" w:fill="D3D3D3"/>
            <w:vAlign w:val="center"/>
          </w:tcPr>
          <w:p w:rsidR="000E17E9" w:rsidRDefault="000E17E9" w:rsidP="000E17E9">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r>
      <w:tr w:rsidR="000E17E9" w:rsidTr="00D565CB">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tc>
        <w:tc>
          <w:tcPr>
            <w:tcW w:w="1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调整前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w:t>
            </w:r>
          </w:p>
        </w:tc>
        <w:tc>
          <w:tcPr>
            <w:tcW w:w="1701" w:type="dxa"/>
            <w:vMerge/>
            <w:tcBorders>
              <w:left w:val="single" w:sz="2" w:space="0" w:color="auto"/>
              <w:bottom w:val="single" w:sz="2" w:space="0" w:color="auto"/>
              <w:right w:val="single" w:sz="2" w:space="0" w:color="auto"/>
            </w:tcBorders>
            <w:shd w:val="clear" w:color="auto" w:fill="D3D3D3"/>
            <w:vAlign w:val="center"/>
          </w:tcPr>
          <w:p w:rsidR="000E17E9" w:rsidRDefault="000E17E9" w:rsidP="000E17E9">
            <w:pPr>
              <w:spacing w:before="40" w:after="40" w:line="240" w:lineRule="exact"/>
              <w:jc w:val="center"/>
              <w:rPr>
                <w:rFonts w:ascii="宋体" w:eastAsia="宋体" w:hAnsi="宋体" w:cs="宋体"/>
                <w:sz w:val="18"/>
                <w:szCs w:val="18"/>
              </w:rPr>
            </w:pP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2,858,146,702.47</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2,927,437,899.70</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-2.37%</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2,418,019,870.19</w:t>
            </w: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72,393,133.41</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208,991,042.77</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196,808,204.07</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-63.22%</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341,643,809.00</w:t>
            </w: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69,526,292.63</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201,304,801.62</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189,121,962.92</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-63.24%</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337,018,294.09</w:t>
            </w: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-71,380,315.44</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13,618,249.94</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-624.15%</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-40,354,538.75</w:t>
            </w: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0.22</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-63.64%</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0.39</w:t>
            </w: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0.24</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0.21</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-61.90%</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0.39</w:t>
            </w:r>
          </w:p>
        </w:tc>
      </w:tr>
      <w:tr w:rsidR="000E17E9" w:rsidTr="00D565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0E17E9" w:rsidRDefault="000E17E9">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850"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1.42%</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4.15%</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3.86%</w:t>
            </w:r>
          </w:p>
        </w:tc>
        <w:tc>
          <w:tcPr>
            <w:tcW w:w="1276" w:type="dxa"/>
            <w:tcBorders>
              <w:top w:val="single" w:sz="2" w:space="0" w:color="auto"/>
              <w:left w:val="single" w:sz="2" w:space="0" w:color="auto"/>
              <w:bottom w:val="single" w:sz="2" w:space="0" w:color="auto"/>
              <w:right w:val="single" w:sz="2" w:space="0" w:color="auto"/>
            </w:tcBorders>
            <w:vAlign w:val="center"/>
          </w:tcPr>
          <w:p w:rsidR="000E17E9" w:rsidRDefault="00D565CB">
            <w:pPr>
              <w:spacing w:line="240" w:lineRule="exact"/>
              <w:jc w:val="right"/>
              <w:rPr>
                <w:rFonts w:ascii="宋体" w:eastAsia="宋体" w:hAnsi="宋体" w:cs="宋体"/>
                <w:sz w:val="18"/>
                <w:szCs w:val="18"/>
              </w:rPr>
            </w:pPr>
            <w:r>
              <w:rPr>
                <w:rFonts w:ascii="宋体" w:eastAsia="宋体" w:hAnsi="宋体" w:cs="宋体"/>
                <w:sz w:val="18"/>
                <w:szCs w:val="18"/>
              </w:rPr>
              <w:t>减少了</w:t>
            </w:r>
            <w:r>
              <w:rPr>
                <w:rFonts w:ascii="宋体" w:eastAsia="宋体" w:hAnsi="宋体" w:cs="宋体" w:hint="eastAsia"/>
                <w:sz w:val="18"/>
                <w:szCs w:val="18"/>
              </w:rPr>
              <w:t>2.44个百分点</w:t>
            </w:r>
          </w:p>
        </w:tc>
        <w:tc>
          <w:tcPr>
            <w:tcW w:w="1701" w:type="dxa"/>
            <w:tcBorders>
              <w:top w:val="single" w:sz="2" w:space="0" w:color="auto"/>
              <w:left w:val="single" w:sz="2" w:space="0" w:color="auto"/>
              <w:bottom w:val="single" w:sz="2" w:space="0" w:color="auto"/>
              <w:right w:val="single" w:sz="2" w:space="0" w:color="auto"/>
            </w:tcBorders>
            <w:vAlign w:val="center"/>
          </w:tcPr>
          <w:p w:rsidR="000E17E9" w:rsidRDefault="000E17E9">
            <w:pPr>
              <w:spacing w:line="240" w:lineRule="exact"/>
              <w:jc w:val="right"/>
              <w:rPr>
                <w:rFonts w:ascii="宋体" w:eastAsia="宋体" w:hAnsi="宋体" w:cs="宋体"/>
                <w:sz w:val="18"/>
                <w:szCs w:val="18"/>
              </w:rPr>
            </w:pPr>
            <w:r>
              <w:rPr>
                <w:rFonts w:ascii="宋体" w:eastAsia="宋体" w:hAnsi="宋体" w:cs="宋体"/>
                <w:sz w:val="18"/>
                <w:szCs w:val="18"/>
              </w:rPr>
              <w:t>7.03%</w:t>
            </w:r>
          </w:p>
        </w:tc>
      </w:tr>
    </w:tbl>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t>会计差错更正的情况</w:t>
      </w:r>
      <w:r w:rsidR="003C139B">
        <w:rPr>
          <w:rFonts w:ascii="宋体" w:eastAsia="宋体" w:hAnsi="宋体" w:cs="宋体"/>
          <w:sz w:val="18"/>
          <w:szCs w:val="18"/>
        </w:rPr>
        <w:t>：</w:t>
      </w:r>
    </w:p>
    <w:p w:rsidR="00DC21A6" w:rsidRDefault="00DC21A6" w:rsidP="000E17E9">
      <w:pPr>
        <w:pStyle w:val="a3"/>
        <w:adjustRightInd w:val="0"/>
        <w:snapToGrid w:val="0"/>
        <w:spacing w:before="0" w:beforeAutospacing="0" w:after="0" w:afterAutospacing="0" w:line="276" w:lineRule="auto"/>
        <w:ind w:firstLine="408"/>
        <w:jc w:val="both"/>
        <w:divId w:val="1798526622"/>
        <w:rPr>
          <w:sz w:val="18"/>
          <w:szCs w:val="18"/>
        </w:rPr>
      </w:pPr>
      <w:r>
        <w:rPr>
          <w:rFonts w:hint="eastAsia"/>
          <w:sz w:val="18"/>
          <w:szCs w:val="18"/>
        </w:rPr>
        <w:t>一、前期会计差错更正的原因及内容</w:t>
      </w:r>
    </w:p>
    <w:p w:rsidR="0091177B" w:rsidRPr="0091177B" w:rsidRDefault="0091177B" w:rsidP="0091177B">
      <w:pPr>
        <w:tabs>
          <w:tab w:val="num" w:pos="900"/>
        </w:tabs>
        <w:adjustRightInd w:val="0"/>
        <w:snapToGrid w:val="0"/>
        <w:spacing w:line="360" w:lineRule="auto"/>
        <w:ind w:firstLineChars="200" w:firstLine="360"/>
        <w:jc w:val="both"/>
        <w:divId w:val="1798526622"/>
        <w:rPr>
          <w:rFonts w:asciiTheme="minorEastAsia" w:hAnsiTheme="minorEastAsia" w:cs="Times New Roman"/>
          <w:sz w:val="18"/>
          <w:szCs w:val="18"/>
        </w:rPr>
      </w:pPr>
      <w:r w:rsidRPr="0091177B">
        <w:rPr>
          <w:rFonts w:asciiTheme="minorEastAsia" w:hAnsiTheme="minorEastAsia" w:cs="Times New Roman" w:hint="eastAsia"/>
          <w:sz w:val="18"/>
          <w:szCs w:val="18"/>
        </w:rPr>
        <w:t>截至</w:t>
      </w:r>
      <w:r w:rsidRPr="0091177B">
        <w:rPr>
          <w:rFonts w:asciiTheme="minorEastAsia" w:hAnsiTheme="minorEastAsia" w:cs="Times New Roman"/>
          <w:sz w:val="18"/>
          <w:szCs w:val="18"/>
        </w:rPr>
        <w:t>2023年12月31日，公司通过控制主体上海启</w:t>
      </w:r>
      <w:proofErr w:type="gramStart"/>
      <w:r w:rsidRPr="0091177B">
        <w:rPr>
          <w:rFonts w:asciiTheme="minorEastAsia" w:hAnsiTheme="minorEastAsia" w:cs="Times New Roman"/>
          <w:sz w:val="18"/>
          <w:szCs w:val="18"/>
        </w:rPr>
        <w:t>澜</w:t>
      </w:r>
      <w:proofErr w:type="gramEnd"/>
      <w:r w:rsidRPr="0091177B">
        <w:rPr>
          <w:rFonts w:asciiTheme="minorEastAsia" w:hAnsiTheme="minorEastAsia" w:cs="Times New Roman"/>
          <w:sz w:val="18"/>
          <w:szCs w:val="18"/>
        </w:rPr>
        <w:t>企业管理咨询合伙企业（有限合伙）间接持有Source Photonics Holdings (Cayman) Limited（以下简称“索尔思光电”）27.66%的股权。</w:t>
      </w:r>
      <w:bookmarkStart w:id="6" w:name="_Hlk164437318"/>
      <w:proofErr w:type="gramStart"/>
      <w:r w:rsidRPr="0091177B">
        <w:rPr>
          <w:rFonts w:asciiTheme="minorEastAsia" w:hAnsiTheme="minorEastAsia" w:cs="Times New Roman" w:hint="eastAsia"/>
          <w:sz w:val="18"/>
          <w:szCs w:val="18"/>
        </w:rPr>
        <w:t>因能够</w:t>
      </w:r>
      <w:proofErr w:type="gramEnd"/>
      <w:r w:rsidRPr="0091177B">
        <w:rPr>
          <w:rFonts w:asciiTheme="minorEastAsia" w:hAnsiTheme="minorEastAsia" w:cs="Times New Roman" w:hint="eastAsia"/>
          <w:sz w:val="18"/>
          <w:szCs w:val="18"/>
        </w:rPr>
        <w:t>对索尔思光电施加重大影响，根据《企业会计准则》的相关规定，</w:t>
      </w:r>
      <w:bookmarkEnd w:id="6"/>
      <w:r w:rsidRPr="0091177B">
        <w:rPr>
          <w:rFonts w:asciiTheme="minorEastAsia" w:hAnsiTheme="minorEastAsia" w:cs="Times New Roman" w:hint="eastAsia"/>
          <w:sz w:val="18"/>
          <w:szCs w:val="18"/>
        </w:rPr>
        <w:t>公司按照权益法核算对其持有的长期股权投资。</w:t>
      </w:r>
      <w:bookmarkStart w:id="7" w:name="_Hlk164439502"/>
      <w:r w:rsidRPr="0091177B">
        <w:rPr>
          <w:rFonts w:asciiTheme="minorEastAsia" w:hAnsiTheme="minorEastAsia" w:cs="Times New Roman"/>
          <w:sz w:val="18"/>
          <w:szCs w:val="18"/>
        </w:rPr>
        <w:t>近期，索尔思光电聘请的审计机构在审计过程中，</w:t>
      </w:r>
      <w:r w:rsidRPr="0091177B">
        <w:rPr>
          <w:rFonts w:asciiTheme="minorEastAsia" w:hAnsiTheme="minorEastAsia" w:cs="Times New Roman" w:hint="eastAsia"/>
          <w:sz w:val="18"/>
          <w:szCs w:val="18"/>
        </w:rPr>
        <w:t>发现了前期会计差错事项，需</w:t>
      </w:r>
      <w:r w:rsidRPr="0091177B">
        <w:rPr>
          <w:rFonts w:asciiTheme="minorEastAsia" w:hAnsiTheme="minorEastAsia" w:cs="Times New Roman"/>
          <w:sz w:val="18"/>
          <w:szCs w:val="18"/>
        </w:rPr>
        <w:t>对相关数据进行调整。经公司与索尔思光电管理层沟通，并对索尔思光电会计数据更正原因进行了解及分析复核，确认索尔思光电的财务报表需要更正，该事项影响了公司在相应期间对其长期股权投资及投资收益的核算，</w:t>
      </w:r>
      <w:r w:rsidRPr="0091177B">
        <w:rPr>
          <w:rFonts w:asciiTheme="minorEastAsia" w:hAnsiTheme="minorEastAsia" w:cs="Times New Roman" w:hint="eastAsia"/>
          <w:sz w:val="18"/>
          <w:szCs w:val="18"/>
        </w:rPr>
        <w:t>公司现根据相关规定对前期会计差错予以更正。</w:t>
      </w:r>
    </w:p>
    <w:bookmarkEnd w:id="7"/>
    <w:p w:rsidR="00DC21A6" w:rsidRDefault="00DC21A6" w:rsidP="000C10FE">
      <w:pPr>
        <w:pStyle w:val="a3"/>
        <w:adjustRightInd w:val="0"/>
        <w:snapToGrid w:val="0"/>
        <w:spacing w:before="0" w:beforeAutospacing="0" w:after="0" w:afterAutospacing="0" w:line="276" w:lineRule="auto"/>
        <w:ind w:firstLine="408"/>
        <w:divId w:val="1798526622"/>
        <w:rPr>
          <w:sz w:val="18"/>
          <w:szCs w:val="18"/>
        </w:rPr>
      </w:pPr>
      <w:r>
        <w:rPr>
          <w:rFonts w:hint="eastAsia"/>
          <w:sz w:val="18"/>
          <w:szCs w:val="18"/>
        </w:rPr>
        <w:t>二、前期会计差错更正的影响</w:t>
      </w:r>
    </w:p>
    <w:p w:rsidR="00572BCD" w:rsidRPr="00572BCD" w:rsidRDefault="00572BCD" w:rsidP="000C10FE">
      <w:pPr>
        <w:tabs>
          <w:tab w:val="num" w:pos="900"/>
        </w:tabs>
        <w:adjustRightInd w:val="0"/>
        <w:snapToGrid w:val="0"/>
        <w:spacing w:line="276" w:lineRule="auto"/>
        <w:ind w:firstLineChars="200" w:firstLine="360"/>
        <w:jc w:val="both"/>
        <w:divId w:val="1798526622"/>
        <w:rPr>
          <w:rFonts w:ascii="宋体" w:eastAsia="宋体" w:hAnsi="宋体" w:cs="Times New Roman"/>
          <w:sz w:val="18"/>
          <w:szCs w:val="18"/>
        </w:rPr>
      </w:pPr>
      <w:r w:rsidRPr="00572BCD">
        <w:rPr>
          <w:rFonts w:ascii="宋体" w:eastAsia="宋体" w:hAnsi="宋体" w:cs="Times New Roman"/>
          <w:sz w:val="18"/>
          <w:szCs w:val="18"/>
        </w:rPr>
        <w:t>本公司对前期会计差错影响进行了追溯重述，影响财务报表项目及金额如下：（除特别说明外，货币单位为人民币元）</w:t>
      </w:r>
    </w:p>
    <w:p w:rsidR="00572BCD" w:rsidRPr="00572BCD" w:rsidRDefault="00572BCD" w:rsidP="000C10FE">
      <w:pPr>
        <w:tabs>
          <w:tab w:val="num" w:pos="900"/>
        </w:tabs>
        <w:adjustRightInd w:val="0"/>
        <w:snapToGrid w:val="0"/>
        <w:spacing w:line="276" w:lineRule="auto"/>
        <w:ind w:firstLineChars="200" w:firstLine="360"/>
        <w:jc w:val="both"/>
        <w:divId w:val="1798526622"/>
        <w:rPr>
          <w:rFonts w:ascii="宋体" w:eastAsia="宋体" w:hAnsi="宋体" w:cs="Times New Roman"/>
          <w:sz w:val="18"/>
          <w:szCs w:val="18"/>
        </w:rPr>
      </w:pPr>
      <w:r w:rsidRPr="00572BCD">
        <w:rPr>
          <w:rFonts w:ascii="宋体" w:eastAsia="宋体" w:hAnsi="宋体" w:cs="Times New Roman" w:hint="eastAsia"/>
          <w:sz w:val="18"/>
          <w:szCs w:val="18"/>
        </w:rPr>
        <w:t>1、合并财务报表</w:t>
      </w:r>
    </w:p>
    <w:p w:rsidR="00572BCD" w:rsidRPr="00572BCD" w:rsidRDefault="00572BCD" w:rsidP="000C10FE">
      <w:pPr>
        <w:tabs>
          <w:tab w:val="num" w:pos="900"/>
        </w:tabs>
        <w:adjustRightInd w:val="0"/>
        <w:snapToGrid w:val="0"/>
        <w:spacing w:line="276" w:lineRule="auto"/>
        <w:ind w:firstLineChars="200" w:firstLine="360"/>
        <w:jc w:val="both"/>
        <w:divId w:val="1798526622"/>
        <w:rPr>
          <w:rFonts w:ascii="宋体" w:eastAsia="宋体" w:hAnsi="宋体" w:cs="Times New Roman"/>
          <w:sz w:val="18"/>
          <w:szCs w:val="18"/>
        </w:rPr>
      </w:pPr>
      <w:r w:rsidRPr="00572BCD">
        <w:rPr>
          <w:rFonts w:ascii="宋体" w:eastAsia="宋体" w:hAnsi="宋体" w:cs="Times New Roman" w:hint="eastAsia"/>
          <w:sz w:val="18"/>
          <w:szCs w:val="18"/>
        </w:rPr>
        <w:t>（1）合并资产负债表项目</w:t>
      </w:r>
    </w:p>
    <w:tbl>
      <w:tblPr>
        <w:tblW w:w="90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268"/>
        <w:gridCol w:w="2268"/>
        <w:gridCol w:w="2126"/>
      </w:tblGrid>
      <w:tr w:rsidR="00572BCD" w:rsidRPr="00572BCD" w:rsidTr="00D1298B">
        <w:trPr>
          <w:divId w:val="1798526622"/>
          <w:trHeight w:val="20"/>
        </w:trPr>
        <w:tc>
          <w:tcPr>
            <w:tcW w:w="2423" w:type="dxa"/>
            <w:vMerge w:val="restart"/>
            <w:shd w:val="clear" w:color="000000" w:fill="FFFFFF"/>
            <w:vAlign w:val="center"/>
            <w:hideMark/>
          </w:tcPr>
          <w:p w:rsidR="00572BCD" w:rsidRPr="00572BCD" w:rsidRDefault="00572BCD" w:rsidP="00572BCD">
            <w:pPr>
              <w:widowControl/>
              <w:spacing w:line="400" w:lineRule="exact"/>
              <w:jc w:val="center"/>
              <w:rPr>
                <w:rFonts w:asciiTheme="minorEastAsia" w:hAnsiTheme="minorEastAsia" w:cs="Arial"/>
                <w:kern w:val="0"/>
                <w:sz w:val="18"/>
                <w:szCs w:val="18"/>
              </w:rPr>
            </w:pPr>
            <w:r w:rsidRPr="00572BCD">
              <w:rPr>
                <w:rFonts w:asciiTheme="minorEastAsia" w:hAnsiTheme="minorEastAsia" w:cs="Arial" w:hint="eastAsia"/>
                <w:kern w:val="0"/>
                <w:sz w:val="18"/>
                <w:szCs w:val="18"/>
              </w:rPr>
              <w:t>项 目</w:t>
            </w:r>
          </w:p>
        </w:tc>
        <w:tc>
          <w:tcPr>
            <w:tcW w:w="6662" w:type="dxa"/>
            <w:gridSpan w:val="3"/>
            <w:shd w:val="clear" w:color="auto" w:fill="auto"/>
            <w:noWrap/>
            <w:vAlign w:val="center"/>
            <w:hideMark/>
          </w:tcPr>
          <w:p w:rsidR="00572BCD" w:rsidRPr="00572BCD" w:rsidRDefault="00572BCD" w:rsidP="00572BCD">
            <w:pPr>
              <w:widowControl/>
              <w:spacing w:line="400" w:lineRule="exact"/>
              <w:jc w:val="center"/>
              <w:rPr>
                <w:rFonts w:asciiTheme="minorEastAsia" w:hAnsiTheme="minorEastAsia" w:cs="Arial"/>
                <w:kern w:val="0"/>
                <w:sz w:val="18"/>
                <w:szCs w:val="18"/>
              </w:rPr>
            </w:pPr>
            <w:r w:rsidRPr="00572BCD">
              <w:rPr>
                <w:rFonts w:asciiTheme="minorEastAsia" w:hAnsiTheme="minorEastAsia" w:cs="Arial" w:hint="eastAsia"/>
                <w:kern w:val="0"/>
                <w:sz w:val="18"/>
                <w:szCs w:val="18"/>
              </w:rPr>
              <w:t>2022年12月31日</w:t>
            </w:r>
          </w:p>
        </w:tc>
      </w:tr>
      <w:tr w:rsidR="00572BCD" w:rsidRPr="00572BCD" w:rsidTr="00D1298B">
        <w:trPr>
          <w:divId w:val="1798526622"/>
          <w:trHeight w:val="20"/>
        </w:trPr>
        <w:tc>
          <w:tcPr>
            <w:tcW w:w="2423" w:type="dxa"/>
            <w:vMerge/>
            <w:vAlign w:val="center"/>
            <w:hideMark/>
          </w:tcPr>
          <w:p w:rsidR="00572BCD" w:rsidRPr="00572BCD" w:rsidRDefault="00572BCD" w:rsidP="00572BCD">
            <w:pPr>
              <w:widowControl/>
              <w:spacing w:line="400" w:lineRule="exact"/>
              <w:jc w:val="both"/>
              <w:rPr>
                <w:rFonts w:asciiTheme="minorEastAsia" w:hAnsiTheme="minorEastAsia" w:cs="Arial"/>
                <w:kern w:val="0"/>
                <w:sz w:val="18"/>
                <w:szCs w:val="18"/>
              </w:rPr>
            </w:pPr>
          </w:p>
        </w:tc>
        <w:tc>
          <w:tcPr>
            <w:tcW w:w="2268" w:type="dxa"/>
            <w:shd w:val="clear" w:color="auto" w:fill="auto"/>
            <w:noWrap/>
            <w:vAlign w:val="center"/>
            <w:hideMark/>
          </w:tcPr>
          <w:p w:rsidR="00572BCD" w:rsidRPr="00572BCD" w:rsidRDefault="00572BCD" w:rsidP="00572BCD">
            <w:pPr>
              <w:widowControl/>
              <w:spacing w:line="400" w:lineRule="exact"/>
              <w:jc w:val="center"/>
              <w:rPr>
                <w:rFonts w:asciiTheme="minorEastAsia" w:hAnsiTheme="minorEastAsia" w:cs="Arial"/>
                <w:kern w:val="0"/>
                <w:sz w:val="18"/>
                <w:szCs w:val="18"/>
              </w:rPr>
            </w:pPr>
            <w:r w:rsidRPr="00572BCD">
              <w:rPr>
                <w:rFonts w:asciiTheme="minorEastAsia" w:hAnsiTheme="minorEastAsia" w:cs="Arial" w:hint="eastAsia"/>
                <w:kern w:val="0"/>
                <w:sz w:val="18"/>
                <w:szCs w:val="18"/>
              </w:rPr>
              <w:t>更正前</w:t>
            </w:r>
          </w:p>
        </w:tc>
        <w:tc>
          <w:tcPr>
            <w:tcW w:w="2268" w:type="dxa"/>
            <w:shd w:val="clear" w:color="auto" w:fill="auto"/>
            <w:noWrap/>
            <w:vAlign w:val="center"/>
            <w:hideMark/>
          </w:tcPr>
          <w:p w:rsidR="00572BCD" w:rsidRPr="00572BCD" w:rsidRDefault="00572BCD" w:rsidP="00572BCD">
            <w:pPr>
              <w:widowControl/>
              <w:spacing w:line="400" w:lineRule="exact"/>
              <w:jc w:val="center"/>
              <w:rPr>
                <w:rFonts w:asciiTheme="minorEastAsia" w:hAnsiTheme="minorEastAsia" w:cs="Arial"/>
                <w:kern w:val="0"/>
                <w:sz w:val="18"/>
                <w:szCs w:val="18"/>
              </w:rPr>
            </w:pPr>
            <w:r w:rsidRPr="00572BCD">
              <w:rPr>
                <w:rFonts w:asciiTheme="minorEastAsia" w:hAnsiTheme="minorEastAsia" w:cs="Arial" w:hint="eastAsia"/>
                <w:kern w:val="0"/>
                <w:sz w:val="18"/>
                <w:szCs w:val="18"/>
              </w:rPr>
              <w:t>更正金额</w:t>
            </w:r>
          </w:p>
        </w:tc>
        <w:tc>
          <w:tcPr>
            <w:tcW w:w="2126" w:type="dxa"/>
            <w:shd w:val="clear" w:color="auto" w:fill="auto"/>
            <w:noWrap/>
            <w:vAlign w:val="center"/>
            <w:hideMark/>
          </w:tcPr>
          <w:p w:rsidR="00572BCD" w:rsidRPr="00572BCD" w:rsidRDefault="00572BCD" w:rsidP="00572BCD">
            <w:pPr>
              <w:widowControl/>
              <w:spacing w:line="400" w:lineRule="exact"/>
              <w:jc w:val="center"/>
              <w:rPr>
                <w:rFonts w:asciiTheme="minorEastAsia" w:hAnsiTheme="minorEastAsia" w:cs="Arial"/>
                <w:kern w:val="0"/>
                <w:sz w:val="18"/>
                <w:szCs w:val="18"/>
              </w:rPr>
            </w:pPr>
            <w:r w:rsidRPr="00572BCD">
              <w:rPr>
                <w:rFonts w:asciiTheme="minorEastAsia" w:hAnsiTheme="minorEastAsia" w:cs="Arial" w:hint="eastAsia"/>
                <w:kern w:val="0"/>
                <w:sz w:val="18"/>
                <w:szCs w:val="18"/>
              </w:rPr>
              <w:t>更正后</w:t>
            </w:r>
          </w:p>
        </w:tc>
      </w:tr>
      <w:tr w:rsidR="00572BCD" w:rsidRPr="00572BCD" w:rsidTr="00D1298B">
        <w:trPr>
          <w:divId w:val="1798526622"/>
          <w:trHeight w:val="20"/>
        </w:trPr>
        <w:tc>
          <w:tcPr>
            <w:tcW w:w="2423" w:type="dxa"/>
            <w:shd w:val="clear" w:color="000000" w:fill="FFFFFF"/>
            <w:vAlign w:val="center"/>
            <w:hideMark/>
          </w:tcPr>
          <w:p w:rsidR="00572BCD" w:rsidRPr="00572BCD" w:rsidRDefault="00572BCD" w:rsidP="00572BCD">
            <w:pPr>
              <w:widowControl/>
              <w:spacing w:line="400" w:lineRule="exact"/>
              <w:jc w:val="both"/>
              <w:rPr>
                <w:rFonts w:asciiTheme="minorEastAsia" w:hAnsiTheme="minorEastAsia" w:cs="Arial"/>
                <w:kern w:val="0"/>
                <w:sz w:val="18"/>
                <w:szCs w:val="18"/>
              </w:rPr>
            </w:pPr>
            <w:r w:rsidRPr="00572BCD">
              <w:rPr>
                <w:rFonts w:asciiTheme="minorEastAsia" w:hAnsiTheme="minorEastAsia" w:cs="Arial" w:hint="eastAsia"/>
                <w:kern w:val="0"/>
                <w:sz w:val="18"/>
                <w:szCs w:val="18"/>
              </w:rPr>
              <w:t>长期股权投资</w:t>
            </w:r>
          </w:p>
        </w:tc>
        <w:tc>
          <w:tcPr>
            <w:tcW w:w="2268"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3,604,952,680.26</w:t>
            </w:r>
          </w:p>
        </w:tc>
        <w:tc>
          <w:tcPr>
            <w:tcW w:w="2268" w:type="dxa"/>
            <w:shd w:val="clear" w:color="000000" w:fill="FFFFFF"/>
            <w:vAlign w:val="center"/>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6,132,551.61</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3,611,085,231.87</w:t>
            </w:r>
          </w:p>
        </w:tc>
      </w:tr>
      <w:tr w:rsidR="00572BCD" w:rsidRPr="00572BCD" w:rsidTr="00D1298B">
        <w:trPr>
          <w:divId w:val="1798526622"/>
          <w:trHeight w:val="20"/>
        </w:trPr>
        <w:tc>
          <w:tcPr>
            <w:tcW w:w="2423" w:type="dxa"/>
            <w:shd w:val="clear" w:color="000000" w:fill="FFFFFF"/>
            <w:vAlign w:val="center"/>
            <w:hideMark/>
          </w:tcPr>
          <w:p w:rsidR="00572BCD" w:rsidRPr="00572BCD" w:rsidRDefault="00572BCD" w:rsidP="00572BCD">
            <w:pPr>
              <w:widowControl/>
              <w:spacing w:line="400" w:lineRule="exact"/>
              <w:jc w:val="both"/>
              <w:rPr>
                <w:rFonts w:asciiTheme="minorEastAsia" w:hAnsiTheme="minorEastAsia" w:cs="Arial"/>
                <w:kern w:val="0"/>
                <w:sz w:val="18"/>
                <w:szCs w:val="18"/>
              </w:rPr>
            </w:pPr>
            <w:r w:rsidRPr="00572BCD">
              <w:rPr>
                <w:rFonts w:asciiTheme="minorEastAsia" w:hAnsiTheme="minorEastAsia" w:cs="Arial" w:hint="eastAsia"/>
                <w:kern w:val="0"/>
                <w:sz w:val="18"/>
                <w:szCs w:val="18"/>
              </w:rPr>
              <w:t>非流动资产合计</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4,802,259,124.05</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6,132,551.61</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4,808,391,675.66</w:t>
            </w:r>
          </w:p>
        </w:tc>
      </w:tr>
      <w:tr w:rsidR="00572BCD" w:rsidRPr="00572BCD" w:rsidTr="00D1298B">
        <w:trPr>
          <w:divId w:val="1798526622"/>
          <w:trHeight w:val="20"/>
        </w:trPr>
        <w:tc>
          <w:tcPr>
            <w:tcW w:w="2423" w:type="dxa"/>
            <w:shd w:val="clear" w:color="000000" w:fill="FFFFFF"/>
            <w:vAlign w:val="center"/>
            <w:hideMark/>
          </w:tcPr>
          <w:p w:rsidR="00572BCD" w:rsidRPr="00572BCD" w:rsidRDefault="00572BCD" w:rsidP="00572BCD">
            <w:pPr>
              <w:widowControl/>
              <w:spacing w:line="400" w:lineRule="exact"/>
              <w:jc w:val="both"/>
              <w:rPr>
                <w:rFonts w:asciiTheme="minorEastAsia" w:hAnsiTheme="minorEastAsia" w:cs="Arial"/>
                <w:kern w:val="0"/>
                <w:sz w:val="18"/>
                <w:szCs w:val="18"/>
              </w:rPr>
            </w:pPr>
            <w:r w:rsidRPr="00572BCD">
              <w:rPr>
                <w:rFonts w:asciiTheme="minorEastAsia" w:hAnsiTheme="minorEastAsia" w:cs="Arial" w:hint="eastAsia"/>
                <w:kern w:val="0"/>
                <w:sz w:val="18"/>
                <w:szCs w:val="18"/>
              </w:rPr>
              <w:t>资产总计</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6,387,934,828.61</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6,132,551.61</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6,394,067,380.22</w:t>
            </w:r>
          </w:p>
        </w:tc>
      </w:tr>
      <w:tr w:rsidR="00572BCD" w:rsidRPr="00572BCD" w:rsidTr="00D1298B">
        <w:trPr>
          <w:divId w:val="1798526622"/>
          <w:trHeight w:val="20"/>
        </w:trPr>
        <w:tc>
          <w:tcPr>
            <w:tcW w:w="2423" w:type="dxa"/>
            <w:shd w:val="clear" w:color="000000" w:fill="FFFFFF"/>
            <w:vAlign w:val="center"/>
            <w:hideMark/>
          </w:tcPr>
          <w:p w:rsidR="00572BCD" w:rsidRPr="00572BCD" w:rsidRDefault="00572BCD" w:rsidP="00572BCD">
            <w:pPr>
              <w:widowControl/>
              <w:spacing w:line="400" w:lineRule="exact"/>
              <w:jc w:val="both"/>
              <w:rPr>
                <w:rFonts w:asciiTheme="minorEastAsia" w:hAnsiTheme="minorEastAsia" w:cs="Arial"/>
                <w:kern w:val="0"/>
                <w:sz w:val="18"/>
                <w:szCs w:val="18"/>
              </w:rPr>
            </w:pPr>
            <w:r w:rsidRPr="00572BCD">
              <w:rPr>
                <w:rFonts w:asciiTheme="minorEastAsia" w:hAnsiTheme="minorEastAsia" w:cs="Arial" w:hint="eastAsia"/>
                <w:kern w:val="0"/>
                <w:sz w:val="18"/>
                <w:szCs w:val="18"/>
              </w:rPr>
              <w:t>资本公积</w:t>
            </w:r>
          </w:p>
        </w:tc>
        <w:tc>
          <w:tcPr>
            <w:tcW w:w="2268"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391,063,918.14</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-7,247,575.08</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383,816,343.06</w:t>
            </w:r>
          </w:p>
        </w:tc>
      </w:tr>
      <w:tr w:rsidR="00572BCD" w:rsidRPr="00572BCD" w:rsidTr="00D1298B">
        <w:trPr>
          <w:divId w:val="1798526622"/>
          <w:trHeight w:val="20"/>
        </w:trPr>
        <w:tc>
          <w:tcPr>
            <w:tcW w:w="2423" w:type="dxa"/>
            <w:shd w:val="clear" w:color="000000" w:fill="FFFFFF"/>
            <w:vAlign w:val="center"/>
            <w:hideMark/>
          </w:tcPr>
          <w:p w:rsidR="00572BCD" w:rsidRPr="00572BCD" w:rsidRDefault="00572BCD" w:rsidP="00572BCD">
            <w:pPr>
              <w:widowControl/>
              <w:spacing w:line="400" w:lineRule="exact"/>
              <w:jc w:val="both"/>
              <w:rPr>
                <w:rFonts w:asciiTheme="minorEastAsia" w:hAnsiTheme="minorEastAsia" w:cs="Arial"/>
                <w:kern w:val="0"/>
                <w:sz w:val="18"/>
                <w:szCs w:val="18"/>
              </w:rPr>
            </w:pPr>
            <w:r w:rsidRPr="00572BCD">
              <w:rPr>
                <w:rFonts w:asciiTheme="minorEastAsia" w:hAnsiTheme="minorEastAsia" w:cs="Arial" w:hint="eastAsia"/>
                <w:kern w:val="0"/>
                <w:sz w:val="18"/>
                <w:szCs w:val="18"/>
              </w:rPr>
              <w:t>其他综合收益</w:t>
            </w:r>
          </w:p>
        </w:tc>
        <w:tc>
          <w:tcPr>
            <w:tcW w:w="2268"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-20,801,622.91</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34,099,497.84</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13,297,874.93</w:t>
            </w:r>
          </w:p>
        </w:tc>
      </w:tr>
      <w:tr w:rsidR="00572BCD" w:rsidRPr="00572BCD" w:rsidTr="00D1298B">
        <w:trPr>
          <w:divId w:val="1798526622"/>
          <w:trHeight w:val="20"/>
        </w:trPr>
        <w:tc>
          <w:tcPr>
            <w:tcW w:w="2423" w:type="dxa"/>
            <w:shd w:val="clear" w:color="000000" w:fill="FFFFFF"/>
            <w:vAlign w:val="center"/>
            <w:hideMark/>
          </w:tcPr>
          <w:p w:rsidR="00572BCD" w:rsidRPr="00572BCD" w:rsidRDefault="00322AB9" w:rsidP="00572BCD">
            <w:pPr>
              <w:widowControl/>
              <w:spacing w:line="400" w:lineRule="exact"/>
              <w:jc w:val="both"/>
              <w:rPr>
                <w:rFonts w:asciiTheme="minorEastAsia" w:hAnsiTheme="minorEastAsia" w:cs="Arial"/>
                <w:kern w:val="0"/>
                <w:sz w:val="18"/>
                <w:szCs w:val="18"/>
              </w:rPr>
            </w:pPr>
            <w:r>
              <w:rPr>
                <w:rFonts w:asciiTheme="minorEastAsia" w:hAnsiTheme="minorEastAsia" w:cs="Arial" w:hint="eastAsia"/>
                <w:kern w:val="0"/>
                <w:sz w:val="18"/>
                <w:szCs w:val="18"/>
              </w:rPr>
              <w:t>未</w:t>
            </w:r>
            <w:r w:rsidR="00572BCD" w:rsidRPr="00572BCD">
              <w:rPr>
                <w:rFonts w:asciiTheme="minorEastAsia" w:hAnsiTheme="minorEastAsia" w:cs="Arial" w:hint="eastAsia"/>
                <w:kern w:val="0"/>
                <w:sz w:val="18"/>
                <w:szCs w:val="18"/>
              </w:rPr>
              <w:t>分配利润</w:t>
            </w:r>
          </w:p>
        </w:tc>
        <w:tc>
          <w:tcPr>
            <w:tcW w:w="2268"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3,366,413,504.27</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-20,719,371.15</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3,345,694,133.12</w:t>
            </w:r>
          </w:p>
        </w:tc>
      </w:tr>
      <w:tr w:rsidR="00572BCD" w:rsidRPr="00572BCD" w:rsidTr="00D1298B">
        <w:trPr>
          <w:divId w:val="1798526622"/>
          <w:trHeight w:val="20"/>
        </w:trPr>
        <w:tc>
          <w:tcPr>
            <w:tcW w:w="2423" w:type="dxa"/>
            <w:shd w:val="clear" w:color="000000" w:fill="FFFFFF"/>
            <w:vAlign w:val="center"/>
            <w:hideMark/>
          </w:tcPr>
          <w:p w:rsidR="00572BCD" w:rsidRPr="00572BCD" w:rsidRDefault="00572BCD" w:rsidP="00C777E9">
            <w:pPr>
              <w:widowControl/>
              <w:spacing w:line="400" w:lineRule="exact"/>
              <w:jc w:val="both"/>
              <w:rPr>
                <w:rFonts w:asciiTheme="minorEastAsia" w:hAnsiTheme="minorEastAsia" w:cs="Arial"/>
                <w:kern w:val="0"/>
                <w:sz w:val="18"/>
                <w:szCs w:val="18"/>
              </w:rPr>
            </w:pPr>
            <w:r w:rsidRPr="00572BCD">
              <w:rPr>
                <w:rFonts w:asciiTheme="minorEastAsia" w:hAnsiTheme="minorEastAsia" w:cs="Arial" w:hint="eastAsia"/>
                <w:kern w:val="0"/>
                <w:sz w:val="18"/>
                <w:szCs w:val="18"/>
              </w:rPr>
              <w:t>归属于母公司</w:t>
            </w:r>
            <w:r w:rsidR="00C777E9">
              <w:rPr>
                <w:rFonts w:asciiTheme="minorEastAsia" w:hAnsiTheme="minorEastAsia" w:cs="Arial" w:hint="eastAsia"/>
                <w:kern w:val="0"/>
                <w:sz w:val="18"/>
                <w:szCs w:val="18"/>
              </w:rPr>
              <w:t>股东</w:t>
            </w:r>
            <w:r w:rsidRPr="00572BCD">
              <w:rPr>
                <w:rFonts w:asciiTheme="minorEastAsia" w:hAnsiTheme="minorEastAsia" w:cs="Arial" w:hint="eastAsia"/>
                <w:kern w:val="0"/>
                <w:sz w:val="18"/>
                <w:szCs w:val="18"/>
              </w:rPr>
              <w:t>权益合计</w:t>
            </w:r>
          </w:p>
        </w:tc>
        <w:tc>
          <w:tcPr>
            <w:tcW w:w="2268"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5,048,026,392.93</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6,132,551.61</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5,054,158,944.54</w:t>
            </w:r>
          </w:p>
        </w:tc>
      </w:tr>
      <w:tr w:rsidR="00572BCD" w:rsidRPr="00572BCD" w:rsidTr="00D1298B">
        <w:trPr>
          <w:divId w:val="1798526622"/>
          <w:trHeight w:val="20"/>
        </w:trPr>
        <w:tc>
          <w:tcPr>
            <w:tcW w:w="2423" w:type="dxa"/>
            <w:shd w:val="clear" w:color="000000" w:fill="FFFFFF"/>
            <w:vAlign w:val="center"/>
            <w:hideMark/>
          </w:tcPr>
          <w:p w:rsidR="00572BCD" w:rsidRPr="00572BCD" w:rsidRDefault="00C777E9" w:rsidP="00572BCD">
            <w:pPr>
              <w:widowControl/>
              <w:spacing w:line="400" w:lineRule="exact"/>
              <w:jc w:val="both"/>
              <w:rPr>
                <w:rFonts w:asciiTheme="minorEastAsia" w:hAnsiTheme="minorEastAsia" w:cs="Arial"/>
                <w:kern w:val="0"/>
                <w:sz w:val="18"/>
                <w:szCs w:val="18"/>
              </w:rPr>
            </w:pPr>
            <w:r>
              <w:rPr>
                <w:rFonts w:asciiTheme="minorEastAsia" w:hAnsiTheme="minorEastAsia" w:cs="Arial" w:hint="eastAsia"/>
                <w:kern w:val="0"/>
                <w:sz w:val="18"/>
                <w:szCs w:val="18"/>
              </w:rPr>
              <w:t>股东</w:t>
            </w:r>
            <w:r w:rsidR="00572BCD" w:rsidRPr="00572BCD">
              <w:rPr>
                <w:rFonts w:asciiTheme="minorEastAsia" w:hAnsiTheme="minorEastAsia" w:cs="Arial" w:hint="eastAsia"/>
                <w:kern w:val="0"/>
                <w:sz w:val="18"/>
                <w:szCs w:val="18"/>
              </w:rPr>
              <w:t>权益合计</w:t>
            </w:r>
          </w:p>
        </w:tc>
        <w:tc>
          <w:tcPr>
            <w:tcW w:w="2268"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5,048,026,392.93</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6,132,551.61</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5,054,158,944.54</w:t>
            </w:r>
          </w:p>
        </w:tc>
      </w:tr>
      <w:tr w:rsidR="00572BCD" w:rsidRPr="00572BCD" w:rsidTr="00D1298B">
        <w:trPr>
          <w:divId w:val="1798526622"/>
          <w:trHeight w:val="20"/>
        </w:trPr>
        <w:tc>
          <w:tcPr>
            <w:tcW w:w="2423" w:type="dxa"/>
            <w:shd w:val="clear" w:color="000000" w:fill="FFFFFF"/>
            <w:vAlign w:val="center"/>
            <w:hideMark/>
          </w:tcPr>
          <w:p w:rsidR="00572BCD" w:rsidRPr="00572BCD" w:rsidRDefault="00572BCD" w:rsidP="00C777E9">
            <w:pPr>
              <w:widowControl/>
              <w:spacing w:line="400" w:lineRule="exact"/>
              <w:jc w:val="both"/>
              <w:rPr>
                <w:rFonts w:asciiTheme="minorEastAsia" w:hAnsiTheme="minorEastAsia" w:cs="Arial"/>
                <w:kern w:val="0"/>
                <w:sz w:val="18"/>
                <w:szCs w:val="18"/>
              </w:rPr>
            </w:pPr>
            <w:r w:rsidRPr="00572BCD">
              <w:rPr>
                <w:rFonts w:asciiTheme="minorEastAsia" w:hAnsiTheme="minorEastAsia" w:cs="Arial" w:hint="eastAsia"/>
                <w:kern w:val="0"/>
                <w:sz w:val="18"/>
                <w:szCs w:val="18"/>
              </w:rPr>
              <w:t>负债和</w:t>
            </w:r>
            <w:r w:rsidR="00C777E9">
              <w:rPr>
                <w:rFonts w:asciiTheme="minorEastAsia" w:hAnsiTheme="minorEastAsia" w:cs="Arial" w:hint="eastAsia"/>
                <w:kern w:val="0"/>
                <w:sz w:val="18"/>
                <w:szCs w:val="18"/>
              </w:rPr>
              <w:t>股东</w:t>
            </w:r>
            <w:r w:rsidRPr="00572BCD">
              <w:rPr>
                <w:rFonts w:asciiTheme="minorEastAsia" w:hAnsiTheme="minorEastAsia" w:cs="Arial" w:hint="eastAsia"/>
                <w:kern w:val="0"/>
                <w:sz w:val="18"/>
                <w:szCs w:val="18"/>
              </w:rPr>
              <w:t>权益总计</w:t>
            </w:r>
          </w:p>
        </w:tc>
        <w:tc>
          <w:tcPr>
            <w:tcW w:w="2268"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hint="eastAsia"/>
                <w:kern w:val="0"/>
                <w:sz w:val="18"/>
                <w:szCs w:val="18"/>
              </w:rPr>
              <w:t>6,387,934,828.61</w:t>
            </w:r>
          </w:p>
        </w:tc>
        <w:tc>
          <w:tcPr>
            <w:tcW w:w="2268" w:type="dxa"/>
            <w:shd w:val="clear" w:color="000000" w:fill="FFFFFF"/>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6,132,551.61</w:t>
            </w:r>
          </w:p>
        </w:tc>
        <w:tc>
          <w:tcPr>
            <w:tcW w:w="2126" w:type="dxa"/>
            <w:shd w:val="clear" w:color="auto" w:fill="auto"/>
            <w:noWrap/>
            <w:vAlign w:val="center"/>
            <w:hideMark/>
          </w:tcPr>
          <w:p w:rsidR="00572BCD" w:rsidRPr="00572BCD" w:rsidRDefault="00572BCD" w:rsidP="00572BCD">
            <w:pPr>
              <w:widowControl/>
              <w:spacing w:line="400" w:lineRule="exact"/>
              <w:jc w:val="right"/>
              <w:rPr>
                <w:rFonts w:asciiTheme="minorEastAsia" w:hAnsiTheme="minorEastAsia" w:cs="Arial"/>
                <w:kern w:val="0"/>
                <w:sz w:val="18"/>
                <w:szCs w:val="18"/>
              </w:rPr>
            </w:pPr>
            <w:r w:rsidRPr="00572BCD">
              <w:rPr>
                <w:rFonts w:asciiTheme="minorEastAsia" w:hAnsiTheme="minorEastAsia" w:cs="Arial"/>
                <w:kern w:val="0"/>
                <w:sz w:val="18"/>
                <w:szCs w:val="18"/>
              </w:rPr>
              <w:t>6,394,067,380.22</w:t>
            </w:r>
          </w:p>
        </w:tc>
      </w:tr>
    </w:tbl>
    <w:p w:rsidR="00572BCD" w:rsidRPr="00572BCD" w:rsidRDefault="00572BCD" w:rsidP="00572BCD">
      <w:pPr>
        <w:spacing w:line="440" w:lineRule="exact"/>
        <w:ind w:firstLineChars="200" w:firstLine="360"/>
        <w:jc w:val="both"/>
        <w:divId w:val="1798526622"/>
        <w:rPr>
          <w:rFonts w:ascii="Arial Narrow" w:eastAsia="宋体" w:hAnsi="Arial Narrow" w:cs="Arial"/>
          <w:sz w:val="18"/>
          <w:szCs w:val="18"/>
        </w:rPr>
      </w:pPr>
      <w:r w:rsidRPr="00572BCD">
        <w:rPr>
          <w:rFonts w:ascii="Arial Narrow" w:eastAsia="宋体" w:hAnsi="Arial Narrow" w:cs="Arial" w:hint="eastAsia"/>
          <w:sz w:val="18"/>
          <w:szCs w:val="18"/>
        </w:rPr>
        <w:t>说明：上表中长期股权投资、资本公积、其他综合收益更正金额为对索尔思光电</w:t>
      </w:r>
      <w:r w:rsidRPr="00572BCD">
        <w:rPr>
          <w:rFonts w:ascii="Arial Narrow" w:eastAsia="宋体" w:hAnsi="Arial Narrow" w:cs="Arial"/>
          <w:sz w:val="18"/>
          <w:szCs w:val="18"/>
        </w:rPr>
        <w:t>长期股权投资权益法核算进行差错</w:t>
      </w:r>
      <w:r w:rsidRPr="00572BCD">
        <w:rPr>
          <w:rFonts w:ascii="Arial Narrow" w:eastAsia="宋体" w:hAnsi="Arial Narrow" w:cs="Arial"/>
          <w:sz w:val="18"/>
          <w:szCs w:val="18"/>
        </w:rPr>
        <w:lastRenderedPageBreak/>
        <w:t>更正导致。</w:t>
      </w:r>
    </w:p>
    <w:p w:rsidR="00572BCD" w:rsidRDefault="00572BCD" w:rsidP="00572BCD">
      <w:pPr>
        <w:spacing w:line="440" w:lineRule="exact"/>
        <w:ind w:firstLineChars="200" w:firstLine="360"/>
        <w:jc w:val="both"/>
        <w:divId w:val="1798526622"/>
        <w:rPr>
          <w:rFonts w:asciiTheme="minorEastAsia" w:hAnsiTheme="minorEastAsia" w:cs="Arial"/>
          <w:sz w:val="18"/>
          <w:szCs w:val="18"/>
        </w:rPr>
      </w:pPr>
      <w:r w:rsidRPr="00572BCD">
        <w:rPr>
          <w:rFonts w:asciiTheme="minorEastAsia" w:hAnsiTheme="minorEastAsia" w:cs="Arial" w:hint="eastAsia"/>
          <w:sz w:val="18"/>
          <w:szCs w:val="18"/>
        </w:rPr>
        <w:t>（2）合并利润表项目</w:t>
      </w:r>
    </w:p>
    <w:tbl>
      <w:tblPr>
        <w:tblW w:w="91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1843"/>
        <w:gridCol w:w="1629"/>
        <w:gridCol w:w="1676"/>
      </w:tblGrid>
      <w:tr w:rsidR="0091177B" w:rsidRPr="00A21C03" w:rsidTr="0091177B">
        <w:trPr>
          <w:divId w:val="1798526622"/>
          <w:trHeight w:val="465"/>
        </w:trPr>
        <w:tc>
          <w:tcPr>
            <w:tcW w:w="3982" w:type="dxa"/>
            <w:vMerge w:val="restart"/>
            <w:shd w:val="clear" w:color="000000" w:fill="FFFFFF"/>
            <w:noWrap/>
            <w:vAlign w:val="center"/>
            <w:hideMark/>
          </w:tcPr>
          <w:p w:rsidR="0091177B" w:rsidRPr="00A21C03" w:rsidRDefault="0091177B" w:rsidP="00D565CB">
            <w:pPr>
              <w:spacing w:line="400" w:lineRule="exact"/>
              <w:jc w:val="center"/>
              <w:rPr>
                <w:rFonts w:ascii="Arial" w:hAnsi="Arial" w:cs="Arial"/>
                <w:sz w:val="18"/>
                <w:szCs w:val="18"/>
              </w:rPr>
            </w:pPr>
            <w:r w:rsidRPr="00A21C03">
              <w:rPr>
                <w:rFonts w:ascii="Arial" w:hAnsi="Arial" w:cs="Arial"/>
                <w:sz w:val="18"/>
                <w:szCs w:val="18"/>
              </w:rPr>
              <w:t>项</w:t>
            </w:r>
            <w:r w:rsidRPr="00A21C03">
              <w:rPr>
                <w:rFonts w:ascii="Arial" w:hAnsi="Arial" w:cs="Arial" w:hint="eastAsia"/>
                <w:sz w:val="18"/>
                <w:szCs w:val="18"/>
              </w:rPr>
              <w:t xml:space="preserve">  </w:t>
            </w:r>
            <w:r w:rsidRPr="00A21C03">
              <w:rPr>
                <w:rFonts w:ascii="Arial" w:hAnsi="Arial" w:cs="Arial"/>
                <w:sz w:val="18"/>
                <w:szCs w:val="18"/>
              </w:rPr>
              <w:t>目</w:t>
            </w:r>
          </w:p>
        </w:tc>
        <w:tc>
          <w:tcPr>
            <w:tcW w:w="5148" w:type="dxa"/>
            <w:gridSpan w:val="3"/>
            <w:shd w:val="clear" w:color="000000" w:fill="FFFFFF"/>
            <w:noWrap/>
            <w:vAlign w:val="center"/>
            <w:hideMark/>
          </w:tcPr>
          <w:p w:rsidR="0091177B" w:rsidRPr="00A21C03" w:rsidRDefault="0091177B" w:rsidP="00D565CB">
            <w:pPr>
              <w:spacing w:line="400" w:lineRule="exact"/>
              <w:jc w:val="center"/>
              <w:rPr>
                <w:rFonts w:asciiTheme="minorEastAsia" w:hAnsiTheme="minorEastAsia" w:cs="Arial"/>
                <w:sz w:val="18"/>
                <w:szCs w:val="18"/>
              </w:rPr>
            </w:pPr>
            <w:r w:rsidRPr="00A21C03">
              <w:rPr>
                <w:rFonts w:asciiTheme="minorEastAsia" w:hAnsiTheme="minorEastAsia" w:cs="Arial"/>
                <w:sz w:val="18"/>
                <w:szCs w:val="18"/>
              </w:rPr>
              <w:t>2022年度</w:t>
            </w:r>
          </w:p>
        </w:tc>
      </w:tr>
      <w:tr w:rsidR="0091177B" w:rsidRPr="00A21C03" w:rsidTr="0091177B">
        <w:trPr>
          <w:divId w:val="1798526622"/>
          <w:trHeight w:val="465"/>
        </w:trPr>
        <w:tc>
          <w:tcPr>
            <w:tcW w:w="3982" w:type="dxa"/>
            <w:vMerge/>
            <w:vAlign w:val="center"/>
            <w:hideMark/>
          </w:tcPr>
          <w:p w:rsidR="0091177B" w:rsidRPr="00A21C03" w:rsidRDefault="0091177B" w:rsidP="00D565CB">
            <w:pPr>
              <w:spacing w:line="400" w:lineRule="exact"/>
              <w:rPr>
                <w:rFonts w:ascii="Arial" w:hAnsi="Arial" w:cs="Arial"/>
                <w:sz w:val="18"/>
                <w:szCs w:val="18"/>
              </w:rPr>
            </w:pPr>
          </w:p>
        </w:tc>
        <w:tc>
          <w:tcPr>
            <w:tcW w:w="1843" w:type="dxa"/>
            <w:shd w:val="clear" w:color="auto" w:fill="auto"/>
            <w:noWrap/>
            <w:vAlign w:val="center"/>
            <w:hideMark/>
          </w:tcPr>
          <w:p w:rsidR="0091177B" w:rsidRPr="00A21C03" w:rsidRDefault="0091177B" w:rsidP="00D565CB">
            <w:pPr>
              <w:spacing w:line="400" w:lineRule="exact"/>
              <w:jc w:val="center"/>
              <w:rPr>
                <w:rFonts w:ascii="Arial" w:hAnsi="Arial" w:cs="Arial"/>
                <w:sz w:val="18"/>
                <w:szCs w:val="18"/>
              </w:rPr>
            </w:pPr>
            <w:r w:rsidRPr="00A21C03">
              <w:rPr>
                <w:rFonts w:ascii="Arial" w:hAnsi="Arial" w:cs="Arial"/>
                <w:sz w:val="18"/>
                <w:szCs w:val="18"/>
              </w:rPr>
              <w:t>更正前</w:t>
            </w:r>
          </w:p>
        </w:tc>
        <w:tc>
          <w:tcPr>
            <w:tcW w:w="1629" w:type="dxa"/>
            <w:shd w:val="clear" w:color="auto" w:fill="auto"/>
            <w:noWrap/>
            <w:vAlign w:val="center"/>
            <w:hideMark/>
          </w:tcPr>
          <w:p w:rsidR="0091177B" w:rsidRPr="00A21C03" w:rsidRDefault="0091177B" w:rsidP="00D565CB">
            <w:pPr>
              <w:spacing w:line="400" w:lineRule="exact"/>
              <w:jc w:val="center"/>
              <w:rPr>
                <w:rFonts w:ascii="Arial" w:hAnsi="Arial" w:cs="Arial"/>
                <w:sz w:val="18"/>
                <w:szCs w:val="18"/>
              </w:rPr>
            </w:pPr>
            <w:r w:rsidRPr="00A21C03">
              <w:rPr>
                <w:rFonts w:ascii="Arial" w:hAnsi="Arial" w:cs="Arial"/>
                <w:sz w:val="18"/>
                <w:szCs w:val="18"/>
              </w:rPr>
              <w:t>更正金额</w:t>
            </w:r>
          </w:p>
        </w:tc>
        <w:tc>
          <w:tcPr>
            <w:tcW w:w="1676" w:type="dxa"/>
            <w:shd w:val="clear" w:color="auto" w:fill="auto"/>
            <w:noWrap/>
            <w:vAlign w:val="center"/>
            <w:hideMark/>
          </w:tcPr>
          <w:p w:rsidR="0091177B" w:rsidRPr="00A21C03" w:rsidRDefault="0091177B" w:rsidP="00D565CB">
            <w:pPr>
              <w:spacing w:line="400" w:lineRule="exact"/>
              <w:jc w:val="center"/>
              <w:rPr>
                <w:rFonts w:ascii="Arial" w:hAnsi="Arial" w:cs="Arial"/>
                <w:sz w:val="18"/>
                <w:szCs w:val="18"/>
              </w:rPr>
            </w:pPr>
            <w:r w:rsidRPr="00A21C03">
              <w:rPr>
                <w:rFonts w:ascii="Arial" w:hAnsi="Arial" w:cs="Arial"/>
                <w:sz w:val="18"/>
                <w:szCs w:val="18"/>
              </w:rPr>
              <w:t>更正后</w:t>
            </w:r>
          </w:p>
        </w:tc>
      </w:tr>
      <w:tr w:rsidR="0091177B" w:rsidRPr="0091177B" w:rsidTr="0091177B">
        <w:trPr>
          <w:divId w:val="1798526622"/>
          <w:trHeight w:val="465"/>
        </w:trPr>
        <w:tc>
          <w:tcPr>
            <w:tcW w:w="3982" w:type="dxa"/>
            <w:shd w:val="clear" w:color="000000" w:fill="FFFFFF"/>
            <w:vAlign w:val="center"/>
            <w:hideMark/>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投资收益（损失以“－”号填列）</w:t>
            </w:r>
          </w:p>
        </w:tc>
        <w:tc>
          <w:tcPr>
            <w:tcW w:w="1843"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176,161,622.07</w:t>
            </w:r>
          </w:p>
        </w:tc>
        <w:tc>
          <w:tcPr>
            <w:tcW w:w="1629"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-12,182,838.70</w:t>
            </w:r>
          </w:p>
        </w:tc>
        <w:tc>
          <w:tcPr>
            <w:tcW w:w="1676"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163,978,783.37</w:t>
            </w:r>
          </w:p>
        </w:tc>
      </w:tr>
      <w:tr w:rsidR="0091177B" w:rsidRPr="0091177B" w:rsidTr="0091177B">
        <w:trPr>
          <w:divId w:val="1798526622"/>
          <w:trHeight w:val="465"/>
        </w:trPr>
        <w:tc>
          <w:tcPr>
            <w:tcW w:w="3982" w:type="dxa"/>
            <w:shd w:val="clear" w:color="000000" w:fill="FFFFFF"/>
            <w:vAlign w:val="center"/>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其中：对联营企业和合营企业的投资收益</w:t>
            </w:r>
          </w:p>
        </w:tc>
        <w:tc>
          <w:tcPr>
            <w:tcW w:w="1843"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117,323,111.51</w:t>
            </w:r>
          </w:p>
        </w:tc>
        <w:tc>
          <w:tcPr>
            <w:tcW w:w="1629"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-12,182,838.70</w:t>
            </w:r>
          </w:p>
        </w:tc>
        <w:tc>
          <w:tcPr>
            <w:tcW w:w="1676"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105,140,272.81</w:t>
            </w:r>
          </w:p>
        </w:tc>
      </w:tr>
      <w:tr w:rsidR="0091177B" w:rsidRPr="0091177B" w:rsidTr="0091177B">
        <w:trPr>
          <w:divId w:val="1798526622"/>
          <w:trHeight w:val="465"/>
        </w:trPr>
        <w:tc>
          <w:tcPr>
            <w:tcW w:w="3982" w:type="dxa"/>
            <w:shd w:val="clear" w:color="000000" w:fill="FFFFFF"/>
            <w:vAlign w:val="center"/>
            <w:hideMark/>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营业利润（亏损以“－”号填列）</w:t>
            </w:r>
          </w:p>
        </w:tc>
        <w:tc>
          <w:tcPr>
            <w:tcW w:w="1843"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249,250,199.85</w:t>
            </w:r>
          </w:p>
        </w:tc>
        <w:tc>
          <w:tcPr>
            <w:tcW w:w="1629"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-12,182,838.70</w:t>
            </w:r>
          </w:p>
        </w:tc>
        <w:tc>
          <w:tcPr>
            <w:tcW w:w="1676"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237,067,361.15</w:t>
            </w:r>
          </w:p>
        </w:tc>
      </w:tr>
      <w:tr w:rsidR="0091177B" w:rsidRPr="0091177B" w:rsidTr="0091177B">
        <w:trPr>
          <w:divId w:val="1798526622"/>
          <w:trHeight w:val="465"/>
        </w:trPr>
        <w:tc>
          <w:tcPr>
            <w:tcW w:w="3982" w:type="dxa"/>
            <w:shd w:val="clear" w:color="000000" w:fill="FFFFFF"/>
            <w:vAlign w:val="center"/>
            <w:hideMark/>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利润总额（亏损总额以“－”号填列）</w:t>
            </w:r>
          </w:p>
        </w:tc>
        <w:tc>
          <w:tcPr>
            <w:tcW w:w="1843"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251,266,548.27</w:t>
            </w:r>
          </w:p>
        </w:tc>
        <w:tc>
          <w:tcPr>
            <w:tcW w:w="1629"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-12,182,838.70</w:t>
            </w:r>
          </w:p>
        </w:tc>
        <w:tc>
          <w:tcPr>
            <w:tcW w:w="1676"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239,083,709.57</w:t>
            </w:r>
          </w:p>
        </w:tc>
      </w:tr>
      <w:tr w:rsidR="0091177B" w:rsidRPr="0091177B" w:rsidTr="0091177B">
        <w:trPr>
          <w:divId w:val="1798526622"/>
          <w:trHeight w:val="465"/>
        </w:trPr>
        <w:tc>
          <w:tcPr>
            <w:tcW w:w="3982" w:type="dxa"/>
            <w:shd w:val="clear" w:color="000000" w:fill="FFFFFF"/>
            <w:vAlign w:val="center"/>
            <w:hideMark/>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净利润（净亏损以“－”号填列）</w:t>
            </w:r>
          </w:p>
        </w:tc>
        <w:tc>
          <w:tcPr>
            <w:tcW w:w="1843"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224,088,540.39</w:t>
            </w:r>
          </w:p>
        </w:tc>
        <w:tc>
          <w:tcPr>
            <w:tcW w:w="1629"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-12,182,838.70　</w:t>
            </w:r>
          </w:p>
        </w:tc>
        <w:tc>
          <w:tcPr>
            <w:tcW w:w="1676"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211,905,701.69</w:t>
            </w:r>
          </w:p>
        </w:tc>
      </w:tr>
      <w:tr w:rsidR="0091177B" w:rsidRPr="0091177B" w:rsidTr="0091177B">
        <w:trPr>
          <w:divId w:val="1798526622"/>
          <w:trHeight w:val="465"/>
        </w:trPr>
        <w:tc>
          <w:tcPr>
            <w:tcW w:w="3982" w:type="dxa"/>
            <w:shd w:val="clear" w:color="000000" w:fill="FFFFFF"/>
            <w:vAlign w:val="center"/>
            <w:hideMark/>
          </w:tcPr>
          <w:p w:rsidR="0091177B" w:rsidRPr="0091177B" w:rsidRDefault="0091177B" w:rsidP="00C777E9">
            <w:pPr>
              <w:spacing w:line="400" w:lineRule="exact"/>
              <w:rPr>
                <w:rFonts w:asciiTheme="minorEastAsia" w:hAnsiTheme="minorEastAsia" w:cs="Arial"/>
                <w:sz w:val="18"/>
                <w:szCs w:val="18"/>
              </w:rPr>
            </w:pPr>
            <w:r w:rsidRPr="0091177B">
              <w:rPr>
                <w:rFonts w:asciiTheme="minorEastAsia" w:hAnsiTheme="minorEastAsia" w:cs="Arial"/>
                <w:sz w:val="18"/>
                <w:szCs w:val="18"/>
              </w:rPr>
              <w:t>归属于母公司</w:t>
            </w:r>
            <w:r w:rsidR="00C777E9">
              <w:rPr>
                <w:rFonts w:asciiTheme="minorEastAsia" w:hAnsiTheme="minorEastAsia" w:cs="Arial"/>
                <w:sz w:val="18"/>
                <w:szCs w:val="18"/>
              </w:rPr>
              <w:t>股东</w:t>
            </w:r>
            <w:r w:rsidRPr="0091177B">
              <w:rPr>
                <w:rFonts w:asciiTheme="minorEastAsia" w:hAnsiTheme="minorEastAsia" w:cs="Arial"/>
                <w:sz w:val="18"/>
                <w:szCs w:val="18"/>
              </w:rPr>
              <w:t>的净利润</w:t>
            </w:r>
          </w:p>
        </w:tc>
        <w:tc>
          <w:tcPr>
            <w:tcW w:w="1843"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208,991,042.77</w:t>
            </w:r>
          </w:p>
        </w:tc>
        <w:tc>
          <w:tcPr>
            <w:tcW w:w="1629"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-12,182,838.70　</w:t>
            </w:r>
          </w:p>
        </w:tc>
        <w:tc>
          <w:tcPr>
            <w:tcW w:w="1676"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196,808,204.07</w:t>
            </w:r>
          </w:p>
        </w:tc>
      </w:tr>
      <w:tr w:rsidR="0091177B" w:rsidRPr="0091177B" w:rsidTr="0091177B">
        <w:trPr>
          <w:divId w:val="1798526622"/>
          <w:trHeight w:val="465"/>
        </w:trPr>
        <w:tc>
          <w:tcPr>
            <w:tcW w:w="3982" w:type="dxa"/>
            <w:shd w:val="clear" w:color="000000" w:fill="FFFFFF"/>
            <w:vAlign w:val="center"/>
            <w:hideMark/>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其他综合收益的税后净额</w:t>
            </w:r>
          </w:p>
        </w:tc>
        <w:tc>
          <w:tcPr>
            <w:tcW w:w="1843"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-20,572,244.32</w:t>
            </w:r>
          </w:p>
        </w:tc>
        <w:tc>
          <w:tcPr>
            <w:tcW w:w="1629"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29,973,417.26　</w:t>
            </w:r>
          </w:p>
        </w:tc>
        <w:tc>
          <w:tcPr>
            <w:tcW w:w="1676"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　9,401,172.94</w:t>
            </w:r>
          </w:p>
        </w:tc>
      </w:tr>
      <w:tr w:rsidR="0091177B" w:rsidRPr="0091177B" w:rsidTr="0091177B">
        <w:trPr>
          <w:divId w:val="1798526622"/>
          <w:trHeight w:val="465"/>
        </w:trPr>
        <w:tc>
          <w:tcPr>
            <w:tcW w:w="3982" w:type="dxa"/>
            <w:shd w:val="clear" w:color="000000" w:fill="FFFFFF"/>
            <w:vAlign w:val="center"/>
            <w:hideMark/>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归属母公司</w:t>
            </w:r>
            <w:bookmarkStart w:id="8" w:name="_GoBack"/>
            <w:r w:rsidRPr="0091177B">
              <w:rPr>
                <w:rFonts w:asciiTheme="minorEastAsia" w:hAnsiTheme="minorEastAsia" w:cs="Arial"/>
                <w:sz w:val="18"/>
                <w:szCs w:val="18"/>
              </w:rPr>
              <w:t>所有者</w:t>
            </w:r>
            <w:bookmarkEnd w:id="8"/>
            <w:r w:rsidRPr="0091177B">
              <w:rPr>
                <w:rFonts w:asciiTheme="minorEastAsia" w:hAnsiTheme="minorEastAsia" w:cs="Arial"/>
                <w:sz w:val="18"/>
                <w:szCs w:val="18"/>
              </w:rPr>
              <w:t>的其他综合收益的税后净额</w:t>
            </w:r>
          </w:p>
        </w:tc>
        <w:tc>
          <w:tcPr>
            <w:tcW w:w="1843"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-20,572,244.32</w:t>
            </w:r>
          </w:p>
        </w:tc>
        <w:tc>
          <w:tcPr>
            <w:tcW w:w="1629"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29,973,417.26　</w:t>
            </w:r>
          </w:p>
        </w:tc>
        <w:tc>
          <w:tcPr>
            <w:tcW w:w="1676" w:type="dxa"/>
            <w:shd w:val="clear" w:color="auto" w:fill="auto"/>
            <w:noWrap/>
            <w:vAlign w:val="center"/>
            <w:hideMark/>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　9,401,172.94</w:t>
            </w:r>
          </w:p>
        </w:tc>
      </w:tr>
      <w:tr w:rsidR="0091177B" w:rsidRPr="0091177B" w:rsidTr="0091177B">
        <w:trPr>
          <w:divId w:val="1798526622"/>
          <w:trHeight w:val="465"/>
        </w:trPr>
        <w:tc>
          <w:tcPr>
            <w:tcW w:w="3982" w:type="dxa"/>
            <w:shd w:val="clear" w:color="000000" w:fill="FFFFFF"/>
            <w:vAlign w:val="center"/>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将重分类进损益的其他综合收益</w:t>
            </w:r>
          </w:p>
        </w:tc>
        <w:tc>
          <w:tcPr>
            <w:tcW w:w="1843"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-20,572,244.32</w:t>
            </w:r>
          </w:p>
        </w:tc>
        <w:tc>
          <w:tcPr>
            <w:tcW w:w="1629"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29,973,417.26　</w:t>
            </w:r>
          </w:p>
        </w:tc>
        <w:tc>
          <w:tcPr>
            <w:tcW w:w="1676"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　9,401,172.94</w:t>
            </w:r>
          </w:p>
        </w:tc>
      </w:tr>
      <w:tr w:rsidR="0091177B" w:rsidRPr="0091177B" w:rsidTr="0091177B">
        <w:trPr>
          <w:divId w:val="1798526622"/>
          <w:trHeight w:val="465"/>
        </w:trPr>
        <w:tc>
          <w:tcPr>
            <w:tcW w:w="3982" w:type="dxa"/>
            <w:shd w:val="clear" w:color="000000" w:fill="FFFFFF"/>
            <w:vAlign w:val="center"/>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sz w:val="18"/>
                <w:szCs w:val="18"/>
              </w:rPr>
              <w:t>权益法下可转损益的其他综合收益</w:t>
            </w:r>
          </w:p>
        </w:tc>
        <w:tc>
          <w:tcPr>
            <w:tcW w:w="1843"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-20,572,244.32</w:t>
            </w:r>
          </w:p>
        </w:tc>
        <w:tc>
          <w:tcPr>
            <w:tcW w:w="1629"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29,973,417.26　</w:t>
            </w:r>
          </w:p>
        </w:tc>
        <w:tc>
          <w:tcPr>
            <w:tcW w:w="1676"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 xml:space="preserve">　9,401,172.94</w:t>
            </w:r>
          </w:p>
        </w:tc>
      </w:tr>
      <w:tr w:rsidR="0091177B" w:rsidRPr="00A21C03" w:rsidTr="0091177B">
        <w:trPr>
          <w:divId w:val="1798526622"/>
          <w:trHeight w:val="465"/>
        </w:trPr>
        <w:tc>
          <w:tcPr>
            <w:tcW w:w="3982" w:type="dxa"/>
            <w:shd w:val="clear" w:color="000000" w:fill="FFFFFF"/>
            <w:vAlign w:val="center"/>
            <w:hideMark/>
          </w:tcPr>
          <w:p w:rsidR="0091177B" w:rsidRPr="00A21C03" w:rsidRDefault="0091177B" w:rsidP="00D565CB">
            <w:pPr>
              <w:spacing w:line="400" w:lineRule="exact"/>
              <w:rPr>
                <w:rFonts w:asciiTheme="minorEastAsia" w:hAnsiTheme="minorEastAsia" w:cs="Arial"/>
                <w:sz w:val="18"/>
                <w:szCs w:val="18"/>
              </w:rPr>
            </w:pPr>
            <w:r w:rsidRPr="00A21C03">
              <w:rPr>
                <w:rFonts w:asciiTheme="minorEastAsia" w:hAnsiTheme="minorEastAsia" w:cs="Arial"/>
                <w:sz w:val="18"/>
                <w:szCs w:val="18"/>
              </w:rPr>
              <w:t>综合收益总额</w:t>
            </w:r>
          </w:p>
        </w:tc>
        <w:tc>
          <w:tcPr>
            <w:tcW w:w="1843" w:type="dxa"/>
            <w:shd w:val="clear" w:color="auto" w:fill="auto"/>
            <w:noWrap/>
            <w:vAlign w:val="center"/>
            <w:hideMark/>
          </w:tcPr>
          <w:p w:rsidR="0091177B" w:rsidRPr="00A21C03" w:rsidRDefault="0091177B" w:rsidP="00D565CB">
            <w:pPr>
              <w:spacing w:line="400" w:lineRule="exact"/>
              <w:jc w:val="right"/>
              <w:rPr>
                <w:rFonts w:asciiTheme="minorEastAsia" w:hAnsiTheme="minorEastAsia" w:cs="Arial"/>
                <w:sz w:val="18"/>
                <w:szCs w:val="18"/>
              </w:rPr>
            </w:pPr>
            <w:r w:rsidRPr="00A21C03">
              <w:rPr>
                <w:rFonts w:asciiTheme="minorEastAsia" w:hAnsiTheme="minorEastAsia" w:cs="Arial"/>
                <w:sz w:val="18"/>
                <w:szCs w:val="18"/>
              </w:rPr>
              <w:t>203,516,296.07</w:t>
            </w:r>
          </w:p>
        </w:tc>
        <w:tc>
          <w:tcPr>
            <w:tcW w:w="1629" w:type="dxa"/>
            <w:shd w:val="clear" w:color="auto" w:fill="auto"/>
            <w:noWrap/>
            <w:vAlign w:val="center"/>
            <w:hideMark/>
          </w:tcPr>
          <w:p w:rsidR="0091177B" w:rsidRPr="00A21C03" w:rsidRDefault="0091177B" w:rsidP="00D565CB">
            <w:pPr>
              <w:spacing w:line="400" w:lineRule="exact"/>
              <w:jc w:val="right"/>
              <w:rPr>
                <w:rFonts w:asciiTheme="minorEastAsia" w:hAnsiTheme="minorEastAsia" w:cs="Arial"/>
                <w:sz w:val="18"/>
                <w:szCs w:val="18"/>
              </w:rPr>
            </w:pPr>
            <w:r w:rsidRPr="00A21C03">
              <w:rPr>
                <w:rFonts w:asciiTheme="minorEastAsia" w:hAnsiTheme="minorEastAsia" w:cs="Arial"/>
                <w:sz w:val="18"/>
                <w:szCs w:val="18"/>
              </w:rPr>
              <w:t xml:space="preserve">17,790,578.56　</w:t>
            </w:r>
          </w:p>
        </w:tc>
        <w:tc>
          <w:tcPr>
            <w:tcW w:w="1676" w:type="dxa"/>
            <w:shd w:val="clear" w:color="auto" w:fill="auto"/>
            <w:noWrap/>
            <w:vAlign w:val="center"/>
            <w:hideMark/>
          </w:tcPr>
          <w:p w:rsidR="0091177B" w:rsidRPr="00A21C03" w:rsidRDefault="0091177B" w:rsidP="00D565CB">
            <w:pPr>
              <w:spacing w:line="400" w:lineRule="exact"/>
              <w:jc w:val="right"/>
              <w:rPr>
                <w:rFonts w:asciiTheme="minorEastAsia" w:hAnsiTheme="minorEastAsia" w:cs="Arial"/>
                <w:sz w:val="18"/>
                <w:szCs w:val="18"/>
              </w:rPr>
            </w:pPr>
            <w:r w:rsidRPr="00A21C03">
              <w:rPr>
                <w:rFonts w:asciiTheme="minorEastAsia" w:hAnsiTheme="minorEastAsia" w:cs="Arial"/>
                <w:sz w:val="18"/>
                <w:szCs w:val="18"/>
              </w:rPr>
              <w:t>221,306,874.63</w:t>
            </w:r>
          </w:p>
        </w:tc>
      </w:tr>
      <w:tr w:rsidR="0091177B" w:rsidRPr="00A21C03" w:rsidTr="0091177B">
        <w:trPr>
          <w:divId w:val="1798526622"/>
          <w:trHeight w:val="465"/>
        </w:trPr>
        <w:tc>
          <w:tcPr>
            <w:tcW w:w="3982" w:type="dxa"/>
            <w:shd w:val="clear" w:color="000000" w:fill="FFFFFF"/>
            <w:vAlign w:val="center"/>
            <w:hideMark/>
          </w:tcPr>
          <w:p w:rsidR="0091177B" w:rsidRPr="00A21C03" w:rsidRDefault="0091177B" w:rsidP="00C777E9">
            <w:pPr>
              <w:spacing w:line="400" w:lineRule="exact"/>
              <w:rPr>
                <w:rFonts w:asciiTheme="minorEastAsia" w:hAnsiTheme="minorEastAsia" w:cs="Arial"/>
                <w:sz w:val="18"/>
                <w:szCs w:val="18"/>
              </w:rPr>
            </w:pPr>
            <w:r w:rsidRPr="00A21C03">
              <w:rPr>
                <w:rFonts w:asciiTheme="minorEastAsia" w:hAnsiTheme="minorEastAsia" w:cs="Arial"/>
                <w:sz w:val="18"/>
                <w:szCs w:val="18"/>
              </w:rPr>
              <w:t>归属于母公司</w:t>
            </w:r>
            <w:r w:rsidR="00C777E9">
              <w:rPr>
                <w:rFonts w:asciiTheme="minorEastAsia" w:hAnsiTheme="minorEastAsia" w:cs="Arial"/>
                <w:sz w:val="18"/>
                <w:szCs w:val="18"/>
              </w:rPr>
              <w:t>股东</w:t>
            </w:r>
            <w:r w:rsidRPr="00A21C03">
              <w:rPr>
                <w:rFonts w:asciiTheme="minorEastAsia" w:hAnsiTheme="minorEastAsia" w:cs="Arial"/>
                <w:sz w:val="18"/>
                <w:szCs w:val="18"/>
              </w:rPr>
              <w:t>的综合收益总额</w:t>
            </w:r>
          </w:p>
        </w:tc>
        <w:tc>
          <w:tcPr>
            <w:tcW w:w="1843" w:type="dxa"/>
            <w:shd w:val="clear" w:color="auto" w:fill="auto"/>
            <w:noWrap/>
            <w:vAlign w:val="center"/>
            <w:hideMark/>
          </w:tcPr>
          <w:p w:rsidR="0091177B" w:rsidRPr="00A21C03" w:rsidRDefault="0091177B" w:rsidP="00D565CB">
            <w:pPr>
              <w:spacing w:line="400" w:lineRule="exact"/>
              <w:jc w:val="right"/>
              <w:rPr>
                <w:rFonts w:asciiTheme="minorEastAsia" w:hAnsiTheme="minorEastAsia" w:cs="Arial"/>
                <w:sz w:val="18"/>
                <w:szCs w:val="18"/>
              </w:rPr>
            </w:pPr>
            <w:r w:rsidRPr="00A21C03">
              <w:rPr>
                <w:rFonts w:asciiTheme="minorEastAsia" w:hAnsiTheme="minorEastAsia" w:cs="Arial"/>
                <w:sz w:val="18"/>
                <w:szCs w:val="18"/>
              </w:rPr>
              <w:t>188,418,798.45</w:t>
            </w:r>
          </w:p>
        </w:tc>
        <w:tc>
          <w:tcPr>
            <w:tcW w:w="1629" w:type="dxa"/>
            <w:shd w:val="clear" w:color="auto" w:fill="auto"/>
            <w:noWrap/>
            <w:vAlign w:val="center"/>
            <w:hideMark/>
          </w:tcPr>
          <w:p w:rsidR="0091177B" w:rsidRPr="00A21C03" w:rsidRDefault="0091177B" w:rsidP="00D565CB">
            <w:pPr>
              <w:spacing w:line="400" w:lineRule="exact"/>
              <w:jc w:val="right"/>
              <w:rPr>
                <w:rFonts w:asciiTheme="minorEastAsia" w:hAnsiTheme="minorEastAsia" w:cs="Arial"/>
                <w:sz w:val="18"/>
                <w:szCs w:val="18"/>
              </w:rPr>
            </w:pPr>
            <w:r w:rsidRPr="00A21C03">
              <w:rPr>
                <w:rFonts w:asciiTheme="minorEastAsia" w:hAnsiTheme="minorEastAsia" w:cs="Arial"/>
                <w:sz w:val="18"/>
                <w:szCs w:val="18"/>
              </w:rPr>
              <w:t xml:space="preserve">17,790,578.56　</w:t>
            </w:r>
          </w:p>
        </w:tc>
        <w:tc>
          <w:tcPr>
            <w:tcW w:w="1676" w:type="dxa"/>
            <w:shd w:val="clear" w:color="auto" w:fill="auto"/>
            <w:noWrap/>
            <w:vAlign w:val="center"/>
            <w:hideMark/>
          </w:tcPr>
          <w:p w:rsidR="0091177B" w:rsidRPr="00A21C03" w:rsidRDefault="0091177B" w:rsidP="00D565CB">
            <w:pPr>
              <w:spacing w:line="400" w:lineRule="exact"/>
              <w:jc w:val="right"/>
              <w:rPr>
                <w:rFonts w:asciiTheme="minorEastAsia" w:hAnsiTheme="minorEastAsia" w:cs="Arial"/>
                <w:sz w:val="18"/>
                <w:szCs w:val="18"/>
              </w:rPr>
            </w:pPr>
            <w:r w:rsidRPr="00A21C03">
              <w:rPr>
                <w:rFonts w:asciiTheme="minorEastAsia" w:hAnsiTheme="minorEastAsia" w:cs="Arial"/>
                <w:sz w:val="18"/>
                <w:szCs w:val="18"/>
              </w:rPr>
              <w:t>206,209,377.01</w:t>
            </w:r>
          </w:p>
        </w:tc>
      </w:tr>
      <w:tr w:rsidR="0091177B" w:rsidRPr="0091177B" w:rsidTr="0091177B">
        <w:trPr>
          <w:divId w:val="1798526622"/>
          <w:trHeight w:val="465"/>
        </w:trPr>
        <w:tc>
          <w:tcPr>
            <w:tcW w:w="3982" w:type="dxa"/>
            <w:shd w:val="clear" w:color="000000" w:fill="FFFFFF"/>
            <w:vAlign w:val="center"/>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hint="eastAsia"/>
                <w:sz w:val="18"/>
                <w:szCs w:val="18"/>
              </w:rPr>
              <w:t>基本每股收益</w:t>
            </w:r>
          </w:p>
        </w:tc>
        <w:tc>
          <w:tcPr>
            <w:tcW w:w="1843"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hint="eastAsia"/>
                <w:sz w:val="18"/>
                <w:szCs w:val="18"/>
              </w:rPr>
              <w:t>0</w:t>
            </w:r>
            <w:r w:rsidRPr="0091177B">
              <w:rPr>
                <w:rFonts w:asciiTheme="minorEastAsia" w:hAnsiTheme="minorEastAsia" w:cs="Arial"/>
                <w:sz w:val="18"/>
                <w:szCs w:val="18"/>
              </w:rPr>
              <w:t>.24</w:t>
            </w:r>
          </w:p>
        </w:tc>
        <w:tc>
          <w:tcPr>
            <w:tcW w:w="1629"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-0.02</w:t>
            </w:r>
          </w:p>
        </w:tc>
        <w:tc>
          <w:tcPr>
            <w:tcW w:w="1676"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hint="eastAsia"/>
                <w:sz w:val="18"/>
                <w:szCs w:val="18"/>
              </w:rPr>
              <w:t>0</w:t>
            </w:r>
            <w:r w:rsidRPr="0091177B">
              <w:rPr>
                <w:rFonts w:asciiTheme="minorEastAsia" w:hAnsiTheme="minorEastAsia" w:cs="Arial"/>
                <w:sz w:val="18"/>
                <w:szCs w:val="18"/>
              </w:rPr>
              <w:t>.22</w:t>
            </w:r>
          </w:p>
        </w:tc>
      </w:tr>
      <w:tr w:rsidR="0091177B" w:rsidRPr="0091177B" w:rsidTr="0091177B">
        <w:trPr>
          <w:divId w:val="1798526622"/>
          <w:trHeight w:val="465"/>
        </w:trPr>
        <w:tc>
          <w:tcPr>
            <w:tcW w:w="3982" w:type="dxa"/>
            <w:shd w:val="clear" w:color="000000" w:fill="FFFFFF"/>
            <w:vAlign w:val="center"/>
          </w:tcPr>
          <w:p w:rsidR="0091177B" w:rsidRPr="0091177B" w:rsidRDefault="0091177B" w:rsidP="00D565CB">
            <w:pPr>
              <w:spacing w:line="400" w:lineRule="exact"/>
              <w:rPr>
                <w:rFonts w:asciiTheme="minorEastAsia" w:hAnsiTheme="minorEastAsia" w:cs="Arial"/>
                <w:sz w:val="18"/>
                <w:szCs w:val="18"/>
              </w:rPr>
            </w:pPr>
            <w:r w:rsidRPr="0091177B">
              <w:rPr>
                <w:rFonts w:asciiTheme="minorEastAsia" w:hAnsiTheme="minorEastAsia" w:cs="Arial" w:hint="eastAsia"/>
                <w:sz w:val="18"/>
                <w:szCs w:val="18"/>
              </w:rPr>
              <w:t>稀释每股收益</w:t>
            </w:r>
          </w:p>
        </w:tc>
        <w:tc>
          <w:tcPr>
            <w:tcW w:w="1843"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hint="eastAsia"/>
                <w:sz w:val="18"/>
                <w:szCs w:val="18"/>
              </w:rPr>
              <w:t>0</w:t>
            </w:r>
            <w:r w:rsidRPr="0091177B">
              <w:rPr>
                <w:rFonts w:asciiTheme="minorEastAsia" w:hAnsiTheme="minorEastAsia" w:cs="Arial"/>
                <w:sz w:val="18"/>
                <w:szCs w:val="18"/>
              </w:rPr>
              <w:t>.24</w:t>
            </w:r>
          </w:p>
        </w:tc>
        <w:tc>
          <w:tcPr>
            <w:tcW w:w="1629"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sz w:val="18"/>
                <w:szCs w:val="18"/>
              </w:rPr>
              <w:t>-0.03</w:t>
            </w:r>
          </w:p>
        </w:tc>
        <w:tc>
          <w:tcPr>
            <w:tcW w:w="1676" w:type="dxa"/>
            <w:shd w:val="clear" w:color="auto" w:fill="auto"/>
            <w:noWrap/>
            <w:vAlign w:val="center"/>
          </w:tcPr>
          <w:p w:rsidR="0091177B" w:rsidRPr="0091177B" w:rsidRDefault="0091177B" w:rsidP="00D565CB">
            <w:pPr>
              <w:spacing w:line="400" w:lineRule="exact"/>
              <w:jc w:val="right"/>
              <w:rPr>
                <w:rFonts w:asciiTheme="minorEastAsia" w:hAnsiTheme="minorEastAsia" w:cs="Arial"/>
                <w:sz w:val="18"/>
                <w:szCs w:val="18"/>
              </w:rPr>
            </w:pPr>
            <w:r w:rsidRPr="0091177B">
              <w:rPr>
                <w:rFonts w:asciiTheme="minorEastAsia" w:hAnsiTheme="minorEastAsia" w:cs="Arial" w:hint="eastAsia"/>
                <w:sz w:val="18"/>
                <w:szCs w:val="18"/>
              </w:rPr>
              <w:t>0</w:t>
            </w:r>
            <w:r w:rsidRPr="0091177B">
              <w:rPr>
                <w:rFonts w:asciiTheme="minorEastAsia" w:hAnsiTheme="minorEastAsia" w:cs="Arial"/>
                <w:sz w:val="18"/>
                <w:szCs w:val="18"/>
              </w:rPr>
              <w:t>.21</w:t>
            </w:r>
          </w:p>
        </w:tc>
      </w:tr>
    </w:tbl>
    <w:p w:rsidR="0091177B" w:rsidRDefault="0091177B" w:rsidP="000C10FE">
      <w:pPr>
        <w:adjustRightInd w:val="0"/>
        <w:snapToGrid w:val="0"/>
        <w:spacing w:line="276" w:lineRule="auto"/>
        <w:ind w:firstLineChars="200" w:firstLine="360"/>
        <w:jc w:val="both"/>
        <w:divId w:val="1798526622"/>
        <w:rPr>
          <w:rFonts w:asciiTheme="minorEastAsia" w:hAnsiTheme="minorEastAsia" w:cs="Arial"/>
          <w:sz w:val="18"/>
          <w:szCs w:val="18"/>
        </w:rPr>
      </w:pPr>
    </w:p>
    <w:p w:rsidR="00572BCD" w:rsidRPr="00572BCD" w:rsidRDefault="00572BCD" w:rsidP="000C10FE">
      <w:pPr>
        <w:adjustRightInd w:val="0"/>
        <w:snapToGrid w:val="0"/>
        <w:spacing w:line="276" w:lineRule="auto"/>
        <w:ind w:firstLineChars="200" w:firstLine="360"/>
        <w:jc w:val="both"/>
        <w:divId w:val="1798526622"/>
        <w:rPr>
          <w:rFonts w:asciiTheme="minorEastAsia" w:hAnsiTheme="minorEastAsia" w:cs="Arial"/>
          <w:sz w:val="18"/>
          <w:szCs w:val="18"/>
        </w:rPr>
      </w:pPr>
      <w:r w:rsidRPr="00572BCD">
        <w:rPr>
          <w:rFonts w:asciiTheme="minorEastAsia" w:hAnsiTheme="minorEastAsia" w:cs="Arial" w:hint="eastAsia"/>
          <w:sz w:val="18"/>
          <w:szCs w:val="18"/>
        </w:rPr>
        <w:t>说明：上表中投资收益、其他综合收益更正金额为对索尔思光电长期股权投资权益法核算进行差错更正导致。</w:t>
      </w:r>
    </w:p>
    <w:p w:rsidR="00572BCD" w:rsidRPr="00572BCD" w:rsidRDefault="00572BCD" w:rsidP="000C10FE">
      <w:pPr>
        <w:adjustRightInd w:val="0"/>
        <w:snapToGrid w:val="0"/>
        <w:spacing w:line="276" w:lineRule="auto"/>
        <w:ind w:firstLineChars="200" w:firstLine="360"/>
        <w:jc w:val="both"/>
        <w:divId w:val="1798526622"/>
        <w:rPr>
          <w:rFonts w:asciiTheme="minorEastAsia" w:hAnsiTheme="minorEastAsia" w:cs="Arial"/>
          <w:sz w:val="18"/>
          <w:szCs w:val="18"/>
        </w:rPr>
      </w:pPr>
      <w:r w:rsidRPr="00572BCD">
        <w:rPr>
          <w:rFonts w:asciiTheme="minorEastAsia" w:hAnsiTheme="minorEastAsia" w:cs="Arial" w:hint="eastAsia"/>
          <w:sz w:val="18"/>
          <w:szCs w:val="18"/>
        </w:rPr>
        <w:t>（3）合并现金流量表项目</w:t>
      </w:r>
    </w:p>
    <w:p w:rsidR="00572BCD" w:rsidRPr="00572BCD" w:rsidRDefault="00572BCD" w:rsidP="000C10FE">
      <w:pPr>
        <w:adjustRightInd w:val="0"/>
        <w:snapToGrid w:val="0"/>
        <w:spacing w:line="276" w:lineRule="auto"/>
        <w:ind w:firstLineChars="200" w:firstLine="360"/>
        <w:jc w:val="both"/>
        <w:divId w:val="1798526622"/>
        <w:rPr>
          <w:rFonts w:asciiTheme="minorEastAsia" w:hAnsiTheme="minorEastAsia" w:cs="Arial"/>
          <w:sz w:val="18"/>
          <w:szCs w:val="18"/>
        </w:rPr>
      </w:pPr>
      <w:r w:rsidRPr="00572BCD">
        <w:rPr>
          <w:rFonts w:asciiTheme="minorEastAsia" w:hAnsiTheme="minorEastAsia" w:cs="Arial" w:hint="eastAsia"/>
          <w:sz w:val="18"/>
          <w:szCs w:val="18"/>
        </w:rPr>
        <w:t>本次差错更正对现金流量表没有影响。</w:t>
      </w:r>
    </w:p>
    <w:p w:rsidR="00572BCD" w:rsidRPr="00572BCD" w:rsidRDefault="00572BCD" w:rsidP="000C10FE">
      <w:pPr>
        <w:adjustRightInd w:val="0"/>
        <w:snapToGrid w:val="0"/>
        <w:spacing w:line="276" w:lineRule="auto"/>
        <w:ind w:firstLineChars="200" w:firstLine="360"/>
        <w:jc w:val="both"/>
        <w:divId w:val="1798526622"/>
        <w:rPr>
          <w:rFonts w:asciiTheme="minorEastAsia" w:hAnsiTheme="minorEastAsia" w:cs="Arial"/>
          <w:sz w:val="18"/>
          <w:szCs w:val="18"/>
        </w:rPr>
      </w:pPr>
      <w:r w:rsidRPr="00572BCD">
        <w:rPr>
          <w:rFonts w:asciiTheme="minorEastAsia" w:hAnsiTheme="minorEastAsia" w:cs="Arial" w:hint="eastAsia"/>
          <w:sz w:val="18"/>
          <w:szCs w:val="18"/>
        </w:rPr>
        <w:t>2、母公司财务报表</w:t>
      </w:r>
    </w:p>
    <w:p w:rsidR="00572BCD" w:rsidRPr="00572BCD" w:rsidRDefault="00572BCD" w:rsidP="000C10FE">
      <w:pPr>
        <w:adjustRightInd w:val="0"/>
        <w:snapToGrid w:val="0"/>
        <w:spacing w:line="276" w:lineRule="auto"/>
        <w:ind w:firstLineChars="200" w:firstLine="360"/>
        <w:jc w:val="both"/>
        <w:divId w:val="1798526622"/>
        <w:rPr>
          <w:rFonts w:asciiTheme="minorEastAsia" w:hAnsiTheme="minorEastAsia" w:cs="Arial"/>
          <w:sz w:val="18"/>
          <w:szCs w:val="18"/>
        </w:rPr>
      </w:pPr>
      <w:r w:rsidRPr="00572BCD">
        <w:rPr>
          <w:rFonts w:asciiTheme="minorEastAsia" w:hAnsiTheme="minorEastAsia" w:cs="Arial" w:hint="eastAsia"/>
          <w:sz w:val="18"/>
          <w:szCs w:val="18"/>
        </w:rPr>
        <w:t>本次差错更正对母公司资产负债表、母公司利润表、母公司现金流量表没有影响。</w:t>
      </w:r>
    </w:p>
    <w:p w:rsidR="00F25CD1" w:rsidRDefault="00DC21A6">
      <w:pPr>
        <w:keepNext/>
        <w:keepLines/>
        <w:spacing w:before="300" w:after="300" w:line="280" w:lineRule="exact"/>
        <w:outlineLvl w:val="3"/>
        <w:rPr>
          <w:rFonts w:ascii="宋体" w:eastAsia="宋体" w:hAnsi="宋体" w:cs="宋体"/>
          <w:b/>
          <w:bCs/>
          <w:sz w:val="18"/>
          <w:szCs w:val="18"/>
        </w:rPr>
      </w:pPr>
      <w:bookmarkStart w:id="9" w:name="_Toc988895"/>
      <w:r>
        <w:rPr>
          <w:rFonts w:ascii="宋体" w:eastAsia="宋体" w:hAnsi="宋体" w:cs="宋体"/>
          <w:b/>
          <w:bCs/>
          <w:sz w:val="18"/>
          <w:szCs w:val="18"/>
        </w:rPr>
        <w:t>（2） 分季度主要会计数据</w:t>
      </w:r>
      <w:bookmarkEnd w:id="9"/>
    </w:p>
    <w:p w:rsidR="00F25CD1" w:rsidRDefault="00DC21A6">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25CD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F25CD1"/>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第一季度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第二季度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第三季度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第四季度</w:t>
            </w:r>
          </w:p>
        </w:tc>
      </w:tr>
      <w:tr w:rsidR="00F25CD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673,285,142.37</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660,522,362.46</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731,951,050.22</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792,388,147.42</w:t>
            </w:r>
          </w:p>
        </w:tc>
      </w:tr>
      <w:tr w:rsidR="00F25CD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22,172,234.53</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22,204,835.79</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47,202,213.56</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-19,186,150.47</w:t>
            </w:r>
          </w:p>
        </w:tc>
      </w:tr>
      <w:tr w:rsidR="00F25CD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21,533,830.58</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20,796,835.84</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43,737,432.15</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-16,541,805.94</w:t>
            </w:r>
          </w:p>
        </w:tc>
      </w:tr>
      <w:tr w:rsidR="00F25CD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-156,012,177.82</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139,590,697.75</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6,160,183.38</w:t>
            </w:r>
          </w:p>
        </w:tc>
        <w:tc>
          <w:tcPr>
            <w:tcW w:w="192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-61,119,018.75</w:t>
            </w:r>
          </w:p>
        </w:tc>
      </w:tr>
    </w:tbl>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t>上述财务指标或其加总数是否与公司已披露季度报告、半年度报告相关财务指标存在重大差异</w:t>
      </w:r>
    </w:p>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25CD1" w:rsidRDefault="00DC21A6">
      <w:pPr>
        <w:pStyle w:val="3"/>
        <w:spacing w:line="280" w:lineRule="exact"/>
        <w:jc w:val="left"/>
        <w:rPr>
          <w:rFonts w:ascii="宋体" w:hAnsi="宋体" w:cs="宋体"/>
          <w:b/>
          <w:bCs/>
        </w:rPr>
      </w:pPr>
      <w:bookmarkStart w:id="10" w:name="_Toc988896"/>
      <w:r>
        <w:rPr>
          <w:rFonts w:ascii="宋体" w:hAnsi="宋体" w:cs="宋体"/>
          <w:b/>
          <w:bCs/>
        </w:rPr>
        <w:t>4、股本及股东情况</w:t>
      </w:r>
      <w:bookmarkEnd w:id="10"/>
    </w:p>
    <w:p w:rsidR="00F25CD1" w:rsidRDefault="00DC21A6">
      <w:pPr>
        <w:keepNext/>
        <w:keepLines/>
        <w:spacing w:before="300" w:after="300" w:line="280" w:lineRule="exact"/>
        <w:outlineLvl w:val="3"/>
        <w:rPr>
          <w:rFonts w:ascii="宋体" w:eastAsia="宋体" w:hAnsi="宋体" w:cs="宋体"/>
          <w:b/>
          <w:bCs/>
          <w:sz w:val="18"/>
          <w:szCs w:val="18"/>
        </w:rPr>
      </w:pPr>
      <w:bookmarkStart w:id="11" w:name="_Toc988897"/>
      <w:r>
        <w:rPr>
          <w:rFonts w:ascii="宋体" w:eastAsia="宋体" w:hAnsi="宋体" w:cs="宋体"/>
          <w:b/>
          <w:bCs/>
          <w:sz w:val="18"/>
          <w:szCs w:val="18"/>
        </w:rPr>
        <w:t>（1） 普通股股东和表决权恢复的优先股股东数量及前10名股东持股情况表</w:t>
      </w:r>
      <w:bookmarkEnd w:id="11"/>
    </w:p>
    <w:p w:rsidR="00F25CD1" w:rsidRDefault="00DC21A6">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22"/>
        <w:gridCol w:w="49"/>
        <w:gridCol w:w="1071"/>
        <w:gridCol w:w="1071"/>
        <w:gridCol w:w="1071"/>
        <w:gridCol w:w="1071"/>
        <w:gridCol w:w="1071"/>
        <w:gridCol w:w="1071"/>
        <w:gridCol w:w="1071"/>
      </w:tblGrid>
      <w:tr w:rsidR="00F25CD1">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95,780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年度报告披露日前一个月末普通股股东总数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88,734</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年度报告披露日前一个月末表决权恢复的优先股股东总数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trPr>
          <w:trHeight w:val="240"/>
        </w:trPr>
        <w:tc>
          <w:tcPr>
            <w:tcW w:w="9639" w:type="dxa"/>
            <w:gridSpan w:val="10"/>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F25CD1" w:rsidTr="00630333">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2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12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F25CD1" w:rsidTr="00630333">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F25CD1"/>
        </w:tc>
        <w:tc>
          <w:tcPr>
            <w:tcW w:w="102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F25CD1"/>
        </w:tc>
        <w:tc>
          <w:tcPr>
            <w:tcW w:w="112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F25CD1"/>
        </w:tc>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F25CD1"/>
        </w:tc>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F25CD1"/>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有限公司</w:t>
            </w:r>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俞慧军</w:t>
            </w:r>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2.65%</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23,500,000.00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元</w:t>
            </w:r>
            <w:proofErr w:type="gramStart"/>
            <w:r>
              <w:rPr>
                <w:rFonts w:ascii="宋体" w:eastAsia="宋体" w:hAnsi="宋体" w:cs="宋体"/>
                <w:sz w:val="18"/>
                <w:szCs w:val="18"/>
              </w:rPr>
              <w:t>元</w:t>
            </w:r>
            <w:proofErr w:type="gramEnd"/>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B94570">
            <w:pPr>
              <w:spacing w:line="240" w:lineRule="exact"/>
              <w:rPr>
                <w:rFonts w:ascii="宋体" w:eastAsia="宋体" w:hAnsi="宋体" w:cs="宋体"/>
                <w:sz w:val="18"/>
                <w:szCs w:val="18"/>
              </w:rPr>
            </w:pPr>
            <w:r>
              <w:rPr>
                <w:rFonts w:ascii="宋体" w:eastAsia="宋体" w:hAnsi="宋体" w:cs="宋体"/>
                <w:sz w:val="18"/>
                <w:szCs w:val="18"/>
              </w:rPr>
              <w:t>境外</w:t>
            </w:r>
            <w:r w:rsidR="00DC21A6">
              <w:rPr>
                <w:rFonts w:ascii="宋体" w:eastAsia="宋体" w:hAnsi="宋体" w:cs="宋体"/>
                <w:sz w:val="18"/>
                <w:szCs w:val="18"/>
              </w:rPr>
              <w:t>自然人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0.76%</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6,701,967.00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5,917,320.00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莫建军</w:t>
            </w:r>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5,900,000.00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3,393,373.00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聂鹏举</w:t>
            </w:r>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0.34%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3,022,800.00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陈杏英</w:t>
            </w:r>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2,500,000.00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rsidTr="0063033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proofErr w:type="gramStart"/>
            <w:r>
              <w:rPr>
                <w:rFonts w:ascii="宋体" w:eastAsia="宋体" w:hAnsi="宋体" w:cs="宋体"/>
                <w:sz w:val="18"/>
                <w:szCs w:val="18"/>
              </w:rPr>
              <w:t>李再荣</w:t>
            </w:r>
            <w:proofErr w:type="gramEnd"/>
          </w:p>
        </w:tc>
        <w:tc>
          <w:tcPr>
            <w:tcW w:w="1022"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120"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2,460,400.00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25CD1" w:rsidTr="00630333">
        <w:trPr>
          <w:trHeight w:val="240"/>
        </w:trPr>
        <w:tc>
          <w:tcPr>
            <w:tcW w:w="20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546" w:type="dxa"/>
            <w:gridSpan w:val="8"/>
            <w:tcBorders>
              <w:top w:val="single" w:sz="2" w:space="0" w:color="auto"/>
              <w:left w:val="single" w:sz="2" w:space="0" w:color="auto"/>
              <w:bottom w:val="single" w:sz="2" w:space="0" w:color="auto"/>
              <w:right w:val="single" w:sz="2" w:space="0" w:color="auto"/>
            </w:tcBorders>
            <w:vAlign w:val="center"/>
          </w:tcPr>
          <w:p w:rsidR="00F25CD1" w:rsidRDefault="00DC21A6" w:rsidP="00630333">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w:t>
            </w:r>
            <w:proofErr w:type="gramStart"/>
            <w:r>
              <w:rPr>
                <w:rFonts w:ascii="宋体" w:eastAsia="宋体" w:hAnsi="宋体" w:cs="宋体"/>
                <w:sz w:val="18"/>
                <w:szCs w:val="18"/>
              </w:rPr>
              <w:t>其一致</w:t>
            </w:r>
            <w:proofErr w:type="gramEnd"/>
            <w:r>
              <w:rPr>
                <w:rFonts w:ascii="宋体" w:eastAsia="宋体" w:hAnsi="宋体" w:cs="宋体"/>
                <w:sz w:val="18"/>
                <w:szCs w:val="18"/>
              </w:rPr>
              <w:t>行动情况。</w:t>
            </w:r>
          </w:p>
        </w:tc>
      </w:tr>
      <w:tr w:rsidR="00F25CD1" w:rsidTr="00630333">
        <w:trPr>
          <w:trHeight w:val="240"/>
        </w:trPr>
        <w:tc>
          <w:tcPr>
            <w:tcW w:w="20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参与融资融券业务股东情况说明（如有）</w:t>
            </w:r>
          </w:p>
        </w:tc>
        <w:tc>
          <w:tcPr>
            <w:tcW w:w="7546" w:type="dxa"/>
            <w:gridSpan w:val="8"/>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股东“俞慧军”通过信用交易担保证券账户持有公司股票23,500,000股。</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股东“元元”通过信用交易担保证券账户持有公司股票6,701,967股。</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股东“杨光勇”通过信用交易担保证券账户持有公司股票5,917,320股。</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股东“莫建军”通过信用交易担保证券账户持有公司股票5,900,000股。</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股东“聂鹏举”通过普通账户持有公司股票704,500股，通过信用交易担保证券账户持有公司股票2,318,300股。</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股东“陈杏英”通过信用交易担保证券账户持有公司股票2,500,000股。</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股东“李再荣”通过普通账户持有公司股票577,300股，通过信用交易担保证券账户持有公司股票1,883,100股。</w:t>
            </w:r>
          </w:p>
        </w:tc>
      </w:tr>
    </w:tbl>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t>前十名股东参与转融通业务出借股份情况</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t>前十名股东较上期发生变化</w:t>
      </w:r>
    </w:p>
    <w:p w:rsidR="00F25CD1" w:rsidRDefault="00DC21A6">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25CD1" w:rsidRDefault="00DC21A6">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6"/>
        <w:gridCol w:w="1608"/>
      </w:tblGrid>
      <w:tr w:rsidR="00F25CD1">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前十名股东较上期末发生变化情况</w:t>
            </w:r>
          </w:p>
        </w:tc>
      </w:tr>
      <w:tr w:rsidR="00F25CD1" w:rsidTr="00DC21A6">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股东名称（全称）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本报告期新增/退出</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期末转融通出借股份且尚未归还数量</w:t>
            </w:r>
          </w:p>
        </w:tc>
        <w:tc>
          <w:tcPr>
            <w:tcW w:w="321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期末股东普通账户、信用账户持股及转融通出借股份且尚未归还的股份数量</w:t>
            </w:r>
          </w:p>
        </w:tc>
      </w:tr>
      <w:tr w:rsidR="00F25CD1" w:rsidTr="00DC21A6">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F25CD1"/>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F25CD1"/>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数量合计</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占总股本的比例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数量合计</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F25CD1" w:rsidRDefault="00DC21A6">
            <w:pPr>
              <w:spacing w:before="40" w:after="40" w:line="240" w:lineRule="exact"/>
              <w:jc w:val="center"/>
              <w:rPr>
                <w:rFonts w:ascii="宋体" w:eastAsia="宋体" w:hAnsi="宋体" w:cs="宋体"/>
                <w:sz w:val="18"/>
                <w:szCs w:val="18"/>
              </w:rPr>
            </w:pPr>
            <w:r>
              <w:rPr>
                <w:rFonts w:ascii="宋体" w:eastAsia="宋体" w:hAnsi="宋体" w:cs="宋体"/>
                <w:sz w:val="18"/>
                <w:szCs w:val="18"/>
              </w:rPr>
              <w:t>占总股本的比例</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俞慧军</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23,500,000</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2.65%</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元</w:t>
            </w:r>
            <w:proofErr w:type="gramStart"/>
            <w:r>
              <w:rPr>
                <w:rFonts w:ascii="宋体" w:eastAsia="宋体" w:hAnsi="宋体" w:cs="宋体"/>
                <w:sz w:val="18"/>
                <w:szCs w:val="18"/>
              </w:rPr>
              <w:t>元</w:t>
            </w:r>
            <w:proofErr w:type="gramEnd"/>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6,701,967</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0.76%</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莫建军</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5,900,000</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0.67%</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3,393,373</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0.38%</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聂鹏举</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3,022,800</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0.34%</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陈杏英</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2,500,000</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0.28%</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proofErr w:type="gramStart"/>
            <w:r>
              <w:rPr>
                <w:rFonts w:ascii="宋体" w:eastAsia="宋体" w:hAnsi="宋体" w:cs="宋体"/>
                <w:sz w:val="18"/>
                <w:szCs w:val="18"/>
              </w:rPr>
              <w:t>李再荣</w:t>
            </w:r>
            <w:proofErr w:type="gramEnd"/>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新增</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2,460,400</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0.28%</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陈朝晖</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r>
      <w:tr w:rsidR="00F25CD1"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李蓬勃</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720,000</w:t>
            </w:r>
          </w:p>
        </w:tc>
        <w:tc>
          <w:tcPr>
            <w:tcW w:w="1608" w:type="dxa"/>
            <w:tcBorders>
              <w:top w:val="single" w:sz="2" w:space="0" w:color="auto"/>
              <w:left w:val="single" w:sz="2" w:space="0" w:color="auto"/>
              <w:bottom w:val="single" w:sz="2" w:space="0" w:color="auto"/>
              <w:right w:val="single" w:sz="2" w:space="0" w:color="auto"/>
            </w:tcBorders>
            <w:vAlign w:val="center"/>
          </w:tcPr>
          <w:p w:rsidR="00F25CD1" w:rsidRDefault="00DC21A6">
            <w:pPr>
              <w:spacing w:line="240" w:lineRule="exact"/>
              <w:jc w:val="right"/>
              <w:rPr>
                <w:rFonts w:ascii="宋体" w:eastAsia="宋体" w:hAnsi="宋体" w:cs="宋体"/>
                <w:sz w:val="18"/>
                <w:szCs w:val="18"/>
              </w:rPr>
            </w:pPr>
            <w:r>
              <w:rPr>
                <w:rFonts w:ascii="宋体" w:eastAsia="宋体" w:hAnsi="宋体" w:cs="宋体"/>
                <w:sz w:val="18"/>
                <w:szCs w:val="18"/>
              </w:rPr>
              <w:t>0.08%</w:t>
            </w:r>
          </w:p>
        </w:tc>
      </w:tr>
      <w:tr w:rsidR="00DC21A6"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黄跃</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c>
          <w:tcPr>
            <w:tcW w:w="1608"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r>
      <w:tr w:rsidR="00DC21A6"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李敏</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c>
          <w:tcPr>
            <w:tcW w:w="1608"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r>
      <w:tr w:rsidR="00DC21A6"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任海森</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c>
          <w:tcPr>
            <w:tcW w:w="1608"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r>
      <w:tr w:rsidR="00DC21A6"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王申安</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c>
          <w:tcPr>
            <w:tcW w:w="1608"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r>
      <w:tr w:rsidR="00DC21A6" w:rsidTr="00DC21A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沈加权</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rPr>
                <w:rFonts w:ascii="宋体" w:eastAsia="宋体" w:hAnsi="宋体" w:cs="宋体"/>
                <w:sz w:val="18"/>
                <w:szCs w:val="18"/>
              </w:rPr>
            </w:pPr>
            <w:r>
              <w:rPr>
                <w:rFonts w:ascii="宋体" w:eastAsia="宋体" w:hAnsi="宋体" w:cs="宋体"/>
                <w:sz w:val="18"/>
                <w:szCs w:val="18"/>
              </w:rPr>
              <w:t>退出</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7" w:type="dxa"/>
            <w:tcBorders>
              <w:top w:val="single" w:sz="2" w:space="0" w:color="auto"/>
              <w:left w:val="single" w:sz="2" w:space="0" w:color="auto"/>
              <w:bottom w:val="single" w:sz="2" w:space="0" w:color="auto"/>
              <w:right w:val="single" w:sz="2" w:space="0" w:color="auto"/>
            </w:tcBorders>
            <w:vAlign w:val="center"/>
          </w:tcPr>
          <w:p w:rsidR="00DC21A6" w:rsidRDefault="00DC21A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06"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c>
          <w:tcPr>
            <w:tcW w:w="1608" w:type="dxa"/>
            <w:tcBorders>
              <w:top w:val="single" w:sz="2" w:space="0" w:color="auto"/>
              <w:left w:val="single" w:sz="2" w:space="0" w:color="auto"/>
              <w:bottom w:val="single" w:sz="2" w:space="0" w:color="auto"/>
              <w:right w:val="single" w:sz="2" w:space="0" w:color="auto"/>
            </w:tcBorders>
            <w:vAlign w:val="center"/>
          </w:tcPr>
          <w:p w:rsidR="00DC21A6" w:rsidRDefault="00DC21A6" w:rsidP="00DC21A6">
            <w:pPr>
              <w:spacing w:line="240" w:lineRule="exact"/>
              <w:jc w:val="right"/>
              <w:rPr>
                <w:rFonts w:ascii="宋体" w:eastAsia="宋体" w:hAnsi="宋体" w:cs="宋体"/>
                <w:sz w:val="18"/>
                <w:szCs w:val="18"/>
              </w:rPr>
            </w:pPr>
            <w:r>
              <w:rPr>
                <w:rFonts w:ascii="宋体" w:eastAsia="宋体" w:hAnsi="宋体" w:cs="宋体"/>
                <w:sz w:val="18"/>
                <w:szCs w:val="18"/>
              </w:rPr>
              <w:t>未知</w:t>
            </w:r>
          </w:p>
        </w:tc>
      </w:tr>
    </w:tbl>
    <w:p w:rsidR="00DC21A6" w:rsidRPr="00DC21A6" w:rsidRDefault="00DC21A6">
      <w:pPr>
        <w:keepNext/>
        <w:keepLines/>
        <w:spacing w:before="300" w:after="300" w:line="280" w:lineRule="exact"/>
        <w:outlineLvl w:val="3"/>
        <w:rPr>
          <w:rFonts w:ascii="宋体" w:eastAsia="宋体" w:hAnsi="宋体" w:cs="宋体"/>
          <w:bCs/>
          <w:sz w:val="18"/>
          <w:szCs w:val="18"/>
        </w:rPr>
      </w:pPr>
      <w:bookmarkStart w:id="12" w:name="_Toc988898"/>
      <w:r w:rsidRPr="00DC21A6">
        <w:rPr>
          <w:rFonts w:ascii="宋体" w:eastAsia="宋体" w:hAnsi="宋体" w:cs="宋体" w:hint="eastAsia"/>
          <w:bCs/>
          <w:sz w:val="18"/>
          <w:szCs w:val="18"/>
        </w:rPr>
        <w:t>注：</w:t>
      </w:r>
      <w:r>
        <w:rPr>
          <w:rFonts w:ascii="宋体" w:eastAsia="宋体" w:hAnsi="宋体" w:cs="宋体" w:hint="eastAsia"/>
          <w:bCs/>
          <w:sz w:val="18"/>
          <w:szCs w:val="18"/>
        </w:rPr>
        <w:t>股东陈朝晖、黄跃、李敏、任海森、王申安、沈加权</w:t>
      </w:r>
      <w:r w:rsidRPr="00DC21A6">
        <w:rPr>
          <w:rFonts w:ascii="宋体" w:eastAsia="宋体" w:hAnsi="宋体" w:cs="宋体" w:hint="eastAsia"/>
          <w:bCs/>
          <w:sz w:val="18"/>
          <w:szCs w:val="18"/>
        </w:rPr>
        <w:t>未在中国证券登记结算有限责任公司下发的</w:t>
      </w:r>
      <w:proofErr w:type="gramStart"/>
      <w:r w:rsidRPr="00DC21A6">
        <w:rPr>
          <w:rFonts w:ascii="宋体" w:eastAsia="宋体" w:hAnsi="宋体" w:cs="宋体" w:hint="eastAsia"/>
          <w:bCs/>
          <w:sz w:val="18"/>
          <w:szCs w:val="18"/>
        </w:rPr>
        <w:t>期末前</w:t>
      </w:r>
      <w:proofErr w:type="gramEnd"/>
      <w:r w:rsidRPr="00DC21A6">
        <w:rPr>
          <w:rFonts w:ascii="宋体" w:eastAsia="宋体" w:hAnsi="宋体" w:cs="宋体" w:hint="eastAsia"/>
          <w:bCs/>
          <w:sz w:val="18"/>
          <w:szCs w:val="18"/>
        </w:rPr>
        <w:t>200名股东名册中，公司无对应数据</w:t>
      </w:r>
      <w:r>
        <w:rPr>
          <w:rFonts w:ascii="宋体" w:eastAsia="宋体" w:hAnsi="宋体" w:cs="宋体" w:hint="eastAsia"/>
          <w:bCs/>
          <w:sz w:val="18"/>
          <w:szCs w:val="18"/>
        </w:rPr>
        <w:t>查询</w:t>
      </w:r>
      <w:r w:rsidRPr="00DC21A6">
        <w:rPr>
          <w:rFonts w:ascii="宋体" w:eastAsia="宋体" w:hAnsi="宋体" w:cs="宋体" w:hint="eastAsia"/>
          <w:bCs/>
          <w:sz w:val="18"/>
          <w:szCs w:val="18"/>
        </w:rPr>
        <w:t>。</w:t>
      </w:r>
    </w:p>
    <w:p w:rsidR="00F25CD1" w:rsidRDefault="00DC21A6">
      <w:pPr>
        <w:keepNext/>
        <w:keepLines/>
        <w:spacing w:before="300" w:after="300" w:line="280" w:lineRule="exact"/>
        <w:outlineLvl w:val="3"/>
        <w:rPr>
          <w:rFonts w:ascii="宋体" w:eastAsia="宋体" w:hAnsi="宋体" w:cs="宋体"/>
          <w:b/>
          <w:bCs/>
          <w:sz w:val="18"/>
          <w:szCs w:val="18"/>
        </w:rPr>
      </w:pPr>
      <w:r>
        <w:rPr>
          <w:rFonts w:ascii="宋体" w:eastAsia="宋体" w:hAnsi="宋体" w:cs="宋体"/>
          <w:b/>
          <w:bCs/>
          <w:sz w:val="18"/>
          <w:szCs w:val="18"/>
        </w:rPr>
        <w:t>（2） 公司优先股股东总数及前10名优先股股东持股情况表</w:t>
      </w:r>
      <w:bookmarkEnd w:id="12"/>
    </w:p>
    <w:p w:rsidR="00F25CD1" w:rsidRDefault="00DC21A6">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t>公司报告期无优先股股东持股情况。</w:t>
      </w:r>
    </w:p>
    <w:p w:rsidR="00F25CD1" w:rsidRDefault="00DC21A6">
      <w:pPr>
        <w:keepNext/>
        <w:keepLines/>
        <w:spacing w:before="300" w:after="300" w:line="280" w:lineRule="exact"/>
        <w:outlineLvl w:val="3"/>
        <w:rPr>
          <w:rFonts w:ascii="宋体" w:eastAsia="宋体" w:hAnsi="宋体" w:cs="宋体"/>
          <w:b/>
          <w:bCs/>
          <w:sz w:val="18"/>
          <w:szCs w:val="18"/>
        </w:rPr>
      </w:pPr>
      <w:bookmarkStart w:id="13" w:name="_Toc988899"/>
      <w:r>
        <w:rPr>
          <w:rFonts w:ascii="宋体" w:eastAsia="宋体" w:hAnsi="宋体" w:cs="宋体"/>
          <w:b/>
          <w:bCs/>
          <w:sz w:val="18"/>
          <w:szCs w:val="18"/>
        </w:rPr>
        <w:t>（3） 以方框图形式披露公司与实际控制人之间的产权及控制关系</w:t>
      </w:r>
      <w:bookmarkEnd w:id="13"/>
    </w:p>
    <w:p w:rsidR="00F25CD1" w:rsidRDefault="00B94570">
      <w:pPr>
        <w:spacing w:before="40" w:after="40" w:line="0" w:lineRule="atLeast"/>
        <w:rPr>
          <w:rFonts w:ascii="Times New Roman" w:eastAsia="宋体" w:hAnsi="Times New Roman" w:cs="Times New Roman"/>
        </w:rPr>
      </w:pPr>
      <w:r w:rsidRPr="00CE6A96">
        <w:rPr>
          <w:noProof/>
        </w:rPr>
        <w:drawing>
          <wp:inline distT="0" distB="0" distL="0" distR="0" wp14:anchorId="0178220B" wp14:editId="78BEB917">
            <wp:extent cx="5036819" cy="32461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7876" cy="3253246"/>
                    </a:xfrm>
                    <a:prstGeom prst="rect">
                      <a:avLst/>
                    </a:prstGeom>
                    <a:noFill/>
                    <a:ln>
                      <a:noFill/>
                    </a:ln>
                  </pic:spPr>
                </pic:pic>
              </a:graphicData>
            </a:graphic>
          </wp:inline>
        </w:drawing>
      </w:r>
    </w:p>
    <w:p w:rsidR="00F25CD1" w:rsidRDefault="00DC21A6">
      <w:pPr>
        <w:pStyle w:val="3"/>
        <w:spacing w:line="280" w:lineRule="exact"/>
        <w:jc w:val="left"/>
        <w:rPr>
          <w:rFonts w:ascii="宋体" w:hAnsi="宋体" w:cs="宋体"/>
          <w:b/>
          <w:bCs/>
        </w:rPr>
      </w:pPr>
      <w:bookmarkStart w:id="14" w:name="_Toc988900"/>
      <w:r>
        <w:rPr>
          <w:rFonts w:ascii="宋体" w:hAnsi="宋体" w:cs="宋体"/>
          <w:b/>
          <w:bCs/>
        </w:rPr>
        <w:lastRenderedPageBreak/>
        <w:t>5、在年度报告批准报出日存续的债券情况</w:t>
      </w:r>
      <w:bookmarkEnd w:id="14"/>
    </w:p>
    <w:p w:rsidR="00F25CD1" w:rsidRDefault="00DC21A6">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25CD1" w:rsidRDefault="00DC21A6">
      <w:pPr>
        <w:pStyle w:val="2"/>
        <w:spacing w:before="300" w:after="300" w:line="320" w:lineRule="exact"/>
        <w:rPr>
          <w:rFonts w:ascii="宋体" w:eastAsia="宋体" w:hAnsi="宋体" w:cs="宋体"/>
          <w:b/>
          <w:bCs/>
          <w:sz w:val="24"/>
          <w:szCs w:val="24"/>
        </w:rPr>
      </w:pPr>
      <w:bookmarkStart w:id="15" w:name="_Toc988901"/>
      <w:r>
        <w:rPr>
          <w:rFonts w:ascii="宋体" w:eastAsia="宋体" w:hAnsi="宋体" w:cs="宋体"/>
          <w:b/>
          <w:bCs/>
          <w:sz w:val="24"/>
          <w:szCs w:val="24"/>
        </w:rPr>
        <w:t>三、重要事项</w:t>
      </w:r>
      <w:bookmarkEnd w:id="15"/>
    </w:p>
    <w:p w:rsidR="00DC21A6" w:rsidRDefault="00DC21A6" w:rsidP="000C10FE">
      <w:pPr>
        <w:pStyle w:val="a3"/>
        <w:spacing w:line="276" w:lineRule="auto"/>
        <w:ind w:firstLine="360"/>
        <w:jc w:val="both"/>
        <w:divId w:val="246430645"/>
        <w:rPr>
          <w:sz w:val="18"/>
          <w:szCs w:val="18"/>
        </w:rPr>
      </w:pPr>
      <w:r>
        <w:rPr>
          <w:rFonts w:hint="eastAsia"/>
          <w:sz w:val="18"/>
          <w:szCs w:val="18"/>
        </w:rPr>
        <w:t>2023年7月19日，公司实际控制人江阴市华士镇华西新市村村民委员会（以下简称</w:t>
      </w:r>
      <w:proofErr w:type="gramStart"/>
      <w:r>
        <w:rPr>
          <w:rFonts w:hint="eastAsia"/>
          <w:sz w:val="18"/>
          <w:szCs w:val="18"/>
        </w:rPr>
        <w:t>“</w:t>
      </w:r>
      <w:proofErr w:type="gramEnd"/>
      <w:r>
        <w:rPr>
          <w:rFonts w:hint="eastAsia"/>
          <w:sz w:val="18"/>
          <w:szCs w:val="18"/>
        </w:rPr>
        <w:t>华西村委会")与江阴联华优化调整产业投资合伙企业（有限合伙）签署了《关于江苏华西集团有限公司的股权转让协议》，华西村委会将其持有的江苏华西集团有限公司（以下简称“华西集团”）80%的股权转让给江阴联华优化调整产业投资合伙企业(有限合伙)。本次股权转让完成后，华西集团仍为公司控股股东，公司实际控制人由华西村委会变更为江阴市人民政府国有资产监督管理办公室。截至报告期末，该股权转让事项已经完成，公司实际控制人已由华西村委会变更为江阴市人民政府国有资产监督管理办公室。详见公司于2023年7月21日、8月26日、9月23日在《上海证券报》《证券时报》和巨潮资讯网（www.cninfo.com.cn）披露的《关于实际控制人拟发生变更的提示性公告》（公告编号：2023-031）、《详式权益变动报告书》、《关于实际控制人变更的进展公告》（公告编号：2023-035）、《关于实际控制人变更完成的公告》（公告编号：2023-040）等相关公告。</w:t>
      </w:r>
    </w:p>
    <w:p w:rsidR="00B94570" w:rsidRDefault="00B94570">
      <w:pPr>
        <w:pStyle w:val="a3"/>
        <w:spacing w:line="324" w:lineRule="auto"/>
        <w:ind w:firstLine="360"/>
        <w:jc w:val="both"/>
        <w:divId w:val="246430645"/>
        <w:rPr>
          <w:sz w:val="18"/>
          <w:szCs w:val="18"/>
        </w:rPr>
      </w:pPr>
    </w:p>
    <w:p w:rsidR="00630333" w:rsidRDefault="00630333">
      <w:pPr>
        <w:pStyle w:val="a3"/>
        <w:spacing w:line="324" w:lineRule="auto"/>
        <w:ind w:firstLine="360"/>
        <w:jc w:val="both"/>
        <w:divId w:val="246430645"/>
        <w:rPr>
          <w:sz w:val="18"/>
          <w:szCs w:val="18"/>
        </w:rPr>
      </w:pPr>
    </w:p>
    <w:p w:rsidR="00B94570" w:rsidRPr="00B94570" w:rsidRDefault="00B94570" w:rsidP="00B94570">
      <w:pPr>
        <w:widowControl/>
        <w:spacing w:before="100" w:beforeAutospacing="1" w:after="100" w:afterAutospacing="1"/>
        <w:divId w:val="246430645"/>
        <w:rPr>
          <w:rFonts w:ascii="宋体" w:eastAsia="宋体" w:hAnsi="宋体" w:cs="宋体"/>
          <w:b/>
          <w:kern w:val="0"/>
          <w:sz w:val="18"/>
          <w:szCs w:val="18"/>
        </w:rPr>
      </w:pPr>
      <w:r w:rsidRPr="00B94570">
        <w:rPr>
          <w:rFonts w:ascii="宋体" w:eastAsia="宋体" w:hAnsi="宋体" w:cs="宋体" w:hint="eastAsia"/>
          <w:b/>
          <w:kern w:val="0"/>
          <w:szCs w:val="21"/>
        </w:rPr>
        <w:t xml:space="preserve"> </w:t>
      </w:r>
      <w:r>
        <w:rPr>
          <w:rFonts w:ascii="宋体" w:eastAsia="宋体" w:hAnsi="宋体" w:cs="宋体" w:hint="eastAsia"/>
          <w:b/>
          <w:kern w:val="0"/>
          <w:szCs w:val="21"/>
        </w:rPr>
        <w:t xml:space="preserve">                                              </w:t>
      </w:r>
      <w:r w:rsidRPr="00B94570">
        <w:rPr>
          <w:rFonts w:ascii="宋体" w:eastAsia="宋体" w:hAnsi="宋体" w:cs="宋体" w:hint="eastAsia"/>
          <w:b/>
          <w:kern w:val="0"/>
          <w:sz w:val="18"/>
          <w:szCs w:val="18"/>
        </w:rPr>
        <w:t xml:space="preserve">   江苏华西村股份有限公司董事会</w:t>
      </w:r>
    </w:p>
    <w:p w:rsidR="00B94570" w:rsidRPr="00B94570" w:rsidRDefault="00B94570" w:rsidP="00B94570">
      <w:pPr>
        <w:widowControl/>
        <w:spacing w:before="100" w:beforeAutospacing="1" w:after="100" w:afterAutospacing="1"/>
        <w:divId w:val="246430645"/>
        <w:rPr>
          <w:rFonts w:ascii="宋体" w:eastAsia="宋体" w:hAnsi="宋体" w:cs="宋体"/>
          <w:b/>
          <w:kern w:val="0"/>
          <w:sz w:val="18"/>
          <w:szCs w:val="18"/>
        </w:rPr>
      </w:pPr>
      <w:r w:rsidRPr="00B94570">
        <w:rPr>
          <w:rFonts w:ascii="宋体" w:eastAsia="宋体" w:hAnsi="宋体" w:cs="宋体" w:hint="eastAsia"/>
          <w:b/>
          <w:kern w:val="0"/>
          <w:sz w:val="18"/>
          <w:szCs w:val="18"/>
        </w:rPr>
        <w:t xml:space="preserve">                                                       </w:t>
      </w:r>
      <w:r>
        <w:rPr>
          <w:rFonts w:ascii="宋体" w:eastAsia="宋体" w:hAnsi="宋体" w:cs="宋体" w:hint="eastAsia"/>
          <w:b/>
          <w:kern w:val="0"/>
          <w:sz w:val="18"/>
          <w:szCs w:val="18"/>
        </w:rPr>
        <w:t xml:space="preserve"> </w:t>
      </w:r>
      <w:r w:rsidRPr="00B94570">
        <w:rPr>
          <w:rFonts w:ascii="宋体" w:eastAsia="宋体" w:hAnsi="宋体" w:cs="宋体" w:hint="eastAsia"/>
          <w:b/>
          <w:kern w:val="0"/>
          <w:sz w:val="18"/>
          <w:szCs w:val="18"/>
        </w:rPr>
        <w:t xml:space="preserve">  </w:t>
      </w:r>
      <w:r>
        <w:rPr>
          <w:rFonts w:ascii="宋体" w:eastAsia="宋体" w:hAnsi="宋体" w:cs="宋体" w:hint="eastAsia"/>
          <w:b/>
          <w:kern w:val="0"/>
          <w:sz w:val="18"/>
          <w:szCs w:val="18"/>
        </w:rPr>
        <w:t xml:space="preserve">      </w:t>
      </w:r>
      <w:r w:rsidRPr="00B94570">
        <w:rPr>
          <w:rFonts w:ascii="宋体" w:eastAsia="宋体" w:hAnsi="宋体" w:cs="宋体" w:hint="eastAsia"/>
          <w:b/>
          <w:kern w:val="0"/>
          <w:sz w:val="18"/>
          <w:szCs w:val="18"/>
        </w:rPr>
        <w:t xml:space="preserve"> 董事长：吴协恩</w:t>
      </w:r>
    </w:p>
    <w:p w:rsidR="00B94570" w:rsidRPr="00B94570" w:rsidRDefault="00B94570" w:rsidP="00B94570">
      <w:pPr>
        <w:widowControl/>
        <w:spacing w:before="100" w:beforeAutospacing="1" w:after="100" w:afterAutospacing="1"/>
        <w:divId w:val="246430645"/>
        <w:rPr>
          <w:rFonts w:ascii="宋体" w:eastAsia="宋体" w:hAnsi="宋体" w:cs="宋体"/>
          <w:b/>
          <w:kern w:val="0"/>
          <w:sz w:val="18"/>
          <w:szCs w:val="18"/>
        </w:rPr>
      </w:pPr>
      <w:r w:rsidRPr="00B94570">
        <w:rPr>
          <w:rFonts w:ascii="宋体" w:eastAsia="宋体" w:hAnsi="宋体" w:cs="宋体" w:hint="eastAsia"/>
          <w:b/>
          <w:kern w:val="0"/>
          <w:sz w:val="18"/>
          <w:szCs w:val="18"/>
        </w:rPr>
        <w:t xml:space="preserve">                                                       </w:t>
      </w:r>
      <w:r>
        <w:rPr>
          <w:rFonts w:ascii="宋体" w:eastAsia="宋体" w:hAnsi="宋体" w:cs="宋体" w:hint="eastAsia"/>
          <w:b/>
          <w:kern w:val="0"/>
          <w:sz w:val="18"/>
          <w:szCs w:val="18"/>
        </w:rPr>
        <w:t xml:space="preserve">       </w:t>
      </w:r>
      <w:r w:rsidRPr="00B94570">
        <w:rPr>
          <w:rFonts w:ascii="宋体" w:eastAsia="宋体" w:hAnsi="宋体" w:cs="宋体" w:hint="eastAsia"/>
          <w:b/>
          <w:kern w:val="0"/>
          <w:sz w:val="18"/>
          <w:szCs w:val="18"/>
        </w:rPr>
        <w:t xml:space="preserve">   2024年4月30日</w:t>
      </w:r>
    </w:p>
    <w:p w:rsidR="00B94570" w:rsidRPr="00B94570" w:rsidRDefault="00B94570" w:rsidP="00B94570">
      <w:pPr>
        <w:widowControl/>
        <w:spacing w:before="100" w:beforeAutospacing="1" w:after="100" w:afterAutospacing="1"/>
        <w:divId w:val="246430645"/>
        <w:rPr>
          <w:rFonts w:ascii="宋体" w:eastAsia="宋体" w:hAnsi="宋体" w:cs="宋体"/>
          <w:kern w:val="0"/>
          <w:sz w:val="18"/>
          <w:szCs w:val="18"/>
        </w:rPr>
      </w:pPr>
    </w:p>
    <w:sectPr w:rsidR="00B94570" w:rsidRPr="00B94570">
      <w:headerReference w:type="default" r:id="rId8"/>
      <w:footerReference w:type="default" r:id="rId9"/>
      <w:pgSz w:w="11905" w:h="16840"/>
      <w:pgMar w:top="850" w:right="1134" w:bottom="85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48" w:rsidRDefault="009D6248">
      <w:r>
        <w:separator/>
      </w:r>
    </w:p>
  </w:endnote>
  <w:endnote w:type="continuationSeparator" w:id="0">
    <w:p w:rsidR="009D6248" w:rsidRDefault="009D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5CB" w:rsidRPr="000C10FE" w:rsidRDefault="00D565CB">
    <w:pPr>
      <w:pStyle w:val="fotter1"/>
      <w:rPr>
        <w:sz w:val="18"/>
        <w:szCs w:val="18"/>
      </w:rPr>
    </w:pPr>
    <w:r w:rsidRPr="000C10FE">
      <w:rPr>
        <w:sz w:val="18"/>
        <w:szCs w:val="18"/>
      </w:rPr>
      <w:fldChar w:fldCharType="begin"/>
    </w:r>
    <w:r w:rsidRPr="000C10FE">
      <w:rPr>
        <w:sz w:val="18"/>
        <w:szCs w:val="18"/>
      </w:rPr>
      <w:instrText>PAGE   \* MERGEFORMAT</w:instrText>
    </w:r>
    <w:r w:rsidRPr="000C10FE">
      <w:rPr>
        <w:sz w:val="18"/>
        <w:szCs w:val="18"/>
      </w:rPr>
      <w:fldChar w:fldCharType="separate"/>
    </w:r>
    <w:r w:rsidR="00C777E9">
      <w:rPr>
        <w:noProof/>
        <w:sz w:val="18"/>
        <w:szCs w:val="18"/>
      </w:rPr>
      <w:t>4</w:t>
    </w:r>
    <w:r w:rsidRPr="000C10F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48" w:rsidRDefault="009D6248">
      <w:r>
        <w:separator/>
      </w:r>
    </w:p>
  </w:footnote>
  <w:footnote w:type="continuationSeparator" w:id="0">
    <w:p w:rsidR="009D6248" w:rsidRDefault="009D6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5CB" w:rsidRDefault="00D565CB">
    <w:pPr>
      <w:pStyle w:val="Header1"/>
      <w:pBdr>
        <w:bottom w:val="single" w:sz="6" w:space="1" w:color="auto"/>
      </w:pBdr>
    </w:pPr>
    <w:r>
      <w:t>江苏华西村股份有限公司2023年年度报告摘要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25CD1"/>
    <w:rsid w:val="000C10FE"/>
    <w:rsid w:val="000E17E9"/>
    <w:rsid w:val="001C4A47"/>
    <w:rsid w:val="002E6C53"/>
    <w:rsid w:val="00322AB9"/>
    <w:rsid w:val="003C139B"/>
    <w:rsid w:val="004842B0"/>
    <w:rsid w:val="00572BCD"/>
    <w:rsid w:val="00630333"/>
    <w:rsid w:val="007840B7"/>
    <w:rsid w:val="008D1417"/>
    <w:rsid w:val="0091177B"/>
    <w:rsid w:val="009D6248"/>
    <w:rsid w:val="00A7309F"/>
    <w:rsid w:val="00AC3743"/>
    <w:rsid w:val="00B94570"/>
    <w:rsid w:val="00BC3455"/>
    <w:rsid w:val="00C02FD6"/>
    <w:rsid w:val="00C777E9"/>
    <w:rsid w:val="00CB18E4"/>
    <w:rsid w:val="00D1298B"/>
    <w:rsid w:val="00D565CB"/>
    <w:rsid w:val="00D81DA9"/>
    <w:rsid w:val="00DC21A6"/>
    <w:rsid w:val="00F2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center"/>
    </w:pPr>
    <w:rPr>
      <w:rFonts w:ascii="仿宋" w:eastAsia="仿宋"/>
      <w:szCs w:val="21"/>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DC21A6"/>
    <w:rPr>
      <w:sz w:val="18"/>
      <w:szCs w:val="18"/>
    </w:rPr>
  </w:style>
  <w:style w:type="character" w:customStyle="1" w:styleId="Char">
    <w:name w:val="批注框文本 Char"/>
    <w:basedOn w:val="a0"/>
    <w:link w:val="a5"/>
    <w:uiPriority w:val="99"/>
    <w:semiHidden/>
    <w:rsid w:val="00DC21A6"/>
    <w:rPr>
      <w:sz w:val="18"/>
      <w:szCs w:val="18"/>
    </w:rPr>
  </w:style>
  <w:style w:type="paragraph" w:styleId="a6">
    <w:name w:val="header"/>
    <w:basedOn w:val="a"/>
    <w:link w:val="Char0"/>
    <w:uiPriority w:val="99"/>
    <w:unhideWhenUsed/>
    <w:rsid w:val="000C10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C10FE"/>
    <w:rPr>
      <w:sz w:val="18"/>
      <w:szCs w:val="18"/>
    </w:rPr>
  </w:style>
  <w:style w:type="paragraph" w:styleId="a7">
    <w:name w:val="footer"/>
    <w:basedOn w:val="a"/>
    <w:link w:val="Char1"/>
    <w:uiPriority w:val="99"/>
    <w:unhideWhenUsed/>
    <w:rsid w:val="000C10FE"/>
    <w:pPr>
      <w:tabs>
        <w:tab w:val="center" w:pos="4153"/>
        <w:tab w:val="right" w:pos="8306"/>
      </w:tabs>
      <w:snapToGrid w:val="0"/>
    </w:pPr>
    <w:rPr>
      <w:sz w:val="18"/>
      <w:szCs w:val="18"/>
    </w:rPr>
  </w:style>
  <w:style w:type="character" w:customStyle="1" w:styleId="Char1">
    <w:name w:val="页脚 Char"/>
    <w:basedOn w:val="a0"/>
    <w:link w:val="a7"/>
    <w:uiPriority w:val="99"/>
    <w:rsid w:val="000C10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center"/>
    </w:pPr>
    <w:rPr>
      <w:rFonts w:ascii="仿宋" w:eastAsia="仿宋"/>
      <w:szCs w:val="21"/>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Balloon Text"/>
    <w:basedOn w:val="a"/>
    <w:link w:val="Char"/>
    <w:uiPriority w:val="99"/>
    <w:semiHidden/>
    <w:unhideWhenUsed/>
    <w:rsid w:val="00DC21A6"/>
    <w:rPr>
      <w:sz w:val="18"/>
      <w:szCs w:val="18"/>
    </w:rPr>
  </w:style>
  <w:style w:type="character" w:customStyle="1" w:styleId="Char">
    <w:name w:val="批注框文本 Char"/>
    <w:basedOn w:val="a0"/>
    <w:link w:val="a5"/>
    <w:uiPriority w:val="99"/>
    <w:semiHidden/>
    <w:rsid w:val="00DC21A6"/>
    <w:rPr>
      <w:sz w:val="18"/>
      <w:szCs w:val="18"/>
    </w:rPr>
  </w:style>
  <w:style w:type="paragraph" w:styleId="a6">
    <w:name w:val="header"/>
    <w:basedOn w:val="a"/>
    <w:link w:val="Char0"/>
    <w:uiPriority w:val="99"/>
    <w:unhideWhenUsed/>
    <w:rsid w:val="000C10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C10FE"/>
    <w:rPr>
      <w:sz w:val="18"/>
      <w:szCs w:val="18"/>
    </w:rPr>
  </w:style>
  <w:style w:type="paragraph" w:styleId="a7">
    <w:name w:val="footer"/>
    <w:basedOn w:val="a"/>
    <w:link w:val="Char1"/>
    <w:uiPriority w:val="99"/>
    <w:unhideWhenUsed/>
    <w:rsid w:val="000C10FE"/>
    <w:pPr>
      <w:tabs>
        <w:tab w:val="center" w:pos="4153"/>
        <w:tab w:val="right" w:pos="8306"/>
      </w:tabs>
      <w:snapToGrid w:val="0"/>
    </w:pPr>
    <w:rPr>
      <w:sz w:val="18"/>
      <w:szCs w:val="18"/>
    </w:rPr>
  </w:style>
  <w:style w:type="character" w:customStyle="1" w:styleId="Char1">
    <w:name w:val="页脚 Char"/>
    <w:basedOn w:val="a0"/>
    <w:link w:val="a7"/>
    <w:uiPriority w:val="99"/>
    <w:rsid w:val="000C10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7242">
      <w:bodyDiv w:val="1"/>
      <w:marLeft w:val="0"/>
      <w:marRight w:val="0"/>
      <w:marTop w:val="0"/>
      <w:marBottom w:val="0"/>
      <w:divBdr>
        <w:top w:val="none" w:sz="0" w:space="0" w:color="auto"/>
        <w:left w:val="none" w:sz="0" w:space="0" w:color="auto"/>
        <w:bottom w:val="none" w:sz="0" w:space="0" w:color="auto"/>
        <w:right w:val="none" w:sz="0" w:space="0" w:color="auto"/>
      </w:divBdr>
    </w:div>
    <w:div w:id="246430645">
      <w:bodyDiv w:val="1"/>
      <w:marLeft w:val="0"/>
      <w:marRight w:val="0"/>
      <w:marTop w:val="0"/>
      <w:marBottom w:val="0"/>
      <w:divBdr>
        <w:top w:val="none" w:sz="0" w:space="0" w:color="auto"/>
        <w:left w:val="none" w:sz="0" w:space="0" w:color="auto"/>
        <w:bottom w:val="none" w:sz="0" w:space="0" w:color="auto"/>
        <w:right w:val="none" w:sz="0" w:space="0" w:color="auto"/>
      </w:divBdr>
    </w:div>
    <w:div w:id="1798526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14</cp:revision>
  <cp:lastPrinted>2024-04-25T06:09:00Z</cp:lastPrinted>
  <dcterms:created xsi:type="dcterms:W3CDTF">2024-04-24T05:40:00Z</dcterms:created>
  <dcterms:modified xsi:type="dcterms:W3CDTF">2024-04-28T02:19:00Z</dcterms:modified>
</cp:coreProperties>
</file>