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33" w:rsidRPr="005B0417" w:rsidRDefault="00733E8B" w:rsidP="005B0417">
      <w:pPr>
        <w:spacing w:before="200" w:after="480" w:line="560" w:lineRule="exact"/>
        <w:jc w:val="center"/>
        <w:rPr>
          <w:rFonts w:ascii="宋体" w:eastAsia="宋体" w:hAnsi="宋体" w:cs="宋体"/>
          <w:szCs w:val="21"/>
        </w:rPr>
      </w:pPr>
      <w:r w:rsidRPr="005B0417">
        <w:rPr>
          <w:rFonts w:ascii="宋体" w:eastAsia="宋体" w:hAnsi="宋体" w:cs="宋体"/>
          <w:szCs w:val="21"/>
        </w:rPr>
        <w:t xml:space="preserve">证券代码：000936                证券简称：华西股份        </w:t>
      </w:r>
      <w:r w:rsidR="00CC6DB2">
        <w:rPr>
          <w:rFonts w:ascii="宋体" w:eastAsia="宋体" w:hAnsi="宋体" w:cs="宋体" w:hint="eastAsia"/>
          <w:szCs w:val="21"/>
        </w:rPr>
        <w:t xml:space="preserve"> </w:t>
      </w:r>
      <w:r w:rsidRPr="005B0417">
        <w:rPr>
          <w:rFonts w:ascii="宋体" w:eastAsia="宋体" w:hAnsi="宋体" w:cs="宋体"/>
          <w:szCs w:val="21"/>
        </w:rPr>
        <w:t xml:space="preserve">       公告编号：2023-051</w:t>
      </w:r>
    </w:p>
    <w:p w:rsidR="00D83F33" w:rsidRPr="00900F9A" w:rsidRDefault="00733E8B">
      <w:pPr>
        <w:spacing w:before="200" w:after="200" w:line="400" w:lineRule="exact"/>
        <w:jc w:val="center"/>
        <w:rPr>
          <w:rFonts w:ascii="黑体" w:eastAsia="黑体" w:hAnsi="黑体" w:cs="宋体"/>
          <w:b/>
          <w:bCs/>
          <w:sz w:val="32"/>
          <w:szCs w:val="32"/>
        </w:rPr>
      </w:pPr>
      <w:r w:rsidRPr="00900F9A">
        <w:rPr>
          <w:rFonts w:ascii="黑体" w:eastAsia="黑体" w:hAnsi="黑体" w:cs="宋体"/>
          <w:b/>
          <w:bCs/>
          <w:sz w:val="32"/>
          <w:szCs w:val="32"/>
        </w:rPr>
        <w:t>江苏华西村股份有限公司</w:t>
      </w:r>
    </w:p>
    <w:p w:rsidR="00D83F33" w:rsidRPr="00900F9A" w:rsidRDefault="00733E8B">
      <w:pPr>
        <w:spacing w:before="200" w:after="200" w:line="400" w:lineRule="exact"/>
        <w:jc w:val="center"/>
        <w:rPr>
          <w:rFonts w:ascii="黑体" w:eastAsia="黑体" w:hAnsi="黑体" w:cs="宋体"/>
          <w:b/>
          <w:bCs/>
          <w:sz w:val="32"/>
          <w:szCs w:val="32"/>
        </w:rPr>
      </w:pPr>
      <w:r w:rsidRPr="00900F9A">
        <w:rPr>
          <w:rFonts w:ascii="黑体" w:eastAsia="黑体" w:hAnsi="黑体" w:cs="宋体"/>
          <w:b/>
          <w:bCs/>
          <w:sz w:val="32"/>
          <w:szCs w:val="32"/>
        </w:rPr>
        <w:t>2023年第三季度报告</w:t>
      </w:r>
    </w:p>
    <w:p w:rsidR="002208ED" w:rsidRDefault="002208ED" w:rsidP="002208ED">
      <w:pPr>
        <w:adjustRightInd w:val="0"/>
        <w:snapToGrid w:val="0"/>
        <w:spacing w:line="360" w:lineRule="auto"/>
        <w:ind w:firstLineChars="200" w:firstLine="420"/>
        <w:rPr>
          <w:szCs w:val="21"/>
        </w:rPr>
      </w:pPr>
    </w:p>
    <w:p w:rsidR="002208ED" w:rsidRPr="000F341E" w:rsidRDefault="002208ED" w:rsidP="002208ED">
      <w:pPr>
        <w:adjustRightInd w:val="0"/>
        <w:snapToGrid w:val="0"/>
        <w:spacing w:line="360" w:lineRule="auto"/>
        <w:ind w:firstLineChars="200" w:firstLine="420"/>
        <w:rPr>
          <w:rFonts w:ascii="黑体" w:eastAsia="黑体" w:hAnsi="黑体" w:cs="宋体"/>
          <w:b/>
          <w:bCs/>
          <w:szCs w:val="21"/>
        </w:rPr>
      </w:pPr>
      <w:r w:rsidRPr="000F341E">
        <w:rPr>
          <w:rFonts w:hint="eastAsia"/>
          <w:szCs w:val="21"/>
        </w:rPr>
        <w:t>本公司及董事会全体成员保证信息披露的内容真实、准确、完整，没有虚假记载、误导性陈述或重大遗漏。</w:t>
      </w:r>
    </w:p>
    <w:p w:rsidR="002208ED" w:rsidRDefault="002208ED">
      <w:pPr>
        <w:spacing w:before="40" w:after="40" w:line="420" w:lineRule="exact"/>
        <w:rPr>
          <w:rFonts w:ascii="宋体" w:eastAsia="宋体" w:hAnsi="宋体" w:cs="宋体"/>
          <w:b/>
          <w:bCs/>
          <w:sz w:val="24"/>
          <w:szCs w:val="24"/>
        </w:rPr>
      </w:pPr>
    </w:p>
    <w:p w:rsidR="00D83F33" w:rsidRDefault="00733E8B">
      <w:pPr>
        <w:spacing w:before="40" w:after="40" w:line="420" w:lineRule="exact"/>
        <w:rPr>
          <w:rFonts w:ascii="宋体" w:eastAsia="宋体" w:hAnsi="宋体" w:cs="宋体"/>
          <w:b/>
          <w:bCs/>
          <w:sz w:val="24"/>
          <w:szCs w:val="24"/>
        </w:rPr>
      </w:pPr>
      <w:r>
        <w:rPr>
          <w:rFonts w:ascii="宋体" w:eastAsia="宋体" w:hAnsi="宋体" w:cs="宋体"/>
          <w:b/>
          <w:bCs/>
          <w:sz w:val="24"/>
          <w:szCs w:val="24"/>
        </w:rPr>
        <w:t>重要内容提示：</w:t>
      </w:r>
    </w:p>
    <w:p w:rsidR="00D83F33" w:rsidRDefault="00733E8B">
      <w:pPr>
        <w:spacing w:before="100" w:after="100" w:line="400" w:lineRule="exact"/>
        <w:rPr>
          <w:rFonts w:ascii="宋体" w:eastAsia="宋体" w:hAnsi="宋体" w:cs="宋体"/>
          <w:sz w:val="18"/>
          <w:szCs w:val="18"/>
        </w:rPr>
      </w:pPr>
      <w:r>
        <w:rPr>
          <w:rFonts w:ascii="宋体" w:eastAsia="宋体" w:hAnsi="宋体" w:cs="宋体"/>
          <w:sz w:val="18"/>
          <w:szCs w:val="18"/>
        </w:rPr>
        <w:t>1.董事会、监事会及董事、监事、高级管理人员保证季度报告的真实、准确、完整，不存在虚假记载、误导性陈述或重大遗漏，并承担个别和连带的法律责任。</w:t>
      </w:r>
    </w:p>
    <w:p w:rsidR="00D83F33" w:rsidRDefault="00733E8B">
      <w:pPr>
        <w:spacing w:before="100" w:after="100" w:line="400" w:lineRule="exact"/>
        <w:rPr>
          <w:rFonts w:ascii="宋体" w:eastAsia="宋体" w:hAnsi="宋体" w:cs="宋体"/>
          <w:sz w:val="18"/>
          <w:szCs w:val="18"/>
        </w:rPr>
      </w:pPr>
      <w:r>
        <w:rPr>
          <w:rFonts w:ascii="宋体" w:eastAsia="宋体" w:hAnsi="宋体" w:cs="宋体"/>
          <w:sz w:val="18"/>
          <w:szCs w:val="18"/>
        </w:rPr>
        <w:t>2.公司负责人、主管会计工作负责人及会计机构负责人(会计主管人员)声明：保证季度报告中财务信息的真实、准确、完整。</w:t>
      </w:r>
    </w:p>
    <w:p w:rsidR="00D83F33" w:rsidRDefault="00733E8B">
      <w:pPr>
        <w:spacing w:before="100" w:after="100" w:line="400" w:lineRule="exact"/>
        <w:rPr>
          <w:rFonts w:ascii="宋体" w:eastAsia="宋体" w:hAnsi="宋体" w:cs="宋体"/>
          <w:sz w:val="18"/>
          <w:szCs w:val="18"/>
        </w:rPr>
      </w:pPr>
      <w:r>
        <w:rPr>
          <w:rFonts w:ascii="宋体" w:eastAsia="宋体" w:hAnsi="宋体" w:cs="宋体"/>
          <w:sz w:val="18"/>
          <w:szCs w:val="18"/>
        </w:rPr>
        <w:t>3.第三季度报告是否经过审计</w:t>
      </w:r>
    </w:p>
    <w:p w:rsidR="00D83F33" w:rsidRDefault="00733E8B">
      <w:pPr>
        <w:spacing w:before="100" w:after="100" w:line="40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900F9A" w:rsidRDefault="00900F9A" w:rsidP="005B0417">
      <w:pPr>
        <w:rPr>
          <w:rFonts w:ascii="宋体" w:eastAsia="宋体" w:hAnsi="宋体" w:cs="宋体"/>
          <w:b/>
          <w:bCs/>
          <w:sz w:val="24"/>
          <w:szCs w:val="24"/>
        </w:rPr>
      </w:pPr>
      <w:bookmarkStart w:id="0" w:name="_Toc988889"/>
    </w:p>
    <w:p w:rsidR="00D83F33" w:rsidRDefault="00733E8B" w:rsidP="005B0417">
      <w:pPr>
        <w:rPr>
          <w:rFonts w:ascii="宋体" w:eastAsia="宋体" w:hAnsi="宋体" w:cs="宋体"/>
          <w:b/>
          <w:bCs/>
          <w:sz w:val="24"/>
          <w:szCs w:val="24"/>
        </w:rPr>
      </w:pPr>
      <w:r>
        <w:rPr>
          <w:rFonts w:ascii="宋体" w:eastAsia="宋体" w:hAnsi="宋体" w:cs="宋体"/>
          <w:b/>
          <w:bCs/>
          <w:sz w:val="24"/>
          <w:szCs w:val="24"/>
        </w:rPr>
        <w:t>一、主要财务数据</w:t>
      </w:r>
      <w:bookmarkEnd w:id="0"/>
    </w:p>
    <w:p w:rsidR="00D83F33" w:rsidRDefault="00733E8B">
      <w:pPr>
        <w:pStyle w:val="2"/>
        <w:spacing w:before="300" w:after="300" w:line="280" w:lineRule="exact"/>
        <w:rPr>
          <w:rFonts w:ascii="宋体" w:eastAsia="宋体" w:hAnsi="宋体" w:cs="宋体"/>
          <w:b/>
          <w:bCs/>
        </w:rPr>
      </w:pPr>
      <w:bookmarkStart w:id="1" w:name="_Toc988890"/>
      <w:r>
        <w:rPr>
          <w:rFonts w:ascii="宋体" w:eastAsia="宋体" w:hAnsi="宋体" w:cs="宋体"/>
          <w:b/>
          <w:bCs/>
        </w:rPr>
        <w:t>（一） 主要会计数据和财务指标</w:t>
      </w:r>
      <w:bookmarkEnd w:id="1"/>
    </w:p>
    <w:p w:rsidR="00D83F33" w:rsidRDefault="00733E8B">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D83F33" w:rsidRDefault="00733E8B">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本报告期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本报告期比上年同期增减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期末比上年同期增减</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731,951,050.22</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-1.03%</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2,065,758,555.05</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-6.82%</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47,202,213.56</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-3.52%</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91,579,283.88</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-37.98%</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43,737,432.15</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-10.92%</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86,068,098.57</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-41.57%</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-10,261,296.69</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91.26%</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-16.67%</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0.10</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-41.18%</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-16.67%</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0.10</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-41.18%</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0.93%</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5B0417">
            <w:pPr>
              <w:spacing w:line="240" w:lineRule="exact"/>
              <w:jc w:val="right"/>
              <w:rPr>
                <w:rFonts w:ascii="宋体" w:eastAsia="宋体" w:hAnsi="宋体" w:cs="宋体"/>
                <w:sz w:val="18"/>
                <w:szCs w:val="18"/>
              </w:rPr>
            </w:pPr>
            <w:r>
              <w:rPr>
                <w:rFonts w:ascii="宋体" w:eastAsia="宋体" w:hAnsi="宋体" w:cs="宋体"/>
                <w:sz w:val="18"/>
                <w:szCs w:val="18"/>
              </w:rPr>
              <w:t>减少了</w:t>
            </w:r>
            <w:r>
              <w:rPr>
                <w:rFonts w:ascii="宋体" w:eastAsia="宋体" w:hAnsi="宋体" w:cs="宋体" w:hint="eastAsia"/>
                <w:sz w:val="18"/>
                <w:szCs w:val="18"/>
              </w:rPr>
              <w:t>0.04个百分点</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1.80%</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5B0417">
            <w:pPr>
              <w:spacing w:line="240" w:lineRule="exact"/>
              <w:jc w:val="right"/>
              <w:rPr>
                <w:rFonts w:ascii="宋体" w:eastAsia="宋体" w:hAnsi="宋体" w:cs="宋体"/>
                <w:sz w:val="18"/>
                <w:szCs w:val="18"/>
              </w:rPr>
            </w:pPr>
            <w:r>
              <w:rPr>
                <w:rFonts w:ascii="宋体" w:eastAsia="宋体" w:hAnsi="宋体" w:cs="宋体"/>
                <w:sz w:val="18"/>
                <w:szCs w:val="18"/>
              </w:rPr>
              <w:t>减少了</w:t>
            </w:r>
            <w:r>
              <w:rPr>
                <w:rFonts w:ascii="宋体" w:eastAsia="宋体" w:hAnsi="宋体" w:cs="宋体" w:hint="eastAsia"/>
                <w:sz w:val="18"/>
                <w:szCs w:val="18"/>
              </w:rPr>
              <w:t>1.12个百分点</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本报告期末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上年度末</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lastRenderedPageBreak/>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6,561,082,638.44</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6,387,934,828.61</w:t>
            </w:r>
          </w:p>
        </w:tc>
        <w:tc>
          <w:tcPr>
            <w:tcW w:w="3856"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2.71%</w:t>
            </w:r>
          </w:p>
        </w:tc>
      </w:tr>
      <w:tr w:rsidR="00D83F33">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归属于上市公司股东的所有者权益（元）</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5,135,320,790.77</w:t>
            </w:r>
          </w:p>
        </w:tc>
        <w:tc>
          <w:tcPr>
            <w:tcW w:w="1928"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5,048,026,392.93</w:t>
            </w:r>
          </w:p>
        </w:tc>
        <w:tc>
          <w:tcPr>
            <w:tcW w:w="3856"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1.73%</w:t>
            </w:r>
          </w:p>
        </w:tc>
      </w:tr>
    </w:tbl>
    <w:p w:rsidR="00D83F33" w:rsidRDefault="00733E8B">
      <w:pPr>
        <w:pStyle w:val="2"/>
        <w:spacing w:before="300" w:after="300" w:line="280" w:lineRule="exact"/>
        <w:rPr>
          <w:rFonts w:ascii="宋体" w:eastAsia="宋体" w:hAnsi="宋体" w:cs="宋体"/>
          <w:b/>
          <w:bCs/>
        </w:rPr>
      </w:pPr>
      <w:bookmarkStart w:id="2" w:name="_Toc988891"/>
      <w:r>
        <w:rPr>
          <w:rFonts w:ascii="宋体" w:eastAsia="宋体" w:hAnsi="宋体" w:cs="宋体"/>
          <w:b/>
          <w:bCs/>
        </w:rPr>
        <w:t>（二） 非经常性损益项目和金额</w:t>
      </w:r>
      <w:bookmarkEnd w:id="2"/>
    </w:p>
    <w:p w:rsidR="00D83F33" w:rsidRDefault="00733E8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D83F3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年初</w:t>
            </w:r>
            <w:proofErr w:type="gramStart"/>
            <w:r>
              <w:rPr>
                <w:rFonts w:ascii="宋体" w:eastAsia="宋体" w:hAnsi="宋体" w:cs="宋体"/>
                <w:sz w:val="18"/>
                <w:szCs w:val="18"/>
              </w:rPr>
              <w:t>至报告</w:t>
            </w:r>
            <w:proofErr w:type="gramEnd"/>
            <w:r>
              <w:rPr>
                <w:rFonts w:ascii="宋体" w:eastAsia="宋体" w:hAnsi="宋体" w:cs="宋体"/>
                <w:sz w:val="18"/>
                <w:szCs w:val="18"/>
              </w:rPr>
              <w:t>期期末金额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说明</w:t>
            </w:r>
          </w:p>
        </w:tc>
      </w:tr>
      <w:tr w:rsidR="00D83F3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非流动资产处置损益（包括已计提资产减值准备的冲销部分）</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-22,216.08</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-277,410.79</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r>
      <w:tr w:rsidR="00D83F3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计入当期损益的政府补助（与公司正常经营业务密切相关，符合国家政策规定、按照一定标准定额或定量持续享受的政府补助除外）</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4,849,702.27</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6,488,881.02</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r>
      <w:tr w:rsidR="00D83F3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-207,777.64</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1,136,776.85</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r>
      <w:tr w:rsidR="00D83F3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减：所得税影响额</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1,154,927.14</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1,837,061.77</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r>
      <w:tr w:rsidR="00D83F33">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3,464,781.41</w:t>
            </w:r>
          </w:p>
        </w:tc>
        <w:tc>
          <w:tcPr>
            <w:tcW w:w="2410"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5,511,185.31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D83F33" w:rsidRDefault="00733E8B">
      <w:pPr>
        <w:spacing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D83F33" w:rsidRDefault="00733E8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83F33" w:rsidRDefault="00733E8B">
      <w:pPr>
        <w:spacing w:before="40" w:after="4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C951CE" w:rsidRDefault="00C951CE">
      <w:pPr>
        <w:spacing w:before="40" w:after="40" w:line="240" w:lineRule="exact"/>
        <w:rPr>
          <w:rFonts w:ascii="宋体" w:eastAsia="宋体" w:hAnsi="宋体" w:cs="宋体"/>
          <w:sz w:val="18"/>
          <w:szCs w:val="18"/>
        </w:rPr>
      </w:pPr>
    </w:p>
    <w:p w:rsidR="00D83F33" w:rsidRDefault="00733E8B">
      <w:pPr>
        <w:spacing w:before="40" w:after="4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D83F33" w:rsidRDefault="00733E8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涉及金额（元）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原因</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30,526,519.46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rsidP="00DF6D53">
            <w:pPr>
              <w:spacing w:line="240" w:lineRule="exact"/>
              <w:rPr>
                <w:rFonts w:ascii="宋体" w:eastAsia="宋体" w:hAnsi="宋体" w:cs="宋体"/>
                <w:sz w:val="18"/>
                <w:szCs w:val="18"/>
              </w:rPr>
            </w:pPr>
            <w:r>
              <w:rPr>
                <w:rFonts w:ascii="宋体" w:eastAsia="宋体" w:hAnsi="宋体" w:cs="宋体"/>
                <w:sz w:val="18"/>
                <w:szCs w:val="18"/>
              </w:rPr>
              <w:t>公司经营范围包括：创业投资；利用自有资产对外投资等。本期持有的交易性金融资产产生的公允价值变动损益，以及处置交易性金融资产和可供出售金融资产取得的投资收益均来自于公司及子公司，系公司的经常性损益。</w:t>
            </w:r>
          </w:p>
        </w:tc>
      </w:tr>
    </w:tbl>
    <w:p w:rsidR="00D83F33" w:rsidRDefault="00733E8B">
      <w:pPr>
        <w:pStyle w:val="2"/>
        <w:spacing w:before="300" w:after="300" w:line="280" w:lineRule="exact"/>
        <w:rPr>
          <w:rFonts w:ascii="宋体" w:eastAsia="宋体" w:hAnsi="宋体" w:cs="宋体"/>
          <w:b/>
          <w:bCs/>
        </w:rPr>
      </w:pPr>
      <w:bookmarkStart w:id="3" w:name="_Toc988892"/>
      <w:r>
        <w:rPr>
          <w:rFonts w:ascii="宋体" w:eastAsia="宋体" w:hAnsi="宋体" w:cs="宋体"/>
          <w:b/>
          <w:bCs/>
        </w:rPr>
        <w:t>（三） 主要会计数据和财务指标发生变动的情况及原因</w:t>
      </w:r>
      <w:bookmarkEnd w:id="3"/>
    </w:p>
    <w:p w:rsidR="00D83F33" w:rsidRDefault="00733E8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1、预付款项期末余额较年初数增加了182.81</w:t>
      </w:r>
      <w:r w:rsidR="00900F9A">
        <w:rPr>
          <w:rFonts w:cs="Times New Roman" w:hint="eastAsia"/>
          <w:sz w:val="18"/>
          <w:szCs w:val="18"/>
        </w:rPr>
        <w:t>%</w:t>
      </w:r>
      <w:r>
        <w:rPr>
          <w:rFonts w:cs="Times New Roman" w:hint="eastAsia"/>
          <w:sz w:val="18"/>
          <w:szCs w:val="18"/>
        </w:rPr>
        <w:t>，主要原因是期末预付的原材料款增加。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2、其他应收款期末余额较年初数增加了3,276.39万元，主要原因是期末增加了被投资单位宣告发放尚未收到的股利分配款3,273.93万元。</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3、在建工程期末余额较年初数增加了186.85</w:t>
      </w:r>
      <w:r w:rsidR="00900F9A">
        <w:rPr>
          <w:rFonts w:cs="Times New Roman" w:hint="eastAsia"/>
          <w:sz w:val="18"/>
          <w:szCs w:val="18"/>
        </w:rPr>
        <w:t>%</w:t>
      </w:r>
      <w:r>
        <w:rPr>
          <w:rFonts w:cs="Times New Roman" w:hint="eastAsia"/>
          <w:sz w:val="18"/>
          <w:szCs w:val="18"/>
        </w:rPr>
        <w:t>，主要原因是本期化纤厂增加了酯化蒸汽余热ORC发电等项目的投入。</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4、其他非流动资产期末余额较年初数增加了51.51%，主要原因是期末预付的长期资产构建款项增加。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5、预收款项期末余额较年初数减少了63.37</w:t>
      </w:r>
      <w:r w:rsidR="00900F9A">
        <w:rPr>
          <w:rFonts w:cs="Times New Roman" w:hint="eastAsia"/>
          <w:sz w:val="18"/>
          <w:szCs w:val="18"/>
        </w:rPr>
        <w:t>%</w:t>
      </w:r>
      <w:r>
        <w:rPr>
          <w:rFonts w:cs="Times New Roman" w:hint="eastAsia"/>
          <w:sz w:val="18"/>
          <w:szCs w:val="18"/>
        </w:rPr>
        <w:t>，主要原因是期末预收的</w:t>
      </w:r>
      <w:proofErr w:type="gramStart"/>
      <w:r>
        <w:rPr>
          <w:rFonts w:cs="Times New Roman" w:hint="eastAsia"/>
          <w:sz w:val="18"/>
          <w:szCs w:val="18"/>
        </w:rPr>
        <w:t>仓储款</w:t>
      </w:r>
      <w:proofErr w:type="gramEnd"/>
      <w:r>
        <w:rPr>
          <w:rFonts w:cs="Times New Roman" w:hint="eastAsia"/>
          <w:sz w:val="18"/>
          <w:szCs w:val="18"/>
        </w:rPr>
        <w:t>减少。</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6、合同负债期末余额较年初数增加了135.93%，主要原因是期末预收的销售合同货款增加。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7、应交税费期末余额较年初数减少了56.58%，主要原因是期末应交所得税减少。</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8、其他应付款期末余额较年初数增加了49.99%，主要原因是期末应付的保证金款项增加。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lastRenderedPageBreak/>
        <w:t>9、其他流动负债期末余额较年初数增加了43.88%，主要原因是期末待转销项税额增加。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10、其他综合收益期末余额较年初数增加了55.63%，主要原因是期末权益法下在被投资单位以后将重分类进损益的其他综合收益中享有的份额增加。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11、其他收益本期金额比上年同期增加了343.29%，主要原因是本期收到的政府补助款比上年同期增加。</w:t>
      </w:r>
    </w:p>
    <w:p w:rsidR="00622FA3" w:rsidRDefault="00622FA3" w:rsidP="00622FA3">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12、投资收益本期金额比上年同期减少了73.31</w:t>
      </w:r>
      <w:r w:rsidR="006179FB">
        <w:rPr>
          <w:rFonts w:cs="Times New Roman" w:hint="eastAsia"/>
          <w:sz w:val="18"/>
          <w:szCs w:val="18"/>
        </w:rPr>
        <w:t>%</w:t>
      </w:r>
      <w:r>
        <w:rPr>
          <w:rFonts w:cs="Times New Roman" w:hint="eastAsia"/>
          <w:sz w:val="18"/>
          <w:szCs w:val="18"/>
        </w:rPr>
        <w:t>，主要原因是本期权益法核算的长期股权投资收益和交易性金融资产在持有期间的投资收益比上年同期减少。</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13、公允价值变动收益本期金额比上年同期增加了208.88</w:t>
      </w:r>
      <w:r w:rsidR="00900F9A">
        <w:rPr>
          <w:rFonts w:cs="Times New Roman" w:hint="eastAsia"/>
          <w:sz w:val="18"/>
          <w:szCs w:val="18"/>
        </w:rPr>
        <w:t>%</w:t>
      </w:r>
      <w:r>
        <w:rPr>
          <w:rFonts w:cs="Times New Roman" w:hint="eastAsia"/>
          <w:sz w:val="18"/>
          <w:szCs w:val="18"/>
        </w:rPr>
        <w:t>，主要原因是本期持有的金融资产产生的公允价值变动收益比上年同期增加。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14、信用减值损失本期金额比上年同期增加了75.06</w:t>
      </w:r>
      <w:r w:rsidR="00900F9A">
        <w:rPr>
          <w:rFonts w:cs="Times New Roman" w:hint="eastAsia"/>
          <w:sz w:val="18"/>
          <w:szCs w:val="18"/>
        </w:rPr>
        <w:t>%</w:t>
      </w:r>
      <w:r>
        <w:rPr>
          <w:rFonts w:cs="Times New Roman" w:hint="eastAsia"/>
          <w:sz w:val="18"/>
          <w:szCs w:val="18"/>
        </w:rPr>
        <w:t>，主要原因是本期计提的坏账准备比上年同期减少。</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15、资产减值损失本期金额比上年同期减少了154.75%，主要原因是本期计提的存货跌价准备比上年同期增加。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16、营业外收入本期金额比上年同期增加了381.31%，主要原因是本期收到的赔偿款比上年同期增加。</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17、营业外支出本期金额比上年同期减少了45.24%，主要原因是本期支付的对外捐赠款比上年同期减少。</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18、经营活动产生的现金流量净额本期金额比上年同期金额增加了91.26</w:t>
      </w:r>
      <w:r w:rsidR="00900F9A">
        <w:rPr>
          <w:rFonts w:cs="Times New Roman" w:hint="eastAsia"/>
          <w:sz w:val="18"/>
          <w:szCs w:val="18"/>
        </w:rPr>
        <w:t>%</w:t>
      </w:r>
      <w:r>
        <w:rPr>
          <w:rFonts w:cs="Times New Roman" w:hint="eastAsia"/>
          <w:sz w:val="18"/>
          <w:szCs w:val="18"/>
        </w:rPr>
        <w:t>，主要原因是本期支付的各项税费款项比上年同期减少。</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19、投资活动产生的现金流量净额本期金额比上年同期金额减少了100.77</w:t>
      </w:r>
      <w:r w:rsidR="00900F9A">
        <w:rPr>
          <w:rFonts w:cs="Times New Roman" w:hint="eastAsia"/>
          <w:sz w:val="18"/>
          <w:szCs w:val="18"/>
        </w:rPr>
        <w:t>%</w:t>
      </w:r>
      <w:r>
        <w:rPr>
          <w:rFonts w:cs="Times New Roman" w:hint="eastAsia"/>
          <w:sz w:val="18"/>
          <w:szCs w:val="18"/>
        </w:rPr>
        <w:t>，主要原因是本期处置交易性金融资产收到的现金比上年同期减少。</w:t>
      </w:r>
    </w:p>
    <w:p w:rsidR="008316BC" w:rsidRDefault="00733E8B">
      <w:pPr>
        <w:pStyle w:val="a3"/>
        <w:spacing w:before="0" w:beforeAutospacing="0" w:after="0" w:afterAutospacing="0"/>
        <w:ind w:firstLine="425"/>
        <w:jc w:val="both"/>
        <w:divId w:val="1263103678"/>
        <w:rPr>
          <w:rFonts w:ascii="Times New Roman" w:hAnsi="Times New Roman" w:cs="Times New Roman"/>
          <w:sz w:val="18"/>
          <w:szCs w:val="18"/>
        </w:rPr>
      </w:pPr>
      <w:r>
        <w:rPr>
          <w:rFonts w:cs="Times New Roman" w:hint="eastAsia"/>
          <w:sz w:val="18"/>
          <w:szCs w:val="18"/>
        </w:rPr>
        <w:t>20、筹资活动产生的现金流量净额本期金额比上年同期金额增加了84.60</w:t>
      </w:r>
      <w:r w:rsidR="00900F9A">
        <w:rPr>
          <w:rFonts w:cs="Times New Roman" w:hint="eastAsia"/>
          <w:sz w:val="18"/>
          <w:szCs w:val="18"/>
        </w:rPr>
        <w:t>%</w:t>
      </w:r>
      <w:r>
        <w:rPr>
          <w:rFonts w:cs="Times New Roman" w:hint="eastAsia"/>
          <w:sz w:val="18"/>
          <w:szCs w:val="18"/>
        </w:rPr>
        <w:t>，主要原因是本期支付其他与筹资活动有关的现金比上年同期减少。</w:t>
      </w:r>
    </w:p>
    <w:p w:rsidR="00D83F33" w:rsidRDefault="00733E8B">
      <w:pPr>
        <w:pStyle w:val="headingh1"/>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二、股东信息</w:t>
      </w:r>
      <w:bookmarkEnd w:id="4"/>
    </w:p>
    <w:p w:rsidR="00D83F33" w:rsidRDefault="00733E8B">
      <w:pPr>
        <w:pStyle w:val="2"/>
        <w:spacing w:before="300" w:after="300" w:line="280" w:lineRule="exact"/>
        <w:rPr>
          <w:rFonts w:ascii="宋体" w:eastAsia="宋体" w:hAnsi="宋体" w:cs="宋体"/>
          <w:b/>
          <w:bCs/>
        </w:rPr>
      </w:pPr>
      <w:bookmarkStart w:id="5" w:name="_Toc988894"/>
      <w:r>
        <w:rPr>
          <w:rFonts w:ascii="宋体" w:eastAsia="宋体" w:hAnsi="宋体" w:cs="宋体"/>
          <w:b/>
          <w:bCs/>
        </w:rPr>
        <w:t>（一） 普通股股东总数和表决权恢复的优先股股东数量及前十名股东持股情况表</w:t>
      </w:r>
      <w:bookmarkEnd w:id="5"/>
    </w:p>
    <w:p w:rsidR="00D83F33" w:rsidRDefault="00733E8B">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106,624</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rsidP="00900F9A">
            <w:pPr>
              <w:spacing w:line="240" w:lineRule="exact"/>
              <w:rPr>
                <w:rFonts w:ascii="宋体" w:eastAsia="宋体" w:hAnsi="宋体" w:cs="宋体"/>
                <w:sz w:val="18"/>
                <w:szCs w:val="18"/>
              </w:rPr>
            </w:pPr>
            <w:r>
              <w:rPr>
                <w:rFonts w:ascii="宋体" w:eastAsia="宋体" w:hAnsi="宋体" w:cs="宋体"/>
                <w:sz w:val="18"/>
                <w:szCs w:val="18"/>
              </w:rPr>
              <w:t>报告期末表决权恢复的优先股股东总数</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D83F33">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前10名股东持股情况</w:t>
            </w:r>
          </w:p>
        </w:tc>
      </w:tr>
      <w:tr w:rsidR="00D83F33">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持股数量</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D83F33">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境内非国有法人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29.34%</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国有法人</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9.27%</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质押</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20,000,000</w:t>
            </w: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俞慧军</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3.37%</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29,900,000.00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境外法人</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0.83%</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7,382,224.00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0.67%</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5,909,507.00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广发证券股份有限公司－国</w:t>
            </w:r>
            <w:proofErr w:type="gramStart"/>
            <w:r>
              <w:rPr>
                <w:rFonts w:ascii="宋体" w:eastAsia="宋体" w:hAnsi="宋体" w:cs="宋体"/>
                <w:sz w:val="18"/>
                <w:szCs w:val="18"/>
              </w:rPr>
              <w:t>融融盛龙头严选</w:t>
            </w:r>
            <w:proofErr w:type="gramEnd"/>
            <w:r>
              <w:rPr>
                <w:rFonts w:ascii="宋体" w:eastAsia="宋体" w:hAnsi="宋体" w:cs="宋体"/>
                <w:sz w:val="18"/>
                <w:szCs w:val="18"/>
              </w:rPr>
              <w:t>混合型证券投资基金</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0.41%</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3,617,700.00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裴红伟</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0.38%</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3,365,000.00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建信基金－建设银行－中国人寿－中国人</w:t>
            </w:r>
            <w:proofErr w:type="gramStart"/>
            <w:r>
              <w:rPr>
                <w:rFonts w:ascii="宋体" w:eastAsia="宋体" w:hAnsi="宋体" w:cs="宋体"/>
                <w:sz w:val="18"/>
                <w:szCs w:val="18"/>
              </w:rPr>
              <w:t>寿委托建</w:t>
            </w:r>
            <w:proofErr w:type="gramEnd"/>
            <w:r>
              <w:rPr>
                <w:rFonts w:ascii="宋体" w:eastAsia="宋体" w:hAnsi="宋体" w:cs="宋体"/>
                <w:sz w:val="18"/>
                <w:szCs w:val="18"/>
              </w:rPr>
              <w:t>信基金公司股票型组合</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2,555,800.00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proofErr w:type="gramStart"/>
            <w:r>
              <w:rPr>
                <w:rFonts w:ascii="宋体" w:eastAsia="宋体" w:hAnsi="宋体" w:cs="宋体"/>
                <w:sz w:val="18"/>
                <w:szCs w:val="18"/>
              </w:rPr>
              <w:t>李再荣</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0.27%</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2,360,400.00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lastRenderedPageBreak/>
              <w:t>张继松</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0.26%</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2,288,294.00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w:t>
            </w:r>
          </w:p>
        </w:tc>
      </w:tr>
      <w:tr w:rsidR="00D83F33">
        <w:trPr>
          <w:trHeight w:val="240"/>
        </w:trPr>
        <w:tc>
          <w:tcPr>
            <w:tcW w:w="275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4131"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股份种类及数量</w:t>
            </w:r>
          </w:p>
        </w:tc>
      </w:tr>
      <w:tr w:rsidR="00D83F33">
        <w:trPr>
          <w:trHeight w:val="240"/>
        </w:trPr>
        <w:tc>
          <w:tcPr>
            <w:tcW w:w="275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4131"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数量</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江苏华西集团有限公司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260,000,000.00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260,000,000</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江阴</w:t>
            </w:r>
            <w:proofErr w:type="gramStart"/>
            <w:r>
              <w:rPr>
                <w:rFonts w:ascii="宋体" w:eastAsia="宋体" w:hAnsi="宋体" w:cs="宋体"/>
                <w:sz w:val="18"/>
                <w:szCs w:val="18"/>
              </w:rPr>
              <w:t>市凝秀建设</w:t>
            </w:r>
            <w:proofErr w:type="gramEnd"/>
            <w:r>
              <w:rPr>
                <w:rFonts w:ascii="宋体" w:eastAsia="宋体" w:hAnsi="宋体" w:cs="宋体"/>
                <w:sz w:val="18"/>
                <w:szCs w:val="18"/>
              </w:rPr>
              <w:t>投资发展有限公司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82,129,483.00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82,129,483</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俞慧军</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29,900,000.00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29,900,000</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7,382,224.00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7,382,224</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proofErr w:type="gramStart"/>
            <w:r>
              <w:rPr>
                <w:rFonts w:ascii="宋体" w:eastAsia="宋体" w:hAnsi="宋体" w:cs="宋体"/>
                <w:sz w:val="18"/>
                <w:szCs w:val="18"/>
              </w:rPr>
              <w:t>杨光勇</w:t>
            </w:r>
            <w:proofErr w:type="gramEnd"/>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5,909,507.00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5,909,507</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广发证券股份有限公司－国</w:t>
            </w:r>
            <w:proofErr w:type="gramStart"/>
            <w:r>
              <w:rPr>
                <w:rFonts w:ascii="宋体" w:eastAsia="宋体" w:hAnsi="宋体" w:cs="宋体"/>
                <w:sz w:val="18"/>
                <w:szCs w:val="18"/>
              </w:rPr>
              <w:t>融融盛龙头严选</w:t>
            </w:r>
            <w:proofErr w:type="gramEnd"/>
            <w:r>
              <w:rPr>
                <w:rFonts w:ascii="宋体" w:eastAsia="宋体" w:hAnsi="宋体" w:cs="宋体"/>
                <w:sz w:val="18"/>
                <w:szCs w:val="18"/>
              </w:rPr>
              <w:t>混合型证券投资基金</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3,617,700.00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3,617,700</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裴红伟</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3,365,000.00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3,365,000</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建信基金－建设银行－中国人寿－中国人</w:t>
            </w:r>
            <w:proofErr w:type="gramStart"/>
            <w:r>
              <w:rPr>
                <w:rFonts w:ascii="宋体" w:eastAsia="宋体" w:hAnsi="宋体" w:cs="宋体"/>
                <w:sz w:val="18"/>
                <w:szCs w:val="18"/>
              </w:rPr>
              <w:t>寿委托建</w:t>
            </w:r>
            <w:proofErr w:type="gramEnd"/>
            <w:r>
              <w:rPr>
                <w:rFonts w:ascii="宋体" w:eastAsia="宋体" w:hAnsi="宋体" w:cs="宋体"/>
                <w:sz w:val="18"/>
                <w:szCs w:val="18"/>
              </w:rPr>
              <w:t>信基金公司股票型组合</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2,555,800.00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2,555,800</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proofErr w:type="gramStart"/>
            <w:r>
              <w:rPr>
                <w:rFonts w:ascii="宋体" w:eastAsia="宋体" w:hAnsi="宋体" w:cs="宋体"/>
                <w:sz w:val="18"/>
                <w:szCs w:val="18"/>
              </w:rPr>
              <w:t>李再荣</w:t>
            </w:r>
            <w:proofErr w:type="gramEnd"/>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2,360,400.00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2,360,400</w:t>
            </w:r>
          </w:p>
        </w:tc>
      </w:tr>
      <w:tr w:rsidR="00D83F33">
        <w:trPr>
          <w:trHeight w:val="240"/>
        </w:trPr>
        <w:tc>
          <w:tcPr>
            <w:tcW w:w="2754" w:type="dxa"/>
            <w:gridSpan w:val="2"/>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张继松</w:t>
            </w:r>
          </w:p>
        </w:tc>
        <w:tc>
          <w:tcPr>
            <w:tcW w:w="4131" w:type="dxa"/>
            <w:gridSpan w:val="3"/>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2,288,294.00</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1377"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2,288,294</w:t>
            </w:r>
          </w:p>
        </w:tc>
      </w:tr>
      <w:tr w:rsidR="00D83F33">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5508" w:type="dxa"/>
            <w:gridSpan w:val="4"/>
            <w:tcBorders>
              <w:top w:val="single" w:sz="2" w:space="0" w:color="auto"/>
              <w:left w:val="single" w:sz="2" w:space="0" w:color="auto"/>
              <w:bottom w:val="single" w:sz="2" w:space="0" w:color="auto"/>
              <w:right w:val="single" w:sz="2" w:space="0" w:color="auto"/>
            </w:tcBorders>
            <w:vAlign w:val="center"/>
          </w:tcPr>
          <w:p w:rsidR="00D83F33" w:rsidRDefault="00733E8B" w:rsidP="00900F9A">
            <w:pPr>
              <w:spacing w:line="240" w:lineRule="exact"/>
              <w:jc w:val="both"/>
              <w:rPr>
                <w:rFonts w:ascii="宋体" w:eastAsia="宋体" w:hAnsi="宋体" w:cs="宋体"/>
                <w:sz w:val="18"/>
                <w:szCs w:val="18"/>
              </w:rPr>
            </w:pPr>
            <w:r>
              <w:rPr>
                <w:rFonts w:ascii="宋体" w:eastAsia="宋体" w:hAnsi="宋体" w:cs="宋体"/>
                <w:sz w:val="18"/>
                <w:szCs w:val="18"/>
              </w:rPr>
              <w:t>公司控股股东江苏华西集团有限公司与前十名股东之间不存在关联关系，也不属于一致行动人。未知其他股东之间是否存在关联关系，也未知</w:t>
            </w:r>
            <w:proofErr w:type="gramStart"/>
            <w:r>
              <w:rPr>
                <w:rFonts w:ascii="宋体" w:eastAsia="宋体" w:hAnsi="宋体" w:cs="宋体"/>
                <w:sz w:val="18"/>
                <w:szCs w:val="18"/>
              </w:rPr>
              <w:t>其一致</w:t>
            </w:r>
            <w:proofErr w:type="gramEnd"/>
            <w:r>
              <w:rPr>
                <w:rFonts w:ascii="宋体" w:eastAsia="宋体" w:hAnsi="宋体" w:cs="宋体"/>
                <w:sz w:val="18"/>
                <w:szCs w:val="18"/>
              </w:rPr>
              <w:t>行动情况。</w:t>
            </w:r>
          </w:p>
        </w:tc>
      </w:tr>
      <w:tr w:rsidR="00D83F33">
        <w:trPr>
          <w:trHeight w:val="240"/>
        </w:trPr>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rsidP="00900F9A">
            <w:pPr>
              <w:spacing w:line="240" w:lineRule="exact"/>
              <w:rPr>
                <w:rFonts w:ascii="宋体" w:eastAsia="宋体" w:hAnsi="宋体" w:cs="宋体"/>
                <w:sz w:val="18"/>
                <w:szCs w:val="18"/>
              </w:rPr>
            </w:pPr>
            <w:r>
              <w:rPr>
                <w:rFonts w:ascii="宋体" w:eastAsia="宋体" w:hAnsi="宋体" w:cs="宋体"/>
                <w:sz w:val="18"/>
                <w:szCs w:val="18"/>
              </w:rPr>
              <w:t>前10名股东参与融资融券业务情况说明</w:t>
            </w:r>
          </w:p>
        </w:tc>
        <w:tc>
          <w:tcPr>
            <w:tcW w:w="5508" w:type="dxa"/>
            <w:gridSpan w:val="4"/>
            <w:tcBorders>
              <w:top w:val="single" w:sz="2" w:space="0" w:color="auto"/>
              <w:left w:val="single" w:sz="2" w:space="0" w:color="auto"/>
              <w:bottom w:val="single" w:sz="2" w:space="0" w:color="auto"/>
              <w:right w:val="single" w:sz="2" w:space="0" w:color="auto"/>
            </w:tcBorders>
            <w:vAlign w:val="center"/>
          </w:tcPr>
          <w:p w:rsidR="00D83F33" w:rsidRDefault="00733E8B" w:rsidP="006646A2">
            <w:pPr>
              <w:spacing w:line="240" w:lineRule="exact"/>
              <w:jc w:val="both"/>
              <w:rPr>
                <w:rFonts w:ascii="宋体" w:eastAsia="宋体" w:hAnsi="宋体" w:cs="宋体"/>
                <w:sz w:val="18"/>
                <w:szCs w:val="18"/>
              </w:rPr>
            </w:pPr>
            <w:r>
              <w:rPr>
                <w:rFonts w:ascii="宋体" w:eastAsia="宋体" w:hAnsi="宋体" w:cs="宋体"/>
                <w:sz w:val="18"/>
                <w:szCs w:val="18"/>
              </w:rPr>
              <w:t>股东“俞慧军”通过信用交易担保证券账户持有公司股票29,900,000股。</w:t>
            </w:r>
          </w:p>
          <w:p w:rsidR="00D83F33" w:rsidRDefault="00733E8B" w:rsidP="006646A2">
            <w:pPr>
              <w:spacing w:line="240" w:lineRule="exact"/>
              <w:jc w:val="both"/>
              <w:rPr>
                <w:rFonts w:ascii="宋体" w:eastAsia="宋体" w:hAnsi="宋体" w:cs="宋体"/>
                <w:sz w:val="18"/>
                <w:szCs w:val="18"/>
              </w:rPr>
            </w:pPr>
            <w:r>
              <w:rPr>
                <w:rFonts w:ascii="宋体" w:eastAsia="宋体" w:hAnsi="宋体" w:cs="宋体"/>
                <w:sz w:val="18"/>
                <w:szCs w:val="18"/>
              </w:rPr>
              <w:t>股东“杨光勇”通过信用交易担保证券账户持有公司股票5,909,507股。</w:t>
            </w:r>
          </w:p>
          <w:p w:rsidR="00D83F33" w:rsidRDefault="00733E8B" w:rsidP="006646A2">
            <w:pPr>
              <w:spacing w:line="240" w:lineRule="exact"/>
              <w:jc w:val="both"/>
              <w:rPr>
                <w:rFonts w:ascii="宋体" w:eastAsia="宋体" w:hAnsi="宋体" w:cs="宋体"/>
                <w:sz w:val="18"/>
                <w:szCs w:val="18"/>
              </w:rPr>
            </w:pPr>
            <w:r>
              <w:rPr>
                <w:rFonts w:ascii="宋体" w:eastAsia="宋体" w:hAnsi="宋体" w:cs="宋体"/>
                <w:sz w:val="18"/>
                <w:szCs w:val="18"/>
              </w:rPr>
              <w:t>股东“李再荣”通过普通账户持有公司股票577,300股，通过信用交易担保证券账户持有公司股票1,783,100股。</w:t>
            </w:r>
          </w:p>
        </w:tc>
      </w:tr>
    </w:tbl>
    <w:p w:rsidR="00D83F33" w:rsidRDefault="00733E8B">
      <w:pPr>
        <w:pStyle w:val="2"/>
        <w:spacing w:before="300" w:after="300" w:line="280" w:lineRule="exact"/>
        <w:rPr>
          <w:rFonts w:ascii="宋体" w:eastAsia="宋体" w:hAnsi="宋体" w:cs="宋体"/>
          <w:b/>
          <w:bCs/>
        </w:rPr>
      </w:pPr>
      <w:bookmarkStart w:id="6" w:name="_Toc988895"/>
      <w:r>
        <w:rPr>
          <w:rFonts w:ascii="宋体" w:eastAsia="宋体" w:hAnsi="宋体" w:cs="宋体"/>
          <w:b/>
          <w:bCs/>
        </w:rPr>
        <w:t>（二） 公司优先股股东总数及前10名优先股股东持股情况表</w:t>
      </w:r>
      <w:bookmarkEnd w:id="6"/>
    </w:p>
    <w:p w:rsidR="00D83F33" w:rsidRDefault="00733E8B">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83F33" w:rsidRDefault="00733E8B">
      <w:pPr>
        <w:pStyle w:val="headingh1"/>
        <w:spacing w:before="300" w:after="300" w:line="320" w:lineRule="exact"/>
        <w:rPr>
          <w:rFonts w:ascii="宋体" w:eastAsia="宋体" w:hAnsi="宋体" w:cs="宋体"/>
          <w:b/>
          <w:bCs/>
          <w:sz w:val="24"/>
          <w:szCs w:val="24"/>
        </w:rPr>
      </w:pPr>
      <w:bookmarkStart w:id="7" w:name="_Toc988896"/>
      <w:r>
        <w:rPr>
          <w:rFonts w:ascii="宋体" w:eastAsia="宋体" w:hAnsi="宋体" w:cs="宋体"/>
          <w:b/>
          <w:bCs/>
          <w:sz w:val="24"/>
          <w:szCs w:val="24"/>
        </w:rPr>
        <w:t>三、其他重要事项</w:t>
      </w:r>
      <w:bookmarkEnd w:id="7"/>
    </w:p>
    <w:p w:rsidR="00D83F33" w:rsidRDefault="00733E8B">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316BC" w:rsidRDefault="00733E8B" w:rsidP="00900F9A">
      <w:pPr>
        <w:pStyle w:val="a3"/>
        <w:spacing w:line="324" w:lineRule="auto"/>
        <w:ind w:firstLineChars="200" w:firstLine="360"/>
        <w:jc w:val="both"/>
        <w:divId w:val="177547544"/>
        <w:rPr>
          <w:sz w:val="18"/>
          <w:szCs w:val="18"/>
        </w:rPr>
      </w:pPr>
      <w:r>
        <w:rPr>
          <w:rFonts w:hint="eastAsia"/>
          <w:sz w:val="18"/>
          <w:szCs w:val="18"/>
        </w:rPr>
        <w:t>2023年7月19日，公司实际控制人江阴市华士镇华西新市村村民委员会（以下简称</w:t>
      </w:r>
      <w:proofErr w:type="gramStart"/>
      <w:r>
        <w:rPr>
          <w:rFonts w:hint="eastAsia"/>
          <w:sz w:val="18"/>
          <w:szCs w:val="18"/>
        </w:rPr>
        <w:t>“</w:t>
      </w:r>
      <w:proofErr w:type="gramEnd"/>
      <w:r>
        <w:rPr>
          <w:rFonts w:hint="eastAsia"/>
          <w:sz w:val="18"/>
          <w:szCs w:val="18"/>
        </w:rPr>
        <w:t>华西村委会")与江阴联华优化调整产业投资合伙企业（有限合伙）签署了《关于江苏华西集团有限公司的股权转让协议》，华西村委会拟将其持有的</w:t>
      </w:r>
      <w:r w:rsidR="00E77EFA">
        <w:rPr>
          <w:rFonts w:hint="eastAsia"/>
          <w:sz w:val="18"/>
          <w:szCs w:val="18"/>
        </w:rPr>
        <w:t>江苏</w:t>
      </w:r>
      <w:r>
        <w:rPr>
          <w:rFonts w:hint="eastAsia"/>
          <w:sz w:val="18"/>
          <w:szCs w:val="18"/>
        </w:rPr>
        <w:t>华西集团</w:t>
      </w:r>
      <w:r w:rsidR="00E77EFA">
        <w:rPr>
          <w:rFonts w:hint="eastAsia"/>
          <w:sz w:val="18"/>
          <w:szCs w:val="18"/>
        </w:rPr>
        <w:t>有限公司（以下简称“华西集团”）</w:t>
      </w:r>
      <w:r>
        <w:rPr>
          <w:rFonts w:hint="eastAsia"/>
          <w:sz w:val="18"/>
          <w:szCs w:val="18"/>
        </w:rPr>
        <w:t>80%的股权转让给江阴联华优化调整产业投资合伙企业(有限合伙)。本次股权转让完成后，华西集团仍为公司控股股东，公司实际控制人将由华西村委会变更为江阴市人民政府国有资产监督管理办公室。截至报告期末，该股权转让事项已经完成，公司实际控制人已由华西村委会变更为江阴市人民政府国有资产监督管理办公室。详见公司于2023年7月21日、8月26日、9月23日在《上海证券报》《证券时报》和巨潮资讯网（www.cninfo.com.cn）披露的《关于实际控制人拟发生变更的提示性公告》（公告编号：2023-031）、《详式权益变动报告书》、《关于实际控制人变更的进展公告》（公告编号：2023-035）、《关于实际控制人变更完成的公告》（公告编号：2023-040）等相关公告。</w:t>
      </w:r>
    </w:p>
    <w:p w:rsidR="00900F9A" w:rsidRDefault="00900F9A" w:rsidP="00900F9A">
      <w:pPr>
        <w:pStyle w:val="a3"/>
        <w:ind w:firstLineChars="200" w:firstLine="480"/>
        <w:divId w:val="177547544"/>
      </w:pPr>
    </w:p>
    <w:p w:rsidR="00D83F33" w:rsidRDefault="00733E8B">
      <w:pPr>
        <w:pStyle w:val="headingh1"/>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lastRenderedPageBreak/>
        <w:t>四、季度财务报表</w:t>
      </w:r>
      <w:bookmarkEnd w:id="8"/>
    </w:p>
    <w:p w:rsidR="00D83F33" w:rsidRDefault="00733E8B">
      <w:pPr>
        <w:pStyle w:val="2"/>
        <w:spacing w:before="300" w:after="300" w:line="280" w:lineRule="exact"/>
        <w:rPr>
          <w:rFonts w:ascii="宋体" w:eastAsia="宋体" w:hAnsi="宋体" w:cs="宋体"/>
          <w:b/>
          <w:bCs/>
        </w:rPr>
      </w:pPr>
      <w:bookmarkStart w:id="9" w:name="_Toc988898"/>
      <w:r>
        <w:rPr>
          <w:rFonts w:ascii="宋体" w:eastAsia="宋体" w:hAnsi="宋体" w:cs="宋体"/>
          <w:b/>
          <w:bCs/>
        </w:rPr>
        <w:t>（一） 财务报表</w:t>
      </w:r>
      <w:bookmarkEnd w:id="9"/>
    </w:p>
    <w:p w:rsidR="00D83F33" w:rsidRDefault="00733E8B">
      <w:pPr>
        <w:pStyle w:val="3"/>
        <w:spacing w:line="280" w:lineRule="exact"/>
        <w:jc w:val="left"/>
        <w:rPr>
          <w:rFonts w:ascii="宋体" w:hAnsi="宋体" w:cs="宋体"/>
          <w:b/>
          <w:bCs/>
        </w:rPr>
      </w:pPr>
      <w:bookmarkStart w:id="10" w:name="_Toc988899"/>
      <w:r>
        <w:rPr>
          <w:rFonts w:ascii="宋体" w:hAnsi="宋体" w:cs="宋体"/>
          <w:b/>
          <w:bCs/>
        </w:rPr>
        <w:t>1、合并资产负债表</w:t>
      </w:r>
      <w:bookmarkEnd w:id="10"/>
    </w:p>
    <w:p w:rsidR="00D83F33" w:rsidRDefault="00733E8B">
      <w:pPr>
        <w:spacing w:line="240" w:lineRule="exact"/>
        <w:rPr>
          <w:rFonts w:ascii="宋体" w:eastAsia="宋体" w:hAnsi="宋体" w:cs="宋体"/>
          <w:sz w:val="18"/>
          <w:szCs w:val="18"/>
        </w:rPr>
      </w:pPr>
      <w:r>
        <w:rPr>
          <w:rFonts w:ascii="宋体" w:eastAsia="宋体" w:hAnsi="宋体" w:cs="宋体"/>
          <w:sz w:val="18"/>
          <w:szCs w:val="18"/>
        </w:rPr>
        <w:t>编制单位：江苏华西村股份有限公司</w:t>
      </w:r>
    </w:p>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2023年09月30日</w:t>
      </w:r>
    </w:p>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2023年9月30日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2023年1月1日</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636,502,648.21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650,764,185.67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452,807,874.68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408,221,554.84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68,922,912.07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56,589,655.46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126,351,498.73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120,517,267.64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163,194,722.49</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151,612,272.74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107,384,630.26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37,970,428.60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33,730,916.26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967,065.72</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32,739,326.10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194,769,924.34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152,270,183.80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7,366,358.33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6,763,090.09</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1,791,031,485.37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1,585,675,704.56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3,588,149,658.92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3,604,952,680.26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655,344,846.14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655,344,846.14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460,740,426.79</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487,214,654.00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14,957,667.81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5,214,375.60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20,291,934.02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20,876,629.27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2,064,864.17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2,064,864.17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24,131,964.82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23,706,890.01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4,369,790.40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2,884,184.60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4,770,051,153.07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4,802,259,124.05</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6,561,082,638.44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6,387,934,828.61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lastRenderedPageBreak/>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1,114,811,234.74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1,068,847,034.62</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62,476,570.88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80,278,576.73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2,799,642.62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7,642,658.11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119,755,872.75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50,758,825.56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27,121,724.11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34,857,559.22</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8,898,877.45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20,495,012.58</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1,037,202.91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691,494.78</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49,321,597.67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34,280,837.68</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1,386,222,723.13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1,297,851,999.28</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39,539,124.54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39,539,124.54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42,056,436.40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1,425,761,847.67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1,339,908,435.68</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886,012,887.00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886,012,887.00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392,928,094.16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391,063,918.14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-9,230,427.23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-20,801,622.91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425,337,706.43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425,337,706.43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3,440,272,530.41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3,366,413,504.27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5,135,320,790.77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5,048,026,392.93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5,135,320,790.77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5,048,026,392.93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6,561,082,638.44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6,387,934,828.61</w:t>
            </w:r>
          </w:p>
        </w:tc>
      </w:tr>
    </w:tbl>
    <w:p w:rsidR="00D83F33" w:rsidRDefault="00733E8B">
      <w:pPr>
        <w:spacing w:line="240" w:lineRule="exact"/>
        <w:rPr>
          <w:rFonts w:ascii="宋体" w:eastAsia="宋体" w:hAnsi="宋体" w:cs="宋体"/>
          <w:sz w:val="18"/>
          <w:szCs w:val="18"/>
        </w:rPr>
      </w:pPr>
      <w:r>
        <w:rPr>
          <w:rFonts w:ascii="宋体" w:eastAsia="宋体" w:hAnsi="宋体" w:cs="宋体"/>
          <w:sz w:val="18"/>
          <w:szCs w:val="18"/>
        </w:rPr>
        <w:lastRenderedPageBreak/>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5B0417">
        <w:rPr>
          <w:rFonts w:ascii="宋体" w:eastAsia="宋体" w:hAnsi="宋体" w:cs="宋体" w:hint="eastAsia"/>
          <w:sz w:val="18"/>
          <w:szCs w:val="18"/>
        </w:rPr>
        <w:t xml:space="preserve">                 </w:t>
      </w:r>
      <w:r>
        <w:rPr>
          <w:rFonts w:ascii="宋体" w:eastAsia="宋体" w:hAnsi="宋体" w:cs="宋体"/>
          <w:sz w:val="18"/>
          <w:szCs w:val="18"/>
        </w:rPr>
        <w:t xml:space="preserve">主管会计工作负责人：李满良    </w:t>
      </w:r>
      <w:r w:rsidR="005B0417">
        <w:rPr>
          <w:rFonts w:ascii="宋体" w:eastAsia="宋体" w:hAnsi="宋体" w:cs="宋体" w:hint="eastAsia"/>
          <w:sz w:val="18"/>
          <w:szCs w:val="18"/>
        </w:rPr>
        <w:t xml:space="preserve">        </w:t>
      </w:r>
      <w:r>
        <w:rPr>
          <w:rFonts w:ascii="宋体" w:eastAsia="宋体" w:hAnsi="宋体" w:cs="宋体"/>
          <w:sz w:val="18"/>
          <w:szCs w:val="18"/>
        </w:rPr>
        <w:t xml:space="preserve">  会计机构负责人：徐建蓉</w:t>
      </w:r>
    </w:p>
    <w:p w:rsidR="00D83F33" w:rsidRDefault="00733E8B">
      <w:pPr>
        <w:pStyle w:val="3"/>
        <w:spacing w:line="280" w:lineRule="exact"/>
        <w:jc w:val="left"/>
        <w:rPr>
          <w:rFonts w:ascii="宋体" w:hAnsi="宋体" w:cs="宋体"/>
          <w:b/>
          <w:bCs/>
        </w:rPr>
      </w:pPr>
      <w:bookmarkStart w:id="11" w:name="_Toc988900"/>
      <w:r>
        <w:rPr>
          <w:rFonts w:ascii="宋体" w:hAnsi="宋体" w:cs="宋体"/>
          <w:b/>
          <w:bCs/>
        </w:rPr>
        <w:t>2、合并年初到报告</w:t>
      </w:r>
      <w:proofErr w:type="gramStart"/>
      <w:r>
        <w:rPr>
          <w:rFonts w:ascii="宋体" w:hAnsi="宋体" w:cs="宋体"/>
          <w:b/>
          <w:bCs/>
        </w:rPr>
        <w:t>期末利润</w:t>
      </w:r>
      <w:proofErr w:type="gramEnd"/>
      <w:r>
        <w:rPr>
          <w:rFonts w:ascii="宋体" w:hAnsi="宋体" w:cs="宋体"/>
          <w:b/>
          <w:bCs/>
        </w:rPr>
        <w:t>表</w:t>
      </w:r>
      <w:bookmarkEnd w:id="11"/>
    </w:p>
    <w:p w:rsidR="00D83F33" w:rsidRDefault="00733E8B">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2,065,758,555.05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2,216,949,007.76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2,065,758,555.05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2,216,949,007.76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2,015,696,876.76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2,123,712,019.34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1,948,236,127.32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2,053,659,758.72</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5,895,465.05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6,822,546.96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2,934,457.52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2,700,404.73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37,167,440.91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38,923,071.80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7,411,206.47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7,261,456.22</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14,052,179.49</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14,344,780.91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27,808,941.32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35,794,827.64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9,004,737.07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3,457,049.50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6,488,881.02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1,463,788.10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33,872,815.19</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126,890,411.37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3,220,933.06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45,476,719.63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26,831,815.23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-24,643,881.51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-614,406.69</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-2,463,456.33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-379,299.97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-148,893.70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116,261,483.07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194,334,956.35</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1,462,384.23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303,833.27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603,018.17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1,101,144.39</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117,120,849.13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193,537,645.23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25,541,565.25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30,795,227.44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91,579,283.88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162,742,417.79</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91,579,283.88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162,742,417.79</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91,579,283.88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147,651,252.88</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15,091,164.91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11,571,195.68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-429,959.57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11,571,195.68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-429,959.57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11,571,195.68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-429,959.57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11,571,195.68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-429,959.57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103,150,479.56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162,312,458.22</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（一）归属于母公司所有者的综合收益总额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103,150,479.56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147,221,293.31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（二）归属于少数股东的综合收益总额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15,091,164.91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0.10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0.17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0.10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0.17</w:t>
            </w:r>
          </w:p>
        </w:tc>
      </w:tr>
    </w:tbl>
    <w:p w:rsidR="00D83F33" w:rsidRDefault="00733E8B">
      <w:pPr>
        <w:spacing w:line="240" w:lineRule="exact"/>
        <w:rPr>
          <w:rFonts w:ascii="宋体" w:eastAsia="宋体" w:hAnsi="宋体" w:cs="宋体"/>
          <w:sz w:val="18"/>
          <w:szCs w:val="18"/>
        </w:rPr>
      </w:pPr>
      <w:r>
        <w:rPr>
          <w:rFonts w:ascii="宋体" w:eastAsia="宋体" w:hAnsi="宋体" w:cs="宋体"/>
          <w:sz w:val="18"/>
          <w:szCs w:val="18"/>
        </w:rPr>
        <w:t>本期发生同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下企业合并的，被合并方在合并前实现的净利润为：0.00元，上期被合并方实现的净利润为：0.00元。</w:t>
      </w:r>
    </w:p>
    <w:p w:rsidR="005B0417" w:rsidRDefault="005B0417">
      <w:pPr>
        <w:spacing w:line="240" w:lineRule="exact"/>
        <w:rPr>
          <w:rFonts w:ascii="宋体" w:eastAsia="宋体" w:hAnsi="宋体" w:cs="宋体"/>
          <w:sz w:val="18"/>
          <w:szCs w:val="18"/>
        </w:rPr>
      </w:pPr>
    </w:p>
    <w:p w:rsidR="00D83F33" w:rsidRDefault="00733E8B">
      <w:pPr>
        <w:spacing w:line="240" w:lineRule="exact"/>
        <w:rPr>
          <w:rFonts w:ascii="宋体" w:eastAsia="宋体" w:hAnsi="宋体" w:cs="宋体"/>
          <w:sz w:val="18"/>
          <w:szCs w:val="18"/>
        </w:rPr>
      </w:pPr>
      <w:r>
        <w:rPr>
          <w:rFonts w:ascii="宋体" w:eastAsia="宋体" w:hAnsi="宋体" w:cs="宋体"/>
          <w:sz w:val="18"/>
          <w:szCs w:val="18"/>
        </w:rPr>
        <w:t>法定代表人：</w:t>
      </w:r>
      <w:proofErr w:type="gramStart"/>
      <w:r>
        <w:rPr>
          <w:rFonts w:ascii="宋体" w:eastAsia="宋体" w:hAnsi="宋体" w:cs="宋体"/>
          <w:sz w:val="18"/>
          <w:szCs w:val="18"/>
        </w:rPr>
        <w:t>吴协恩</w:t>
      </w:r>
      <w:proofErr w:type="gramEnd"/>
      <w:r>
        <w:rPr>
          <w:rFonts w:ascii="宋体" w:eastAsia="宋体" w:hAnsi="宋体" w:cs="宋体"/>
          <w:sz w:val="18"/>
          <w:szCs w:val="18"/>
        </w:rPr>
        <w:t xml:space="preserve">   </w:t>
      </w:r>
      <w:r w:rsidR="005B0417">
        <w:rPr>
          <w:rFonts w:ascii="宋体" w:eastAsia="宋体" w:hAnsi="宋体" w:cs="宋体" w:hint="eastAsia"/>
          <w:sz w:val="18"/>
          <w:szCs w:val="18"/>
        </w:rPr>
        <w:t xml:space="preserve">            </w:t>
      </w:r>
      <w:r>
        <w:rPr>
          <w:rFonts w:ascii="宋体" w:eastAsia="宋体" w:hAnsi="宋体" w:cs="宋体"/>
          <w:sz w:val="18"/>
          <w:szCs w:val="18"/>
        </w:rPr>
        <w:t xml:space="preserve"> 主管会计工作负责人：李满良    </w:t>
      </w:r>
      <w:r w:rsidR="005B0417">
        <w:rPr>
          <w:rFonts w:ascii="宋体" w:eastAsia="宋体" w:hAnsi="宋体" w:cs="宋体" w:hint="eastAsia"/>
          <w:sz w:val="18"/>
          <w:szCs w:val="18"/>
        </w:rPr>
        <w:t xml:space="preserve">              </w:t>
      </w:r>
      <w:r>
        <w:rPr>
          <w:rFonts w:ascii="宋体" w:eastAsia="宋体" w:hAnsi="宋体" w:cs="宋体"/>
          <w:sz w:val="18"/>
          <w:szCs w:val="18"/>
        </w:rPr>
        <w:t>会计机构负责人：徐建蓉</w:t>
      </w:r>
    </w:p>
    <w:p w:rsidR="00D83F33" w:rsidRDefault="00733E8B">
      <w:pPr>
        <w:pStyle w:val="3"/>
        <w:spacing w:line="280" w:lineRule="exact"/>
        <w:jc w:val="left"/>
        <w:rPr>
          <w:rFonts w:ascii="宋体" w:hAnsi="宋体" w:cs="宋体"/>
          <w:b/>
          <w:bCs/>
        </w:rPr>
      </w:pPr>
      <w:bookmarkStart w:id="12" w:name="_Toc988901"/>
      <w:r>
        <w:rPr>
          <w:rFonts w:ascii="宋体" w:hAnsi="宋体" w:cs="宋体"/>
          <w:b/>
          <w:bCs/>
        </w:rPr>
        <w:lastRenderedPageBreak/>
        <w:t>3、合并年初到报告期末现金流量表</w:t>
      </w:r>
      <w:bookmarkEnd w:id="12"/>
    </w:p>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2,329,717,079.35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2,424,809,719.07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35,258,195.54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41,966,531.76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96,373,046.27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39,675,905.45</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2,461,348,321.16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2,506,452,156.28</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2,216,994,745.53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2,221,098,433.13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86,497,678.85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84,102,338.40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63,624,499.45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264,550,466.66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104,492,694.02</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54,082,264.40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2,471,609,617.85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2,623,833,502.59</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-10,261,296.69</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-117,381,346.31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179,002,818.87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697,677,263.20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25,815,449.11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42,687,519.71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53,752.00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20,000.00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25,000,000.00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204,872,019.98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765,384,782.91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17,676,046.26</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38,940,658.03</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190,436,395.35</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303,871,167.34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208,112,441.61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342,811,825.37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-3,240,421.63</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422,572,957.54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D83F33"/>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1,587,220,000.00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1,304,500,000.00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1,587,220,000.00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1,304,500,000.00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1,421,520,000.00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1,216,075,139.41</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46,564,998.94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80,554,543.96</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D83F33">
            <w:pPr>
              <w:spacing w:line="240" w:lineRule="exact"/>
              <w:jc w:val="right"/>
              <w:rPr>
                <w:rFonts w:ascii="宋体" w:eastAsia="宋体" w:hAnsi="宋体" w:cs="宋体"/>
                <w:sz w:val="18"/>
                <w:szCs w:val="18"/>
              </w:rPr>
            </w:pP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188,700,000.00</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459,500,000.00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1,656,784,998.94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1,756,129,683.37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-69,564,998.94</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-451,629,683.37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4,760,813.99</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11,079,611.30</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-78,305,903.27</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-135,358,460.84</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422,554,550.48</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525,779,170.47</w:t>
            </w:r>
          </w:p>
        </w:tc>
      </w:tr>
      <w:tr w:rsidR="00D83F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D83F33" w:rsidRDefault="00733E8B">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344,248,647.21</w:t>
            </w:r>
          </w:p>
        </w:tc>
        <w:tc>
          <w:tcPr>
            <w:tcW w:w="3213" w:type="dxa"/>
            <w:tcBorders>
              <w:top w:val="single" w:sz="2" w:space="0" w:color="auto"/>
              <w:left w:val="single" w:sz="2" w:space="0" w:color="auto"/>
              <w:bottom w:val="single" w:sz="2" w:space="0" w:color="auto"/>
              <w:right w:val="single" w:sz="2" w:space="0" w:color="auto"/>
            </w:tcBorders>
            <w:vAlign w:val="center"/>
          </w:tcPr>
          <w:p w:rsidR="00D83F33" w:rsidRDefault="00733E8B">
            <w:pPr>
              <w:spacing w:line="240" w:lineRule="exact"/>
              <w:jc w:val="right"/>
              <w:rPr>
                <w:rFonts w:ascii="宋体" w:eastAsia="宋体" w:hAnsi="宋体" w:cs="宋体"/>
                <w:sz w:val="18"/>
                <w:szCs w:val="18"/>
              </w:rPr>
            </w:pPr>
            <w:r>
              <w:rPr>
                <w:rFonts w:ascii="宋体" w:eastAsia="宋体" w:hAnsi="宋体" w:cs="宋体"/>
                <w:sz w:val="18"/>
                <w:szCs w:val="18"/>
              </w:rPr>
              <w:t>390,420,709.63</w:t>
            </w:r>
          </w:p>
        </w:tc>
      </w:tr>
    </w:tbl>
    <w:p w:rsidR="00D83F33" w:rsidRPr="00E04781" w:rsidRDefault="00733E8B">
      <w:pPr>
        <w:pStyle w:val="2"/>
        <w:spacing w:before="300" w:after="300" w:line="280" w:lineRule="exact"/>
        <w:rPr>
          <w:rFonts w:ascii="宋体" w:eastAsia="宋体" w:hAnsi="宋体" w:cs="宋体"/>
          <w:b/>
          <w:bCs/>
        </w:rPr>
      </w:pPr>
      <w:bookmarkStart w:id="13" w:name="_Toc988902"/>
      <w:r w:rsidRPr="00E04781">
        <w:rPr>
          <w:rFonts w:ascii="宋体" w:eastAsia="宋体" w:hAnsi="宋体" w:cs="宋体"/>
          <w:b/>
          <w:bCs/>
        </w:rPr>
        <w:t>（二） 2023年起首次执行新会计准则调整首次执行当年年初财务报表相关项目情况</w:t>
      </w:r>
      <w:bookmarkEnd w:id="13"/>
    </w:p>
    <w:p w:rsidR="00D83F33" w:rsidRDefault="00733E8B">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D83F33" w:rsidRPr="00E04781" w:rsidRDefault="00733E8B">
      <w:pPr>
        <w:pStyle w:val="2"/>
        <w:spacing w:before="300" w:after="300" w:line="280" w:lineRule="exact"/>
        <w:rPr>
          <w:rFonts w:ascii="宋体" w:eastAsia="宋体" w:hAnsi="宋体" w:cs="宋体"/>
          <w:b/>
          <w:bCs/>
        </w:rPr>
      </w:pPr>
      <w:bookmarkStart w:id="14" w:name="_Toc988903"/>
      <w:r w:rsidRPr="00E04781">
        <w:rPr>
          <w:rFonts w:ascii="宋体" w:eastAsia="宋体" w:hAnsi="宋体" w:cs="宋体"/>
          <w:b/>
          <w:bCs/>
        </w:rPr>
        <w:t>（三） 审计报告</w:t>
      </w:r>
      <w:bookmarkEnd w:id="14"/>
    </w:p>
    <w:p w:rsidR="00D83F33" w:rsidRDefault="00733E8B">
      <w:pPr>
        <w:spacing w:before="40" w:after="40" w:line="240" w:lineRule="exact"/>
        <w:rPr>
          <w:rFonts w:ascii="宋体" w:eastAsia="宋体" w:hAnsi="宋体" w:cs="宋体"/>
          <w:sz w:val="18"/>
          <w:szCs w:val="18"/>
        </w:rPr>
      </w:pPr>
      <w:r>
        <w:rPr>
          <w:rFonts w:ascii="宋体" w:eastAsia="宋体" w:hAnsi="宋体" w:cs="宋体"/>
          <w:sz w:val="18"/>
          <w:szCs w:val="18"/>
        </w:rPr>
        <w:t>第三季度报告是否经过审计</w:t>
      </w:r>
    </w:p>
    <w:p w:rsidR="00D83F33" w:rsidRDefault="00733E8B">
      <w:pPr>
        <w:spacing w:before="40" w:after="4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D83F33" w:rsidRDefault="00733E8B">
      <w:pPr>
        <w:spacing w:before="40" w:after="40" w:line="240" w:lineRule="exact"/>
        <w:rPr>
          <w:rFonts w:ascii="宋体" w:eastAsia="宋体" w:hAnsi="宋体" w:cs="宋体"/>
          <w:sz w:val="18"/>
          <w:szCs w:val="18"/>
        </w:rPr>
      </w:pPr>
      <w:r>
        <w:rPr>
          <w:rFonts w:ascii="宋体" w:eastAsia="宋体" w:hAnsi="宋体" w:cs="宋体"/>
          <w:sz w:val="18"/>
          <w:szCs w:val="18"/>
        </w:rPr>
        <w:t>公司第三季度报告未经审计。</w:t>
      </w:r>
    </w:p>
    <w:p w:rsidR="005B0417" w:rsidRDefault="005B0417">
      <w:pPr>
        <w:spacing w:before="40" w:after="40" w:line="240" w:lineRule="exact"/>
        <w:rPr>
          <w:rFonts w:ascii="宋体" w:eastAsia="宋体" w:hAnsi="宋体" w:cs="宋体"/>
          <w:sz w:val="18"/>
          <w:szCs w:val="18"/>
        </w:rPr>
      </w:pPr>
    </w:p>
    <w:p w:rsidR="005B0417" w:rsidRDefault="005B0417">
      <w:pPr>
        <w:spacing w:before="40" w:after="40" w:line="240" w:lineRule="exact"/>
        <w:rPr>
          <w:rFonts w:ascii="宋体" w:eastAsia="宋体" w:hAnsi="宋体" w:cs="宋体"/>
          <w:sz w:val="18"/>
          <w:szCs w:val="18"/>
        </w:rPr>
      </w:pPr>
    </w:p>
    <w:p w:rsidR="005B0417" w:rsidRDefault="005B0417">
      <w:pPr>
        <w:spacing w:before="40" w:after="40" w:line="240" w:lineRule="exact"/>
        <w:rPr>
          <w:rFonts w:ascii="宋体" w:eastAsia="宋体" w:hAnsi="宋体" w:cs="宋体"/>
          <w:sz w:val="18"/>
          <w:szCs w:val="18"/>
        </w:rPr>
      </w:pPr>
    </w:p>
    <w:p w:rsidR="005B0417" w:rsidRDefault="005B0417">
      <w:pPr>
        <w:spacing w:before="40" w:after="40" w:line="240" w:lineRule="exact"/>
        <w:rPr>
          <w:rFonts w:ascii="宋体" w:eastAsia="宋体" w:hAnsi="宋体" w:cs="宋体" w:hint="eastAsia"/>
          <w:sz w:val="18"/>
          <w:szCs w:val="18"/>
        </w:rPr>
      </w:pPr>
    </w:p>
    <w:p w:rsidR="00CC6DB2" w:rsidRDefault="00CC6DB2">
      <w:pPr>
        <w:spacing w:before="40" w:after="40" w:line="240" w:lineRule="exact"/>
        <w:rPr>
          <w:rFonts w:ascii="宋体" w:eastAsia="宋体" w:hAnsi="宋体" w:cs="宋体"/>
          <w:sz w:val="18"/>
          <w:szCs w:val="18"/>
        </w:rPr>
      </w:pPr>
    </w:p>
    <w:p w:rsidR="00D83F33" w:rsidRDefault="00733E8B">
      <w:pPr>
        <w:spacing w:before="40" w:after="40" w:line="240" w:lineRule="exact"/>
        <w:jc w:val="right"/>
        <w:rPr>
          <w:rFonts w:ascii="宋体" w:eastAsia="宋体" w:hAnsi="宋体" w:cs="宋体"/>
          <w:sz w:val="18"/>
          <w:szCs w:val="18"/>
        </w:rPr>
      </w:pPr>
      <w:bookmarkStart w:id="15" w:name="_GoBack"/>
      <w:bookmarkEnd w:id="15"/>
      <w:r>
        <w:rPr>
          <w:rFonts w:ascii="宋体" w:eastAsia="宋体" w:hAnsi="宋体" w:cs="宋体"/>
          <w:sz w:val="18"/>
          <w:szCs w:val="18"/>
        </w:rPr>
        <w:t>江苏华西村股份有限公司董事会</w:t>
      </w:r>
    </w:p>
    <w:p w:rsidR="00E04781" w:rsidRDefault="00E04781" w:rsidP="00E04781">
      <w:pPr>
        <w:spacing w:before="40" w:after="40" w:line="240" w:lineRule="exact"/>
        <w:ind w:right="720"/>
        <w:rPr>
          <w:rFonts w:ascii="宋体" w:eastAsia="宋体" w:hAnsi="宋体" w:cs="宋体"/>
          <w:sz w:val="18"/>
          <w:szCs w:val="18"/>
        </w:rPr>
      </w:pPr>
    </w:p>
    <w:p w:rsidR="00E04781" w:rsidRDefault="00E04781" w:rsidP="00E04781">
      <w:pPr>
        <w:spacing w:before="40" w:after="40" w:line="240" w:lineRule="exact"/>
        <w:ind w:right="720"/>
        <w:rPr>
          <w:rFonts w:ascii="宋体" w:eastAsia="宋体" w:hAnsi="宋体" w:cs="宋体"/>
          <w:sz w:val="18"/>
          <w:szCs w:val="18"/>
        </w:rPr>
      </w:pPr>
      <w:r>
        <w:rPr>
          <w:rFonts w:ascii="宋体" w:eastAsia="宋体" w:hAnsi="宋体" w:cs="宋体" w:hint="eastAsia"/>
          <w:sz w:val="18"/>
          <w:szCs w:val="18"/>
        </w:rPr>
        <w:t xml:space="preserve">                                                                               </w:t>
      </w:r>
      <w:r w:rsidR="00CC6DB2">
        <w:rPr>
          <w:rFonts w:ascii="宋体" w:eastAsia="宋体" w:hAnsi="宋体" w:cs="宋体" w:hint="eastAsia"/>
          <w:sz w:val="18"/>
          <w:szCs w:val="18"/>
        </w:rPr>
        <w:t xml:space="preserve"> </w:t>
      </w:r>
      <w:r>
        <w:rPr>
          <w:rFonts w:ascii="宋体" w:eastAsia="宋体" w:hAnsi="宋体" w:cs="宋体" w:hint="eastAsia"/>
          <w:sz w:val="18"/>
          <w:szCs w:val="18"/>
        </w:rPr>
        <w:t xml:space="preserve">   董事长：</w:t>
      </w:r>
      <w:proofErr w:type="gramStart"/>
      <w:r>
        <w:rPr>
          <w:rFonts w:ascii="宋体" w:eastAsia="宋体" w:hAnsi="宋体" w:cs="宋体" w:hint="eastAsia"/>
          <w:sz w:val="18"/>
          <w:szCs w:val="18"/>
        </w:rPr>
        <w:t>吴协恩</w:t>
      </w:r>
      <w:proofErr w:type="gramEnd"/>
    </w:p>
    <w:p w:rsidR="00E04781" w:rsidRDefault="00E04781" w:rsidP="00E04781">
      <w:pPr>
        <w:spacing w:line="240" w:lineRule="exact"/>
        <w:ind w:right="540"/>
        <w:jc w:val="right"/>
        <w:rPr>
          <w:rFonts w:ascii="宋体" w:eastAsia="宋体" w:hAnsi="宋体" w:cs="宋体"/>
          <w:sz w:val="18"/>
          <w:szCs w:val="18"/>
        </w:rPr>
      </w:pPr>
    </w:p>
    <w:p w:rsidR="00D83F33" w:rsidRDefault="00733E8B" w:rsidP="00E04781">
      <w:pPr>
        <w:spacing w:line="240" w:lineRule="exact"/>
        <w:ind w:right="360"/>
        <w:jc w:val="right"/>
        <w:rPr>
          <w:rFonts w:ascii="宋体" w:eastAsia="宋体" w:hAnsi="宋体" w:cs="宋体"/>
          <w:sz w:val="18"/>
          <w:szCs w:val="18"/>
        </w:rPr>
      </w:pPr>
      <w:r>
        <w:rPr>
          <w:rFonts w:ascii="宋体" w:eastAsia="宋体" w:hAnsi="宋体" w:cs="宋体"/>
          <w:sz w:val="18"/>
          <w:szCs w:val="18"/>
        </w:rPr>
        <w:t>2023年10月30日</w:t>
      </w:r>
    </w:p>
    <w:sectPr w:rsidR="00D83F33">
      <w:headerReference w:type="default" r:id="rId7"/>
      <w:footerReference w:type="default" r:id="rId8"/>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94C" w:rsidRDefault="0090194C">
      <w:r>
        <w:separator/>
      </w:r>
    </w:p>
  </w:endnote>
  <w:endnote w:type="continuationSeparator" w:id="0">
    <w:p w:rsidR="0090194C" w:rsidRDefault="0090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417" w:rsidRDefault="005B0417" w:rsidP="005B0417">
    <w:pPr>
      <w:pStyle w:val="fotter1"/>
      <w:jc w:val="center"/>
    </w:pPr>
    <w:r>
      <w:fldChar w:fldCharType="begin"/>
    </w:r>
    <w:r>
      <w:instrText>PAGE   \* MERGEFORMAT</w:instrText>
    </w:r>
    <w:r>
      <w:fldChar w:fldCharType="separate"/>
    </w:r>
    <w:r w:rsidR="00CC6DB2">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94C" w:rsidRDefault="0090194C">
      <w:r>
        <w:separator/>
      </w:r>
    </w:p>
  </w:footnote>
  <w:footnote w:type="continuationSeparator" w:id="0">
    <w:p w:rsidR="0090194C" w:rsidRDefault="0090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417" w:rsidRDefault="005B0417">
    <w:pPr>
      <w:pStyle w:val="Header1"/>
      <w:pBdr>
        <w:bottom w:val="single" w:sz="6" w:space="1" w:color="auto"/>
      </w:pBdr>
    </w:pPr>
    <w:r>
      <w:t>江苏华西村股份有限公司2023年第三季度报告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83F33"/>
    <w:rsid w:val="000C1CA2"/>
    <w:rsid w:val="001310DC"/>
    <w:rsid w:val="002208ED"/>
    <w:rsid w:val="002D1F95"/>
    <w:rsid w:val="003E737C"/>
    <w:rsid w:val="00504D6F"/>
    <w:rsid w:val="005B0417"/>
    <w:rsid w:val="006179FB"/>
    <w:rsid w:val="00622FA3"/>
    <w:rsid w:val="006646A2"/>
    <w:rsid w:val="006E3D4B"/>
    <w:rsid w:val="00733E8B"/>
    <w:rsid w:val="007A5E40"/>
    <w:rsid w:val="008316BC"/>
    <w:rsid w:val="00900F9A"/>
    <w:rsid w:val="0090194C"/>
    <w:rsid w:val="00BF2EBA"/>
    <w:rsid w:val="00C951CE"/>
    <w:rsid w:val="00CC6DB2"/>
    <w:rsid w:val="00D83F33"/>
    <w:rsid w:val="00DF6D53"/>
    <w:rsid w:val="00E04781"/>
    <w:rsid w:val="00E77EFA"/>
    <w:rsid w:val="00F0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5B0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0417"/>
    <w:rPr>
      <w:sz w:val="18"/>
      <w:szCs w:val="18"/>
    </w:rPr>
  </w:style>
  <w:style w:type="paragraph" w:styleId="a5">
    <w:name w:val="footer"/>
    <w:basedOn w:val="a"/>
    <w:link w:val="Char0"/>
    <w:uiPriority w:val="99"/>
    <w:unhideWhenUsed/>
    <w:rsid w:val="005B0417"/>
    <w:pPr>
      <w:tabs>
        <w:tab w:val="center" w:pos="4153"/>
        <w:tab w:val="right" w:pos="8306"/>
      </w:tabs>
      <w:snapToGrid w:val="0"/>
    </w:pPr>
    <w:rPr>
      <w:sz w:val="18"/>
      <w:szCs w:val="18"/>
    </w:rPr>
  </w:style>
  <w:style w:type="character" w:customStyle="1" w:styleId="Char0">
    <w:name w:val="页脚 Char"/>
    <w:basedOn w:val="a0"/>
    <w:link w:val="a5"/>
    <w:uiPriority w:val="99"/>
    <w:rsid w:val="005B04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Char"/>
    <w:uiPriority w:val="99"/>
    <w:unhideWhenUsed/>
    <w:rsid w:val="005B04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B0417"/>
    <w:rPr>
      <w:sz w:val="18"/>
      <w:szCs w:val="18"/>
    </w:rPr>
  </w:style>
  <w:style w:type="paragraph" w:styleId="a5">
    <w:name w:val="footer"/>
    <w:basedOn w:val="a"/>
    <w:link w:val="Char0"/>
    <w:uiPriority w:val="99"/>
    <w:unhideWhenUsed/>
    <w:rsid w:val="005B0417"/>
    <w:pPr>
      <w:tabs>
        <w:tab w:val="center" w:pos="4153"/>
        <w:tab w:val="right" w:pos="8306"/>
      </w:tabs>
      <w:snapToGrid w:val="0"/>
    </w:pPr>
    <w:rPr>
      <w:sz w:val="18"/>
      <w:szCs w:val="18"/>
    </w:rPr>
  </w:style>
  <w:style w:type="character" w:customStyle="1" w:styleId="Char0">
    <w:name w:val="页脚 Char"/>
    <w:basedOn w:val="a0"/>
    <w:link w:val="a5"/>
    <w:uiPriority w:val="99"/>
    <w:rsid w:val="005B04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7544">
      <w:bodyDiv w:val="1"/>
      <w:marLeft w:val="0"/>
      <w:marRight w:val="0"/>
      <w:marTop w:val="0"/>
      <w:marBottom w:val="0"/>
      <w:divBdr>
        <w:top w:val="none" w:sz="0" w:space="0" w:color="auto"/>
        <w:left w:val="none" w:sz="0" w:space="0" w:color="auto"/>
        <w:bottom w:val="none" w:sz="0" w:space="0" w:color="auto"/>
        <w:right w:val="none" w:sz="0" w:space="0" w:color="auto"/>
      </w:divBdr>
    </w:div>
    <w:div w:id="1263103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1624</Words>
  <Characters>9262</Characters>
  <Application>Microsoft Office Word</Application>
  <DocSecurity>0</DocSecurity>
  <Lines>77</Lines>
  <Paragraphs>21</Paragraphs>
  <ScaleCrop>false</ScaleCrop>
  <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17</cp:revision>
  <cp:lastPrinted>2023-10-23T01:30:00Z</cp:lastPrinted>
  <dcterms:created xsi:type="dcterms:W3CDTF">2023-10-23T00:34:00Z</dcterms:created>
  <dcterms:modified xsi:type="dcterms:W3CDTF">2023-10-30T00:44:00Z</dcterms:modified>
</cp:coreProperties>
</file>