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CA" w:rsidRPr="00CE0267" w:rsidRDefault="00674F05">
      <w:pPr>
        <w:spacing w:before="2400" w:line="773" w:lineRule="exact"/>
        <w:jc w:val="center"/>
        <w:rPr>
          <w:rFonts w:asciiTheme="minorEastAsia" w:hAnsiTheme="minorEastAsia" w:cs="宋体"/>
          <w:b/>
          <w:bCs/>
          <w:sz w:val="36"/>
          <w:szCs w:val="36"/>
        </w:rPr>
      </w:pPr>
      <w:r w:rsidRPr="00CE0267">
        <w:rPr>
          <w:rFonts w:asciiTheme="minorEastAsia" w:hAnsiTheme="minorEastAsia" w:cs="宋体"/>
          <w:b/>
          <w:bCs/>
          <w:sz w:val="36"/>
          <w:szCs w:val="36"/>
        </w:rPr>
        <w:t>江苏华西村股份有限公司</w:t>
      </w:r>
    </w:p>
    <w:p w:rsidR="00B72ACA" w:rsidRPr="00CE0267" w:rsidRDefault="00674F05">
      <w:pPr>
        <w:spacing w:before="1000" w:line="320" w:lineRule="exact"/>
        <w:jc w:val="center"/>
        <w:rPr>
          <w:rFonts w:asciiTheme="minorEastAsia" w:hAnsiTheme="minorEastAsia" w:cs="宋体"/>
          <w:b/>
          <w:bCs/>
          <w:sz w:val="36"/>
          <w:szCs w:val="36"/>
        </w:rPr>
      </w:pPr>
      <w:r w:rsidRPr="00CE0267">
        <w:rPr>
          <w:rFonts w:asciiTheme="minorEastAsia" w:hAnsiTheme="minorEastAsia" w:cs="宋体"/>
          <w:b/>
          <w:bCs/>
          <w:sz w:val="36"/>
          <w:szCs w:val="36"/>
        </w:rPr>
        <w:t>2023年半年度报告</w:t>
      </w:r>
    </w:p>
    <w:p w:rsidR="00B72ACA" w:rsidRDefault="00B72ACA">
      <w:pPr>
        <w:spacing w:before="1000" w:line="240" w:lineRule="exact"/>
        <w:jc w:val="center"/>
        <w:rPr>
          <w:rFonts w:ascii="宋体" w:eastAsia="宋体" w:hAnsi="宋体" w:cs="宋体"/>
          <w:b/>
          <w:bCs/>
          <w:szCs w:val="21"/>
        </w:rPr>
      </w:pPr>
    </w:p>
    <w:p w:rsidR="00B72ACA" w:rsidRDefault="00791B88">
      <w:pPr>
        <w:spacing w:before="1000" w:after="1000" w:line="0" w:lineRule="atLeast"/>
        <w:jc w:val="center"/>
        <w:rPr>
          <w:rFonts w:ascii="Times New Roman" w:eastAsia="宋体" w:hAnsi="Times New Roman" w:cs="Times New Roman"/>
        </w:rPr>
      </w:pPr>
      <w:r>
        <w:rPr>
          <w:noProof/>
        </w:rPr>
        <w:drawing>
          <wp:inline distT="0" distB="0" distL="0" distR="0" wp14:anchorId="1E21A469" wp14:editId="0BAD1130">
            <wp:extent cx="1666068" cy="968644"/>
            <wp:effectExtent l="0" t="0" r="0" b="3175"/>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068" cy="968644"/>
                    </a:xfrm>
                    <a:prstGeom prst="rect">
                      <a:avLst/>
                    </a:prstGeom>
                    <a:noFill/>
                    <a:ln>
                      <a:noFill/>
                    </a:ln>
                  </pic:spPr>
                </pic:pic>
              </a:graphicData>
            </a:graphic>
          </wp:inline>
        </w:drawing>
      </w:r>
    </w:p>
    <w:p w:rsidR="00791B88" w:rsidRDefault="00791B88">
      <w:pPr>
        <w:spacing w:before="1000" w:after="1000" w:line="0" w:lineRule="atLeast"/>
        <w:jc w:val="center"/>
        <w:rPr>
          <w:rFonts w:ascii="Times New Roman" w:eastAsia="宋体" w:hAnsi="Times New Roman" w:cs="Times New Roman"/>
        </w:rPr>
      </w:pPr>
    </w:p>
    <w:p w:rsidR="00791B88" w:rsidRDefault="00791B88">
      <w:pPr>
        <w:spacing w:before="1000" w:after="1000" w:line="0" w:lineRule="atLeast"/>
        <w:jc w:val="center"/>
        <w:rPr>
          <w:rFonts w:ascii="Times New Roman" w:eastAsia="宋体" w:hAnsi="Times New Roman" w:cs="Times New Roman"/>
        </w:rPr>
      </w:pPr>
    </w:p>
    <w:p w:rsidR="00B72ACA" w:rsidRDefault="00791B88">
      <w:pPr>
        <w:spacing w:before="400" w:line="320" w:lineRule="exact"/>
        <w:jc w:val="center"/>
        <w:rPr>
          <w:rFonts w:ascii="宋体" w:eastAsia="宋体" w:hAnsi="宋体" w:cs="宋体"/>
          <w:b/>
          <w:bCs/>
          <w:sz w:val="32"/>
          <w:szCs w:val="32"/>
        </w:rPr>
      </w:pPr>
      <w:r>
        <w:rPr>
          <w:rFonts w:ascii="宋体" w:eastAsia="宋体" w:hAnsi="宋体" w:cs="宋体" w:hint="eastAsia"/>
          <w:b/>
          <w:bCs/>
          <w:sz w:val="32"/>
          <w:szCs w:val="32"/>
        </w:rPr>
        <w:t>2023年8月</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B72ACA" w:rsidRDefault="00674F05" w:rsidP="00791B88">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rsidR="00B72ACA" w:rsidRDefault="00674F05" w:rsidP="00791B88">
      <w:pPr>
        <w:spacing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公司负责人吴协恩、主管会计工作负责人李满良及会计机构负责人(会计主管人员)徐建蓉声明：保证本半年度报告中财务报告的真实、准确、完整。</w:t>
      </w:r>
    </w:p>
    <w:p w:rsidR="00B72ACA" w:rsidRDefault="00674F05" w:rsidP="00674F05">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所有董事均已出席了审议本次半年报的董事会会议。</w:t>
      </w:r>
    </w:p>
    <w:p w:rsidR="00674F05" w:rsidRPr="00791B88" w:rsidRDefault="00674F05" w:rsidP="00791B88">
      <w:pPr>
        <w:spacing w:line="560" w:lineRule="exact"/>
        <w:ind w:firstLineChars="200" w:firstLine="562"/>
        <w:jc w:val="both"/>
        <w:divId w:val="1326475282"/>
        <w:rPr>
          <w:rFonts w:ascii="宋体" w:eastAsia="宋体" w:hAnsi="宋体" w:cs="宋体"/>
          <w:b/>
          <w:bCs/>
          <w:sz w:val="28"/>
          <w:szCs w:val="28"/>
        </w:rPr>
      </w:pPr>
      <w:r w:rsidRPr="00791B88">
        <w:rPr>
          <w:rFonts w:ascii="宋体" w:eastAsia="宋体" w:hAnsi="宋体" w:cs="宋体" w:hint="eastAsia"/>
          <w:b/>
          <w:bCs/>
          <w:sz w:val="28"/>
          <w:szCs w:val="28"/>
        </w:rPr>
        <w:t>本报告涉及的未来计划等前瞻性陈述不构成公司对投资者的实质承诺，投资者及相关人士均应当对此保持足够的风险认识，并且应当理解计划、预测与承诺之间的差异。</w:t>
      </w:r>
    </w:p>
    <w:p w:rsidR="00674F05" w:rsidRPr="00791B88" w:rsidRDefault="00674F05" w:rsidP="00791B88">
      <w:pPr>
        <w:spacing w:line="560" w:lineRule="exact"/>
        <w:ind w:firstLineChars="200" w:firstLine="562"/>
        <w:jc w:val="both"/>
        <w:divId w:val="695235973"/>
        <w:rPr>
          <w:rFonts w:ascii="宋体" w:eastAsia="宋体" w:hAnsi="宋体" w:cs="宋体"/>
          <w:b/>
          <w:bCs/>
          <w:sz w:val="28"/>
          <w:szCs w:val="28"/>
        </w:rPr>
      </w:pPr>
      <w:r w:rsidRPr="00791B88">
        <w:rPr>
          <w:rFonts w:ascii="宋体" w:eastAsia="宋体" w:hAnsi="宋体" w:cs="宋体" w:hint="eastAsia"/>
          <w:b/>
          <w:bCs/>
          <w:sz w:val="28"/>
          <w:szCs w:val="28"/>
        </w:rPr>
        <w:t>本报告中描述了公司可能面临的风险，敬请投资者阅读本报告第三节“管理层讨论与分析”中相应的内容。</w:t>
      </w:r>
    </w:p>
    <w:p w:rsidR="00B72ACA" w:rsidRDefault="00674F05" w:rsidP="00674F05">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公司计划不派发现金红利，不送红股，不以公积金转增股本。</w:t>
      </w:r>
    </w:p>
    <w:p w:rsidR="00B72ACA" w:rsidRDefault="00674F05">
      <w:r>
        <w:br w:type="page"/>
      </w:r>
    </w:p>
    <w:p w:rsidR="00791B88" w:rsidRDefault="00791B88">
      <w:pPr>
        <w:spacing w:line="720" w:lineRule="exact"/>
        <w:jc w:val="center"/>
        <w:rPr>
          <w:rFonts w:ascii="宋体" w:eastAsia="宋体" w:hAnsi="宋体" w:cs="宋体"/>
          <w:b/>
          <w:bCs/>
          <w:sz w:val="36"/>
          <w:szCs w:val="36"/>
        </w:rPr>
      </w:pPr>
    </w:p>
    <w:p w:rsidR="00B72ACA" w:rsidRDefault="00674F05" w:rsidP="00791B88">
      <w:pPr>
        <w:spacing w:line="720" w:lineRule="exact"/>
        <w:jc w:val="center"/>
        <w:rPr>
          <w:rFonts w:ascii="宋体" w:eastAsia="宋体" w:hAnsi="宋体" w:cs="宋体"/>
          <w:b/>
          <w:bCs/>
          <w:sz w:val="36"/>
          <w:szCs w:val="36"/>
        </w:rPr>
      </w:pPr>
      <w:r>
        <w:rPr>
          <w:rFonts w:ascii="宋体" w:eastAsia="宋体" w:hAnsi="宋体" w:cs="宋体"/>
          <w:b/>
          <w:bCs/>
          <w:sz w:val="36"/>
          <w:szCs w:val="36"/>
        </w:rPr>
        <w:t>目</w:t>
      </w:r>
      <w:r w:rsidR="00791B88">
        <w:rPr>
          <w:rFonts w:ascii="宋体" w:eastAsia="宋体" w:hAnsi="宋体" w:cs="宋体" w:hint="eastAsia"/>
          <w:b/>
          <w:bCs/>
          <w:sz w:val="36"/>
          <w:szCs w:val="36"/>
        </w:rPr>
        <w:t xml:space="preserve">  </w:t>
      </w:r>
      <w:r>
        <w:rPr>
          <w:rFonts w:ascii="宋体" w:eastAsia="宋体" w:hAnsi="宋体" w:cs="宋体"/>
          <w:b/>
          <w:bCs/>
          <w:sz w:val="36"/>
          <w:szCs w:val="36"/>
        </w:rPr>
        <w:t>录</w:t>
      </w:r>
    </w:p>
    <w:p w:rsidR="00791B88" w:rsidRDefault="00791B88">
      <w:pPr>
        <w:spacing w:line="720" w:lineRule="exact"/>
        <w:jc w:val="center"/>
        <w:rPr>
          <w:rFonts w:ascii="宋体" w:eastAsia="宋体" w:hAnsi="宋体" w:cs="宋体"/>
          <w:b/>
          <w:bCs/>
          <w:sz w:val="36"/>
          <w:szCs w:val="36"/>
        </w:rPr>
      </w:pPr>
    </w:p>
    <w:p w:rsidR="00B72ACA" w:rsidRPr="00791B88" w:rsidRDefault="00674F05" w:rsidP="00791B88">
      <w:pPr>
        <w:pStyle w:val="1"/>
        <w:tabs>
          <w:tab w:val="left" w:leader="dot" w:pos="9469"/>
        </w:tabs>
        <w:spacing w:line="480" w:lineRule="auto"/>
        <w:rPr>
          <w:rFonts w:asciiTheme="minorEastAsia" w:hAnsiTheme="minorEastAsia"/>
          <w:noProof/>
        </w:rPr>
      </w:pPr>
      <w:r w:rsidRPr="00791B88">
        <w:rPr>
          <w:rFonts w:asciiTheme="minorEastAsia" w:hAnsiTheme="minorEastAsia"/>
        </w:rPr>
        <w:fldChar w:fldCharType="begin"/>
      </w:r>
      <w:r w:rsidRPr="00791B88">
        <w:rPr>
          <w:rFonts w:asciiTheme="minorEastAsia" w:hAnsiTheme="minorEastAsia"/>
        </w:rPr>
        <w:instrText xml:space="preserve"> </w:instrText>
      </w:r>
      <w:r w:rsidRPr="00791B88">
        <w:rPr>
          <w:rFonts w:asciiTheme="minorEastAsia" w:hAnsiTheme="minorEastAsia" w:hint="eastAsia"/>
        </w:rPr>
        <w:instrText>TOC \o "1-2" \h \z \u</w:instrText>
      </w:r>
      <w:r w:rsidRPr="00791B88">
        <w:rPr>
          <w:rFonts w:asciiTheme="minorEastAsia" w:hAnsiTheme="minorEastAsia"/>
        </w:rPr>
        <w:instrText xml:space="preserve"> </w:instrText>
      </w:r>
      <w:r w:rsidRPr="00791B88">
        <w:rPr>
          <w:rFonts w:asciiTheme="minorEastAsia" w:hAnsiTheme="minorEastAsia"/>
        </w:rPr>
        <w:fldChar w:fldCharType="separate"/>
      </w:r>
      <w:hyperlink w:anchor="_Toc988889" w:history="1">
        <w:r w:rsidRPr="00791B88">
          <w:rPr>
            <w:rFonts w:asciiTheme="minorEastAsia" w:hAnsiTheme="minorEastAsia" w:hint="eastAsia"/>
            <w:b/>
            <w:bCs/>
            <w:noProof/>
            <w:sz w:val="24"/>
          </w:rPr>
          <w:t>第一节 重要提示、目录和释义</w:t>
        </w:r>
        <w:r w:rsidRPr="00791B88">
          <w:rPr>
            <w:rFonts w:asciiTheme="minorEastAsia" w:hAnsiTheme="minorEastAsia"/>
            <w:noProof/>
            <w:webHidden/>
          </w:rPr>
          <w:tab/>
        </w:r>
        <w:r w:rsidRPr="00791B88">
          <w:rPr>
            <w:rFonts w:asciiTheme="minorEastAsia" w:hAnsiTheme="minorEastAsia"/>
            <w:noProof/>
            <w:webHidden/>
          </w:rPr>
          <w:fldChar w:fldCharType="begin"/>
        </w:r>
        <w:r w:rsidRPr="00791B88">
          <w:rPr>
            <w:rFonts w:asciiTheme="minorEastAsia" w:hAnsiTheme="minorEastAsia"/>
            <w:noProof/>
            <w:webHidden/>
          </w:rPr>
          <w:instrText xml:space="preserve"> PAGEREF _Toc988889 \h </w:instrText>
        </w:r>
        <w:r w:rsidRPr="00791B88">
          <w:rPr>
            <w:rFonts w:asciiTheme="minorEastAsia" w:hAnsiTheme="minorEastAsia"/>
            <w:noProof/>
            <w:webHidden/>
          </w:rPr>
        </w:r>
        <w:r w:rsidRPr="00791B88">
          <w:rPr>
            <w:rFonts w:asciiTheme="minorEastAsia" w:hAnsiTheme="minorEastAsia"/>
            <w:noProof/>
            <w:webHidden/>
          </w:rPr>
          <w:fldChar w:fldCharType="separate"/>
        </w:r>
        <w:r w:rsidR="003520BA">
          <w:rPr>
            <w:rFonts w:asciiTheme="minorEastAsia" w:hAnsiTheme="minorEastAsia"/>
            <w:noProof/>
            <w:webHidden/>
          </w:rPr>
          <w:t>2</w:t>
        </w:r>
        <w:r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890" w:history="1">
        <w:r w:rsidR="00674F05" w:rsidRPr="00791B88">
          <w:rPr>
            <w:rFonts w:asciiTheme="minorEastAsia" w:hAnsiTheme="minorEastAsia" w:hint="eastAsia"/>
            <w:b/>
            <w:bCs/>
            <w:noProof/>
            <w:sz w:val="24"/>
          </w:rPr>
          <w:t>第二节 公司简介和主要财务指标</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_Toc988890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6</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02" w:history="1">
        <w:r w:rsidR="00674F05" w:rsidRPr="00791B88">
          <w:rPr>
            <w:rFonts w:asciiTheme="minorEastAsia" w:hAnsiTheme="minorEastAsia" w:hint="eastAsia"/>
            <w:b/>
            <w:bCs/>
            <w:noProof/>
            <w:sz w:val="24"/>
          </w:rPr>
          <w:t>第三节 管理层讨论与分析</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_Toc988902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9</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28" w:history="1">
        <w:r w:rsidR="00674F05" w:rsidRPr="00791B88">
          <w:rPr>
            <w:rFonts w:asciiTheme="minorEastAsia" w:hAnsiTheme="minorEastAsia" w:hint="eastAsia"/>
            <w:b/>
            <w:bCs/>
            <w:noProof/>
            <w:sz w:val="24"/>
          </w:rPr>
          <w:t>第四节 公司治理</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_Toc988928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22</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35" w:history="1">
        <w:r w:rsidR="00674F05" w:rsidRPr="00791B88">
          <w:rPr>
            <w:rFonts w:asciiTheme="minorEastAsia" w:hAnsiTheme="minorEastAsia" w:hint="eastAsia"/>
            <w:b/>
            <w:bCs/>
            <w:noProof/>
            <w:sz w:val="24"/>
          </w:rPr>
          <w:t>第五节 环境和社会责任</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_Toc988935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23</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38" w:history="1">
        <w:r w:rsidR="00674F05" w:rsidRPr="00791B88">
          <w:rPr>
            <w:rFonts w:asciiTheme="minorEastAsia" w:hAnsiTheme="minorEastAsia" w:hint="eastAsia"/>
            <w:b/>
            <w:bCs/>
            <w:noProof/>
            <w:sz w:val="24"/>
          </w:rPr>
          <w:t>第六节 重要事项</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_Toc988938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27</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67" w:history="1">
        <w:r w:rsidR="00674F05" w:rsidRPr="00791B88">
          <w:rPr>
            <w:rFonts w:asciiTheme="minorEastAsia" w:hAnsiTheme="minorEastAsia" w:hint="eastAsia"/>
            <w:b/>
            <w:bCs/>
            <w:noProof/>
            <w:sz w:val="24"/>
          </w:rPr>
          <w:t>第七节 股份变动及股东情况</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_Toc988967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33</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75" w:history="1">
        <w:r w:rsidR="00674F05" w:rsidRPr="00791B88">
          <w:rPr>
            <w:rFonts w:asciiTheme="minorEastAsia" w:hAnsiTheme="minorEastAsia" w:hint="eastAsia"/>
            <w:b/>
            <w:bCs/>
            <w:noProof/>
            <w:sz w:val="24"/>
          </w:rPr>
          <w:t>第八节 优先股相关情况</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_Toc988975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37</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76" w:history="1">
        <w:r w:rsidR="00674F05" w:rsidRPr="00791B88">
          <w:rPr>
            <w:rFonts w:asciiTheme="minorEastAsia" w:hAnsiTheme="minorEastAsia" w:hint="eastAsia"/>
            <w:b/>
            <w:bCs/>
            <w:noProof/>
            <w:sz w:val="24"/>
          </w:rPr>
          <w:t>第九节 债券相关情况</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_Toc988976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38</w:t>
        </w:r>
        <w:r w:rsidR="00674F05" w:rsidRPr="00791B88">
          <w:rPr>
            <w:rFonts w:asciiTheme="minorEastAsia" w:hAnsiTheme="minorEastAsia"/>
            <w:noProof/>
            <w:webHidden/>
          </w:rPr>
          <w:fldChar w:fldCharType="end"/>
        </w:r>
      </w:hyperlink>
    </w:p>
    <w:p w:rsidR="00B72ACA" w:rsidRPr="00791B88" w:rsidRDefault="00CC1E22" w:rsidP="00791B88">
      <w:pPr>
        <w:pStyle w:val="1"/>
        <w:tabs>
          <w:tab w:val="left" w:leader="dot" w:pos="9469"/>
        </w:tabs>
        <w:spacing w:line="480" w:lineRule="auto"/>
        <w:rPr>
          <w:rFonts w:asciiTheme="minorEastAsia" w:hAnsiTheme="minorEastAsia"/>
          <w:noProof/>
        </w:rPr>
      </w:pPr>
      <w:hyperlink w:anchor="_Toc988977" w:history="1">
        <w:r w:rsidR="00674F05" w:rsidRPr="00791B88">
          <w:rPr>
            <w:rFonts w:asciiTheme="minorEastAsia" w:hAnsiTheme="minorEastAsia" w:hint="eastAsia"/>
            <w:b/>
            <w:bCs/>
            <w:noProof/>
            <w:sz w:val="24"/>
          </w:rPr>
          <w:t>第十节 财务报告</w:t>
        </w:r>
        <w:r w:rsidR="00674F05" w:rsidRPr="00791B88">
          <w:rPr>
            <w:rFonts w:asciiTheme="minorEastAsia" w:hAnsiTheme="minorEastAsia"/>
            <w:noProof/>
            <w:webHidden/>
          </w:rPr>
          <w:tab/>
        </w:r>
        <w:r w:rsidR="00674F05" w:rsidRPr="00791B88">
          <w:rPr>
            <w:rFonts w:asciiTheme="minorEastAsia" w:hAnsiTheme="minorEastAsia"/>
            <w:noProof/>
            <w:webHidden/>
          </w:rPr>
          <w:fldChar w:fldCharType="begin"/>
        </w:r>
        <w:r w:rsidR="00674F05" w:rsidRPr="00791B88">
          <w:rPr>
            <w:rFonts w:asciiTheme="minorEastAsia" w:hAnsiTheme="minorEastAsia"/>
            <w:noProof/>
            <w:webHidden/>
          </w:rPr>
          <w:instrText xml:space="preserve"> PAGEREF _Toc988977 \h </w:instrText>
        </w:r>
        <w:r w:rsidR="00674F05" w:rsidRPr="00791B88">
          <w:rPr>
            <w:rFonts w:asciiTheme="minorEastAsia" w:hAnsiTheme="minorEastAsia"/>
            <w:noProof/>
            <w:webHidden/>
          </w:rPr>
        </w:r>
        <w:r w:rsidR="00674F05" w:rsidRPr="00791B88">
          <w:rPr>
            <w:rFonts w:asciiTheme="minorEastAsia" w:hAnsiTheme="minorEastAsia"/>
            <w:noProof/>
            <w:webHidden/>
          </w:rPr>
          <w:fldChar w:fldCharType="separate"/>
        </w:r>
        <w:r w:rsidR="003520BA">
          <w:rPr>
            <w:rFonts w:asciiTheme="minorEastAsia" w:hAnsiTheme="minorEastAsia"/>
            <w:noProof/>
            <w:webHidden/>
          </w:rPr>
          <w:t>39</w:t>
        </w:r>
        <w:r w:rsidR="00674F05" w:rsidRPr="00791B88">
          <w:rPr>
            <w:rFonts w:asciiTheme="minorEastAsia" w:hAnsiTheme="minorEastAsia"/>
            <w:noProof/>
            <w:webHidden/>
          </w:rPr>
          <w:fldChar w:fldCharType="end"/>
        </w:r>
      </w:hyperlink>
      <w:r w:rsidR="00674F05" w:rsidRPr="00791B88">
        <w:rPr>
          <w:rFonts w:asciiTheme="minorEastAsia" w:hAnsiTheme="minorEastAsia"/>
        </w:rPr>
        <w:fldChar w:fldCharType="end"/>
      </w:r>
    </w:p>
    <w:p w:rsidR="00B72ACA" w:rsidRDefault="00674F05" w:rsidP="00791B88">
      <w:pPr>
        <w:spacing w:line="480" w:lineRule="auto"/>
      </w:pPr>
      <w:r>
        <w:br w:type="page"/>
      </w:r>
    </w:p>
    <w:p w:rsidR="00B72ACA" w:rsidRDefault="00674F05">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674F05" w:rsidRDefault="00674F05">
      <w:pPr>
        <w:pStyle w:val="a3"/>
        <w:spacing w:line="560" w:lineRule="atLeast"/>
        <w:divId w:val="377240772"/>
        <w:rPr>
          <w:sz w:val="18"/>
          <w:szCs w:val="18"/>
        </w:rPr>
      </w:pPr>
      <w:r>
        <w:rPr>
          <w:rFonts w:hint="eastAsia"/>
          <w:sz w:val="18"/>
          <w:szCs w:val="18"/>
        </w:rPr>
        <w:t>（一）载有公司负责人、主管会计工作负责人、会计主管人员签名并盖章的财务报表。</w:t>
      </w:r>
    </w:p>
    <w:p w:rsidR="00674F05" w:rsidRDefault="00674F05">
      <w:pPr>
        <w:pStyle w:val="a3"/>
        <w:spacing w:line="560" w:lineRule="atLeast"/>
        <w:divId w:val="377240772"/>
        <w:rPr>
          <w:sz w:val="18"/>
          <w:szCs w:val="18"/>
        </w:rPr>
      </w:pPr>
      <w:r>
        <w:rPr>
          <w:rFonts w:hint="eastAsia"/>
          <w:sz w:val="18"/>
          <w:szCs w:val="18"/>
        </w:rPr>
        <w:t>（二）报告期内公开披露过的所有公司文件的正本及公告的原稿。</w:t>
      </w:r>
    </w:p>
    <w:p w:rsidR="00674F05" w:rsidRDefault="00674F05">
      <w:pPr>
        <w:pStyle w:val="a3"/>
        <w:spacing w:line="560" w:lineRule="atLeast"/>
        <w:divId w:val="377240772"/>
        <w:rPr>
          <w:sz w:val="18"/>
          <w:szCs w:val="18"/>
        </w:rPr>
      </w:pPr>
      <w:r>
        <w:rPr>
          <w:rFonts w:hint="eastAsia"/>
          <w:sz w:val="18"/>
          <w:szCs w:val="18"/>
        </w:rPr>
        <w:t>（三）载有公司法定代表人签名并盖章的半年度报告。</w:t>
      </w:r>
    </w:p>
    <w:p w:rsidR="00B72ACA" w:rsidRDefault="00674F05">
      <w:r>
        <w:br w:type="page"/>
      </w:r>
    </w:p>
    <w:p w:rsidR="00B72ACA" w:rsidRDefault="00674F05">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2991"/>
        <w:gridCol w:w="3435"/>
      </w:tblGrid>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中国证监会、证监会</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深交所</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公司、本公司、华西股份</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控股股东、华西集团</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化纤厂</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华西资本</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江阴华西村资本有限公司，为本公司全资子公司</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华西码头</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江阴华西化工码头有限公司，为本公司全资子公司</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一村资本</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5A472C">
            <w:pPr>
              <w:spacing w:line="240" w:lineRule="exact"/>
              <w:jc w:val="both"/>
              <w:rPr>
                <w:rFonts w:ascii="宋体" w:eastAsia="宋体" w:hAnsi="宋体" w:cs="宋体"/>
                <w:sz w:val="18"/>
                <w:szCs w:val="18"/>
              </w:rPr>
            </w:pPr>
            <w:r>
              <w:rPr>
                <w:rFonts w:ascii="宋体" w:eastAsia="宋体" w:hAnsi="宋体" w:cs="宋体"/>
                <w:sz w:val="18"/>
                <w:szCs w:val="18"/>
              </w:rPr>
              <w:t>一</w:t>
            </w:r>
            <w:proofErr w:type="gramStart"/>
            <w:r>
              <w:rPr>
                <w:rFonts w:ascii="宋体" w:eastAsia="宋体" w:hAnsi="宋体" w:cs="宋体"/>
                <w:sz w:val="18"/>
                <w:szCs w:val="18"/>
              </w:rPr>
              <w:t>村资本</w:t>
            </w:r>
            <w:proofErr w:type="gramEnd"/>
            <w:r>
              <w:rPr>
                <w:rFonts w:ascii="宋体" w:eastAsia="宋体" w:hAnsi="宋体" w:cs="宋体"/>
                <w:sz w:val="18"/>
                <w:szCs w:val="18"/>
              </w:rPr>
              <w:t>有限公司，为本公司参股公司，截至报告期末，公司持有其40.92%的股权</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联储证券</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联储证券有限责任公司，为本公司参股公司，截至报告期末，公司持有其11.73%的股权</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稠州银行</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浙江稠州商业银行股份有限公司，为本公司参股公司，截至报告期末，公司</w:t>
            </w:r>
            <w:r w:rsidR="00F54857">
              <w:rPr>
                <w:rFonts w:ascii="宋体" w:eastAsia="宋体" w:hAnsi="宋体" w:cs="宋体"/>
                <w:sz w:val="18"/>
                <w:szCs w:val="18"/>
              </w:rPr>
              <w:t>通过华西资本</w:t>
            </w:r>
            <w:r>
              <w:rPr>
                <w:rFonts w:ascii="宋体" w:eastAsia="宋体" w:hAnsi="宋体" w:cs="宋体"/>
                <w:sz w:val="18"/>
                <w:szCs w:val="18"/>
              </w:rPr>
              <w:t>持有其4.82%的股权</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华泰证券</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华泰证券股份有限公司，为本公司参股公司，截至报告期末，公司持有其1,000万股股票</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江苏银行</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江苏银行股份有限公司，为本公司参股公司，截至报告期末，公司持有其2,502.888万股股票</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华西财务</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江苏华西集团财务有限公司，为本公司参股公司，截至报告期末，公司持有其10%的股权</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上海启澜</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上海启澜企业管理咨询合伙企业（有限合伙），为公司控制的合伙企业，公司向上海启澜实缴出资人民币96,250万元。</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Source Photonics Holding (Cayman) Limited</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索尔思光电，为本公司参股公司，截至报告期末，公司通过上海启</w:t>
            </w:r>
            <w:proofErr w:type="gramStart"/>
            <w:r>
              <w:rPr>
                <w:rFonts w:ascii="宋体" w:eastAsia="宋体" w:hAnsi="宋体" w:cs="宋体"/>
                <w:sz w:val="18"/>
                <w:szCs w:val="18"/>
              </w:rPr>
              <w:t>澜</w:t>
            </w:r>
            <w:proofErr w:type="gramEnd"/>
            <w:r>
              <w:rPr>
                <w:rFonts w:ascii="宋体" w:eastAsia="宋体" w:hAnsi="宋体" w:cs="宋体"/>
                <w:sz w:val="18"/>
                <w:szCs w:val="18"/>
              </w:rPr>
              <w:t>持有其28.17%的股权</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PTA</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精对苯二甲酸</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MEG</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乙二醇</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PF</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涤纶短纤维</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报告期</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2023年1月1日至2023年6月30日</w:t>
            </w:r>
          </w:p>
        </w:tc>
      </w:tr>
      <w:tr w:rsidR="00B72ACA" w:rsidTr="00F072A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元、万元</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人民币元、万元</w:t>
            </w:r>
          </w:p>
        </w:tc>
      </w:tr>
    </w:tbl>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B72ACA" w:rsidRDefault="00674F05">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000936</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公司的中文简称（如有）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华西股份</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JIANGSU HUAXICUN CO.,LTD.</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吴协恩</w:t>
            </w:r>
          </w:p>
        </w:tc>
      </w:tr>
    </w:tbl>
    <w:p w:rsidR="00B72ACA" w:rsidRDefault="00674F05">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王学良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查建玉</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0510-86217188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0510-86217149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0510-86217177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0510-86217177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zhajy@cnhuaxicun.com</w:t>
            </w:r>
          </w:p>
        </w:tc>
      </w:tr>
    </w:tbl>
    <w:p w:rsidR="00B72ACA" w:rsidRDefault="00674F05">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三、其他情况</w:t>
      </w:r>
      <w:bookmarkEnd w:id="4"/>
    </w:p>
    <w:p w:rsidR="00B72ACA" w:rsidRDefault="00674F05">
      <w:pPr>
        <w:pStyle w:val="3"/>
        <w:spacing w:line="280" w:lineRule="exact"/>
        <w:jc w:val="left"/>
        <w:rPr>
          <w:rFonts w:ascii="宋体" w:hAnsi="宋体" w:cs="宋体"/>
          <w:b/>
          <w:bCs/>
        </w:rPr>
      </w:pPr>
      <w:bookmarkStart w:id="5" w:name="_Toc988894"/>
      <w:r>
        <w:rPr>
          <w:rFonts w:ascii="宋体" w:hAnsi="宋体" w:cs="宋体"/>
          <w:b/>
          <w:bCs/>
        </w:rPr>
        <w:t>1、公司联系方式</w:t>
      </w:r>
      <w:bookmarkEnd w:id="5"/>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公司注册地址、公司办公地址及其邮政编码、公司网址、电子信箱等在报告期是否变化</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公司注册地址、公司办公地址及其邮政编码、公司网址、电子信箱等在报告期无变化，具体可参见2022年年报。</w:t>
      </w:r>
    </w:p>
    <w:p w:rsidR="00B72ACA" w:rsidRDefault="00674F05">
      <w:pPr>
        <w:pStyle w:val="3"/>
        <w:spacing w:line="280" w:lineRule="exact"/>
        <w:jc w:val="left"/>
        <w:rPr>
          <w:rFonts w:ascii="宋体" w:hAnsi="宋体" w:cs="宋体"/>
          <w:b/>
          <w:bCs/>
        </w:rPr>
      </w:pPr>
      <w:bookmarkStart w:id="6" w:name="_Toc988895"/>
      <w:r>
        <w:rPr>
          <w:rFonts w:ascii="宋体" w:hAnsi="宋体" w:cs="宋体"/>
          <w:b/>
          <w:bCs/>
        </w:rPr>
        <w:t>2、信息披露及备置地点</w:t>
      </w:r>
      <w:bookmarkEnd w:id="6"/>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信息披露及备置地点在报告期是否变化</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公司披露半年度报告的证券交易所网址</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http://www.szse.cn</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公司披露半年度报告的媒体名称及网址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《上海证券报》《证券时报》，http://www.cninfo.com.cn</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公司半年度报告备置地点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公司董事会办公室</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临时公告披露的指定网站查询日期（如有）</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2023年06月01日</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临时公告披露的指定网站查询索引（如有）</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巨潮资讯网，《关于增加指定信息披露媒体的公告》（公告编号：2023-024）</w:t>
            </w:r>
          </w:p>
        </w:tc>
      </w:tr>
    </w:tbl>
    <w:p w:rsidR="00B72ACA" w:rsidRDefault="00674F05">
      <w:pPr>
        <w:pStyle w:val="3"/>
        <w:spacing w:line="280" w:lineRule="exact"/>
        <w:jc w:val="left"/>
        <w:rPr>
          <w:rFonts w:ascii="宋体" w:hAnsi="宋体" w:cs="宋体"/>
          <w:b/>
          <w:bCs/>
        </w:rPr>
      </w:pPr>
      <w:bookmarkStart w:id="7" w:name="_Toc988896"/>
      <w:r>
        <w:rPr>
          <w:rFonts w:ascii="宋体" w:hAnsi="宋体" w:cs="宋体"/>
          <w:b/>
          <w:bCs/>
        </w:rPr>
        <w:t>3、其他有关资料</w:t>
      </w:r>
      <w:bookmarkEnd w:id="7"/>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其他有关资料在报告期是否变更情况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lastRenderedPageBreak/>
        <w:t>四、主要会计数据和财务指标</w:t>
      </w:r>
      <w:bookmarkEnd w:id="8"/>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-9.72%</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-55.05%</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42,330,666.42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98,203,482.54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-56.89%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82.24%</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-54.55%</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-54.55%</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0.87%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791B88">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1.08个百分点</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6,599,964,500.84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3.32%</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5,085,456,869.01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0.74%</w:t>
            </w:r>
          </w:p>
        </w:tc>
      </w:tr>
    </w:tbl>
    <w:p w:rsidR="00B72ACA" w:rsidRDefault="00674F05">
      <w:pPr>
        <w:pStyle w:val="2"/>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五、境内外会计准则下会计数据差异</w:t>
      </w:r>
      <w:bookmarkEnd w:id="9"/>
    </w:p>
    <w:p w:rsidR="00B72ACA" w:rsidRDefault="00674F05">
      <w:pPr>
        <w:pStyle w:val="3"/>
        <w:spacing w:line="280" w:lineRule="exact"/>
        <w:jc w:val="left"/>
        <w:rPr>
          <w:rFonts w:ascii="宋体" w:hAnsi="宋体" w:cs="宋体"/>
          <w:b/>
          <w:bCs/>
        </w:rPr>
      </w:pPr>
      <w:bookmarkStart w:id="10" w:name="_Toc988899"/>
      <w:r>
        <w:rPr>
          <w:rFonts w:ascii="宋体" w:hAnsi="宋体" w:cs="宋体"/>
          <w:b/>
          <w:bCs/>
        </w:rPr>
        <w:t>1、同时按照国际会计准则与按照中国会计准则披露的财务报告中净利润和净资产差异情况</w:t>
      </w:r>
      <w:bookmarkEnd w:id="10"/>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B72ACA" w:rsidRDefault="00674F05">
      <w:pPr>
        <w:pStyle w:val="3"/>
        <w:spacing w:line="280" w:lineRule="exact"/>
        <w:jc w:val="left"/>
        <w:rPr>
          <w:rFonts w:ascii="宋体" w:hAnsi="宋体" w:cs="宋体"/>
          <w:b/>
          <w:bCs/>
        </w:rPr>
      </w:pPr>
      <w:bookmarkStart w:id="11" w:name="_Toc988900"/>
      <w:r>
        <w:rPr>
          <w:rFonts w:ascii="宋体" w:hAnsi="宋体" w:cs="宋体"/>
          <w:b/>
          <w:bCs/>
        </w:rPr>
        <w:t>2、同时按照境外会计准则与按照中国会计准则披露的财务报告中净利润和净资产差异情况</w:t>
      </w:r>
      <w:bookmarkEnd w:id="11"/>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B72ACA" w:rsidRDefault="00674F05">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六、非经常性损益项目及金额</w:t>
      </w:r>
      <w:bookmarkEnd w:id="12"/>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1,639,178.75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1,344,554.49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682,134.63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2,046,403.90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其他符合非经常性损益定义的损益项目的具体情况：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17,090,080.03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rsidP="00C248A6">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w:t>
            </w:r>
            <w:r w:rsidR="00C248A6">
              <w:rPr>
                <w:rFonts w:ascii="宋体" w:eastAsia="宋体" w:hAnsi="宋体" w:cs="宋体"/>
                <w:sz w:val="18"/>
                <w:szCs w:val="18"/>
              </w:rPr>
              <w:t>、交易性金融负债产</w:t>
            </w:r>
            <w:r>
              <w:rPr>
                <w:rFonts w:ascii="宋体" w:eastAsia="宋体" w:hAnsi="宋体" w:cs="宋体"/>
                <w:sz w:val="18"/>
                <w:szCs w:val="18"/>
              </w:rPr>
              <w:t>生的公允价值变动损益，以及处置交易性金融资产和可供出售金融资产取得的投资收益均来自于公司及子公司，系公司的经常性损益。</w:t>
            </w:r>
          </w:p>
        </w:tc>
      </w:tr>
    </w:tbl>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B72ACA" w:rsidRDefault="00674F05">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一、报告期内公司从事的主要业务</w:t>
      </w:r>
      <w:bookmarkEnd w:id="14"/>
    </w:p>
    <w:p w:rsidR="00674F05" w:rsidRDefault="00674F05">
      <w:pPr>
        <w:pStyle w:val="a3"/>
        <w:spacing w:before="40" w:beforeAutospacing="0" w:after="40" w:afterAutospacing="0"/>
        <w:ind w:firstLine="360"/>
        <w:jc w:val="both"/>
        <w:divId w:val="1285307576"/>
      </w:pPr>
      <w:r>
        <w:rPr>
          <w:rFonts w:hint="eastAsia"/>
          <w:sz w:val="18"/>
          <w:szCs w:val="18"/>
        </w:rPr>
        <w:t>（一）公司主要业务情况</w:t>
      </w:r>
    </w:p>
    <w:p w:rsidR="00674F05" w:rsidRDefault="00674F05">
      <w:pPr>
        <w:pStyle w:val="a3"/>
        <w:spacing w:before="40" w:beforeAutospacing="0" w:after="40" w:afterAutospacing="0"/>
        <w:ind w:firstLine="360"/>
        <w:jc w:val="both"/>
        <w:divId w:val="1285307576"/>
      </w:pPr>
      <w:r>
        <w:rPr>
          <w:rFonts w:hint="eastAsia"/>
          <w:sz w:val="18"/>
          <w:szCs w:val="18"/>
        </w:rPr>
        <w:t>公司主要从事涤纶化纤的研发、生产和销售，石化仓储物流服务。</w:t>
      </w:r>
    </w:p>
    <w:p w:rsidR="00674F05" w:rsidRDefault="00674F05">
      <w:pPr>
        <w:pStyle w:val="a3"/>
        <w:spacing w:before="40" w:beforeAutospacing="0" w:after="40" w:afterAutospacing="0"/>
        <w:ind w:firstLine="360"/>
        <w:jc w:val="both"/>
        <w:divId w:val="1285307576"/>
      </w:pPr>
      <w:r>
        <w:rPr>
          <w:rFonts w:hint="eastAsia"/>
          <w:sz w:val="18"/>
          <w:szCs w:val="18"/>
        </w:rPr>
        <w:t>1、涤纶化纤业务</w:t>
      </w:r>
    </w:p>
    <w:p w:rsidR="00674F05" w:rsidRDefault="00674F05">
      <w:pPr>
        <w:pStyle w:val="a3"/>
        <w:spacing w:before="40" w:beforeAutospacing="0" w:after="40" w:afterAutospacing="0"/>
        <w:ind w:firstLine="360"/>
        <w:jc w:val="both"/>
        <w:divId w:val="1285307576"/>
      </w:pPr>
      <w:r>
        <w:rPr>
          <w:rFonts w:hint="eastAsia"/>
          <w:sz w:val="18"/>
          <w:szCs w:val="18"/>
        </w:rPr>
        <w:t>公司化纤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w:t>
      </w:r>
    </w:p>
    <w:p w:rsidR="00674F05" w:rsidRDefault="00674F05">
      <w:pPr>
        <w:pStyle w:val="a3"/>
        <w:spacing w:before="40" w:beforeAutospacing="0" w:after="40" w:afterAutospacing="0"/>
        <w:ind w:firstLine="360"/>
        <w:jc w:val="both"/>
        <w:divId w:val="1285307576"/>
      </w:pPr>
      <w:r>
        <w:rPr>
          <w:rFonts w:hint="eastAsia"/>
          <w:sz w:val="18"/>
          <w:szCs w:val="18"/>
        </w:rPr>
        <w:t>（1）采购模式</w:t>
      </w:r>
    </w:p>
    <w:p w:rsidR="00674F05" w:rsidRDefault="00674F05">
      <w:pPr>
        <w:pStyle w:val="a3"/>
        <w:spacing w:before="40" w:beforeAutospacing="0" w:after="40" w:afterAutospacing="0"/>
        <w:ind w:firstLine="360"/>
        <w:jc w:val="both"/>
        <w:divId w:val="1285307576"/>
      </w:pPr>
      <w:r>
        <w:rPr>
          <w:rFonts w:hint="eastAsia"/>
          <w:sz w:val="18"/>
          <w:szCs w:val="18"/>
        </w:rPr>
        <w:t>公司涤纶化纤业务的主要大宗原材料是精对苯二甲酸和乙二醇。精对苯二甲酸的市场属于垄断市场，供应商的选择范围相对较小，供应商来源相对稳定。公司对原材料的采购通常是和生产厂家直接协商，选择有竞争力的供应商建立长期稳定的合作关系，在长期合作的基础上，选择签订年度合约价格方式。在现货市场采购中，通过现货点价模式作为补充。</w:t>
      </w:r>
    </w:p>
    <w:p w:rsidR="00674F05" w:rsidRDefault="00674F05">
      <w:pPr>
        <w:pStyle w:val="a3"/>
        <w:spacing w:before="40" w:beforeAutospacing="0" w:after="40" w:afterAutospacing="0"/>
        <w:ind w:firstLine="360"/>
        <w:jc w:val="both"/>
        <w:divId w:val="1285307576"/>
      </w:pPr>
      <w:r>
        <w:rPr>
          <w:rFonts w:hint="eastAsia"/>
          <w:sz w:val="18"/>
          <w:szCs w:val="18"/>
        </w:rPr>
        <w:t>（2）生产模式</w:t>
      </w:r>
    </w:p>
    <w:p w:rsidR="00674F05" w:rsidRDefault="00674F05">
      <w:pPr>
        <w:pStyle w:val="a3"/>
        <w:spacing w:before="40" w:beforeAutospacing="0" w:after="40" w:afterAutospacing="0"/>
        <w:ind w:firstLine="360"/>
        <w:jc w:val="both"/>
        <w:divId w:val="1285307576"/>
      </w:pPr>
      <w:r>
        <w:rPr>
          <w:rFonts w:hint="eastAsia"/>
          <w:sz w:val="18"/>
          <w:szCs w:val="18"/>
        </w:rPr>
        <w:t>化纤厂生产车间主要有6个，其中聚酯车间2个，纺丝车间4个。目前已形成年产各类涤纶短纤维产品40万吨的生产能力，生产设备工艺全套引进德国吉玛公司的聚酯生产装置以及日本东洋纺、德国纽玛格公司的涤纶短纤维工艺流程，采用国际先进的纺线联合机，后牵伸联合机。聚酯生产中心采用JCS集散型控制系统，使聚酯生产实现了由计算机控制的自动化生产。短丝生产中心采用了DCS集散型电脑控制，可生产各种规格纺织类、非纺织类涤纶短纤维。</w:t>
      </w:r>
    </w:p>
    <w:p w:rsidR="00674F05" w:rsidRDefault="00674F05">
      <w:pPr>
        <w:pStyle w:val="a3"/>
        <w:spacing w:before="40" w:beforeAutospacing="0" w:after="40" w:afterAutospacing="0"/>
        <w:ind w:firstLine="360"/>
        <w:jc w:val="both"/>
        <w:divId w:val="1285307576"/>
      </w:pPr>
      <w:r>
        <w:rPr>
          <w:rFonts w:hint="eastAsia"/>
          <w:sz w:val="18"/>
          <w:szCs w:val="18"/>
        </w:rPr>
        <w:t>涤纶短纤维的生产流程如下：备料（PTA+MEG）→打浆→酯化→缩聚→熔体输送→熔体过滤器→纺丝→卷绕→横动→集束→牵伸→叠丝→蒸汽预热箱→卷曲→定型→切断机→检验（自检）→打包→成品检验→成品入库。</w:t>
      </w:r>
    </w:p>
    <w:p w:rsidR="00674F05" w:rsidRDefault="00674F05">
      <w:pPr>
        <w:pStyle w:val="a3"/>
        <w:spacing w:before="40" w:beforeAutospacing="0" w:after="40" w:afterAutospacing="0"/>
        <w:ind w:firstLine="360"/>
        <w:jc w:val="both"/>
        <w:divId w:val="1285307576"/>
      </w:pPr>
      <w:r>
        <w:rPr>
          <w:rFonts w:hint="eastAsia"/>
          <w:sz w:val="18"/>
          <w:szCs w:val="18"/>
        </w:rPr>
        <w:t>（3）销售模式</w:t>
      </w:r>
    </w:p>
    <w:p w:rsidR="00674F05" w:rsidRDefault="00674F05">
      <w:pPr>
        <w:pStyle w:val="a3"/>
        <w:spacing w:before="40" w:beforeAutospacing="0" w:after="40" w:afterAutospacing="0"/>
        <w:ind w:firstLine="360"/>
        <w:jc w:val="both"/>
        <w:divId w:val="1285307576"/>
      </w:pPr>
      <w:r>
        <w:rPr>
          <w:rFonts w:hint="eastAsia"/>
          <w:sz w:val="18"/>
          <w:szCs w:val="18"/>
        </w:rPr>
        <w:t>化纤厂的销售市场主要分为两大类，一类是针对传统纺织行业的客户市场，另一类是针对非织造行业。化纤厂的销售经营以市场为导向，同时兼顾出口政策和汇率变化，适时调整销售策略，追求可持续效益。在两大类市场的基础上，结合现有市场客户群及潜在客户群进行市场细分，对不同类别的客户采取不同的营销策略，化纤厂现有10条生产线，可以根据客户需求生产不同规格的产品。</w:t>
      </w:r>
    </w:p>
    <w:p w:rsidR="00674F05" w:rsidRDefault="00674F05">
      <w:pPr>
        <w:pStyle w:val="a3"/>
        <w:spacing w:before="40" w:beforeAutospacing="0" w:after="40" w:afterAutospacing="0"/>
        <w:ind w:firstLine="360"/>
        <w:jc w:val="both"/>
        <w:divId w:val="1285307576"/>
      </w:pPr>
      <w:r>
        <w:rPr>
          <w:rFonts w:hint="eastAsia"/>
          <w:sz w:val="18"/>
          <w:szCs w:val="18"/>
        </w:rPr>
        <w:t>化纤厂的销售模式主要分为现货销售和长期合作销售。现货销售一单一结，长期合作销售是和稳定的客户以月初报价、按平均价月结的方式。化纤厂以直销为主，直销客户占比80%-90%。</w:t>
      </w:r>
    </w:p>
    <w:p w:rsidR="00674F05" w:rsidRDefault="00674F05">
      <w:pPr>
        <w:pStyle w:val="a3"/>
        <w:spacing w:before="40" w:beforeAutospacing="0" w:after="40" w:afterAutospacing="0"/>
        <w:ind w:firstLine="360"/>
        <w:jc w:val="both"/>
        <w:divId w:val="1285307576"/>
      </w:pPr>
      <w:r>
        <w:rPr>
          <w:rFonts w:hint="eastAsia"/>
          <w:sz w:val="18"/>
          <w:szCs w:val="18"/>
        </w:rPr>
        <w:t>化纤厂销售部主要分为内销、外贸和后台。内销负责国内市场的销售，外贸负责国外市场的开拓和销售，后台负责订单接收和内勤管理。化纤厂注重销售人员的培养，销售队伍稳定。公司销售部每年综合统计客户满意度并分析，提出相应的改进措施，以持续提高客户满意度。</w:t>
      </w:r>
    </w:p>
    <w:p w:rsidR="00674F05" w:rsidRDefault="00674F05">
      <w:pPr>
        <w:pStyle w:val="a3"/>
        <w:spacing w:before="40" w:beforeAutospacing="0" w:after="40" w:afterAutospacing="0"/>
        <w:ind w:firstLine="360"/>
        <w:jc w:val="both"/>
        <w:divId w:val="1285307576"/>
      </w:pPr>
      <w:r>
        <w:rPr>
          <w:rFonts w:hint="eastAsia"/>
          <w:sz w:val="18"/>
          <w:szCs w:val="18"/>
        </w:rPr>
        <w:t>随着短纤期货在郑商所挂牌上市，公司积极合理利用期货工具，对企业库存保值，更合理地调节产品库存，盘活资金，预防一些市场的突发情况，对稳定企业经营起到了效果。</w:t>
      </w:r>
    </w:p>
    <w:p w:rsidR="00674F05" w:rsidRDefault="00674F05">
      <w:pPr>
        <w:pStyle w:val="a3"/>
        <w:spacing w:before="40" w:beforeAutospacing="0" w:after="40" w:afterAutospacing="0"/>
        <w:ind w:firstLine="360"/>
        <w:jc w:val="both"/>
        <w:divId w:val="1285307576"/>
      </w:pPr>
      <w:r>
        <w:rPr>
          <w:rFonts w:hint="eastAsia"/>
          <w:sz w:val="18"/>
          <w:szCs w:val="18"/>
        </w:rPr>
        <w:t>公司同时兼顾国内外市场，根据市场变化和消费导向适时调整销售策略。注重打造企业品牌，连续多年获得“江苏省重点培育和发展的国际知名品牌”。</w:t>
      </w:r>
    </w:p>
    <w:p w:rsidR="00674F05" w:rsidRDefault="00674F05">
      <w:pPr>
        <w:pStyle w:val="a3"/>
        <w:spacing w:before="40" w:beforeAutospacing="0" w:after="40" w:afterAutospacing="0"/>
        <w:ind w:firstLine="360"/>
        <w:jc w:val="both"/>
        <w:divId w:val="1285307576"/>
      </w:pPr>
      <w:r>
        <w:rPr>
          <w:rFonts w:hint="eastAsia"/>
          <w:sz w:val="18"/>
          <w:szCs w:val="18"/>
        </w:rPr>
        <w:t> </w:t>
      </w:r>
    </w:p>
    <w:p w:rsidR="00674F05" w:rsidRDefault="00674F05">
      <w:pPr>
        <w:pStyle w:val="a3"/>
        <w:spacing w:before="40" w:beforeAutospacing="0" w:after="40" w:afterAutospacing="0"/>
        <w:ind w:firstLine="360"/>
        <w:jc w:val="both"/>
        <w:divId w:val="1285307576"/>
      </w:pPr>
      <w:r>
        <w:rPr>
          <w:rFonts w:ascii="Times New Roman" w:hAnsi="Times New Roman" w:cs="Times New Roman"/>
          <w:sz w:val="18"/>
          <w:szCs w:val="18"/>
        </w:rPr>
        <w:t>2</w:t>
      </w:r>
      <w:r>
        <w:rPr>
          <w:rFonts w:hint="eastAsia"/>
          <w:sz w:val="18"/>
          <w:szCs w:val="18"/>
        </w:rPr>
        <w:t>、石化仓储业务</w:t>
      </w:r>
    </w:p>
    <w:p w:rsidR="00674F05" w:rsidRDefault="00674F05">
      <w:pPr>
        <w:pStyle w:val="a3"/>
        <w:spacing w:before="40" w:beforeAutospacing="0" w:after="40" w:afterAutospacing="0"/>
        <w:ind w:firstLine="360"/>
        <w:jc w:val="both"/>
        <w:divId w:val="1285307576"/>
      </w:pPr>
      <w:r>
        <w:rPr>
          <w:rFonts w:hint="eastAsia"/>
          <w:sz w:val="18"/>
          <w:szCs w:val="18"/>
        </w:rPr>
        <w:t>公司的石化仓储业务主要由全资子公司华西码头开展。华西码头位于苏、锡、常化工企业中心区，紧邻长江、连接京杭大运河，顺长江而上可直达长江中上游主要城市，地理位置优越，是长三角石化物流基地的重要国际港口口岸。华</w:t>
      </w:r>
      <w:r>
        <w:rPr>
          <w:rFonts w:hint="eastAsia"/>
          <w:sz w:val="18"/>
          <w:szCs w:val="18"/>
        </w:rPr>
        <w:lastRenderedPageBreak/>
        <w:t>西码头仓储总容量达</w:t>
      </w:r>
      <w:r>
        <w:rPr>
          <w:rFonts w:ascii="Times New Roman" w:hAnsi="Times New Roman" w:cs="Times New Roman"/>
          <w:sz w:val="18"/>
          <w:szCs w:val="18"/>
        </w:rPr>
        <w:t>30</w:t>
      </w:r>
      <w:r>
        <w:rPr>
          <w:rFonts w:hint="eastAsia"/>
          <w:sz w:val="18"/>
          <w:szCs w:val="18"/>
        </w:rPr>
        <w:t>万立方米，可接卸苯类、醇类、酸类等五十多种化工品。经过多年的稳健发展和客户积累，华西码头目前已经成为长江中下游最为成熟的物流仓储企业之一。</w:t>
      </w:r>
    </w:p>
    <w:p w:rsidR="00674F05" w:rsidRDefault="00674F05">
      <w:pPr>
        <w:pStyle w:val="a3"/>
        <w:spacing w:before="40" w:beforeAutospacing="0" w:after="40" w:afterAutospacing="0"/>
        <w:ind w:firstLine="360"/>
        <w:jc w:val="both"/>
        <w:divId w:val="1285307576"/>
      </w:pPr>
      <w:r>
        <w:rPr>
          <w:rFonts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674F05" w:rsidRDefault="00674F05">
      <w:pPr>
        <w:pStyle w:val="a3"/>
        <w:spacing w:before="40" w:beforeAutospacing="0" w:after="40" w:afterAutospacing="0"/>
        <w:ind w:firstLine="360"/>
        <w:jc w:val="both"/>
        <w:divId w:val="1285307576"/>
      </w:pPr>
      <w:r>
        <w:rPr>
          <w:rFonts w:hint="eastAsia"/>
          <w:sz w:val="18"/>
          <w:szCs w:val="18"/>
        </w:rPr>
        <w:t>（1）码头情况及罐区情况</w:t>
      </w:r>
    </w:p>
    <w:p w:rsidR="00674F05" w:rsidRDefault="00674F05">
      <w:pPr>
        <w:pStyle w:val="a3"/>
        <w:spacing w:before="40" w:beforeAutospacing="0" w:after="40" w:afterAutospacing="0"/>
        <w:ind w:firstLine="360"/>
        <w:jc w:val="both"/>
        <w:divId w:val="1285307576"/>
      </w:pPr>
      <w:r>
        <w:rPr>
          <w:rFonts w:hint="eastAsia"/>
          <w:sz w:val="18"/>
          <w:szCs w:val="18"/>
        </w:rPr>
        <w:t>①码头情况</w:t>
      </w:r>
    </w:p>
    <w:p w:rsidR="00674F05" w:rsidRDefault="00674F05">
      <w:pPr>
        <w:pStyle w:val="a3"/>
        <w:spacing w:before="40" w:beforeAutospacing="0" w:after="40" w:afterAutospacing="0"/>
        <w:ind w:firstLine="360"/>
        <w:jc w:val="both"/>
        <w:divId w:val="1285307576"/>
      </w:pPr>
      <w:r>
        <w:rPr>
          <w:rFonts w:hint="eastAsia"/>
          <w:sz w:val="18"/>
          <w:szCs w:val="18"/>
        </w:rPr>
        <w:t>华西码头自有一座</w:t>
      </w:r>
      <w:r>
        <w:rPr>
          <w:rFonts w:ascii="Times New Roman" w:hAnsi="Times New Roman" w:cs="Times New Roman"/>
          <w:sz w:val="18"/>
          <w:szCs w:val="18"/>
        </w:rPr>
        <w:t>5</w:t>
      </w:r>
      <w:r>
        <w:rPr>
          <w:rFonts w:hint="eastAsia"/>
          <w:sz w:val="18"/>
          <w:szCs w:val="18"/>
        </w:rPr>
        <w:t>万吨级液体化工品专用码头一座。码头配有2个2万吨级外轮泊位（兼靠5万吨级），外档可停靠1条5万吨级外轮，或者同时停靠2个2万吨级外轮作业，另外拥有2个3,000吨级内轮泊位和2个500吨级内轮泊位。</w:t>
      </w:r>
    </w:p>
    <w:p w:rsidR="00674F05" w:rsidRDefault="00674F05">
      <w:pPr>
        <w:pStyle w:val="a3"/>
        <w:spacing w:before="40" w:beforeAutospacing="0" w:after="40" w:afterAutospacing="0"/>
        <w:ind w:firstLine="360"/>
        <w:jc w:val="both"/>
        <w:divId w:val="1285307576"/>
      </w:pPr>
      <w:r>
        <w:rPr>
          <w:rFonts w:hint="eastAsia"/>
          <w:sz w:val="18"/>
          <w:szCs w:val="18"/>
        </w:rPr>
        <w:t>②罐区情况</w:t>
      </w:r>
    </w:p>
    <w:p w:rsidR="00674F05" w:rsidRDefault="00674F05">
      <w:pPr>
        <w:pStyle w:val="a3"/>
        <w:spacing w:before="40" w:beforeAutospacing="0" w:after="40" w:afterAutospacing="0"/>
        <w:ind w:firstLine="360"/>
        <w:jc w:val="both"/>
        <w:divId w:val="1285307576"/>
      </w:pPr>
      <w:r>
        <w:rPr>
          <w:rFonts w:hint="eastAsia"/>
          <w:sz w:val="18"/>
          <w:szCs w:val="18"/>
        </w:rPr>
        <w:t>华西码头现有8个储罐区，共有储罐89个，其中保税区储罐有10个，总罐容30.48万立方米。报告期内，公司储罐数量和罐容未发生改变。目前储罐存储品种约30个，主要包括苯乙烯、正丁醇、丙酮、苯酚、甲苯、甲甲酯、油品等。</w:t>
      </w:r>
    </w:p>
    <w:p w:rsidR="00674F05" w:rsidRDefault="00674F05">
      <w:pPr>
        <w:pStyle w:val="a3"/>
        <w:spacing w:before="40" w:beforeAutospacing="0" w:after="40" w:afterAutospacing="0"/>
        <w:ind w:firstLine="360"/>
        <w:jc w:val="both"/>
        <w:divId w:val="1285307576"/>
      </w:pPr>
      <w:r>
        <w:rPr>
          <w:rFonts w:hint="eastAsia"/>
          <w:sz w:val="18"/>
          <w:szCs w:val="18"/>
        </w:rPr>
        <w:t>（</w:t>
      </w:r>
      <w:r>
        <w:rPr>
          <w:rFonts w:ascii="Times New Roman" w:hAnsi="Times New Roman" w:cs="Times New Roman"/>
          <w:sz w:val="18"/>
          <w:szCs w:val="18"/>
        </w:rPr>
        <w:t>2</w:t>
      </w:r>
      <w:r>
        <w:rPr>
          <w:rFonts w:hint="eastAsia"/>
          <w:sz w:val="18"/>
          <w:szCs w:val="18"/>
        </w:rPr>
        <w:t>）业务流程</w:t>
      </w:r>
    </w:p>
    <w:p w:rsidR="00674F05" w:rsidRDefault="00674F05">
      <w:pPr>
        <w:pStyle w:val="a3"/>
        <w:spacing w:before="40" w:beforeAutospacing="0" w:after="40" w:afterAutospacing="0"/>
        <w:ind w:firstLine="360"/>
        <w:jc w:val="both"/>
        <w:divId w:val="1285307576"/>
      </w:pPr>
      <w:r>
        <w:rPr>
          <w:rFonts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674F05" w:rsidRDefault="00674F05">
      <w:pPr>
        <w:pStyle w:val="a3"/>
        <w:spacing w:before="40" w:beforeAutospacing="0" w:after="40" w:afterAutospacing="0"/>
        <w:ind w:firstLine="360"/>
        <w:jc w:val="both"/>
        <w:divId w:val="1285307576"/>
      </w:pPr>
      <w:r>
        <w:rPr>
          <w:rFonts w:hint="eastAsia"/>
          <w:sz w:val="18"/>
          <w:szCs w:val="18"/>
        </w:rPr>
        <w:t>（</w:t>
      </w:r>
      <w:r>
        <w:rPr>
          <w:rFonts w:ascii="Times New Roman" w:hAnsi="Times New Roman" w:cs="Times New Roman"/>
          <w:sz w:val="18"/>
          <w:szCs w:val="18"/>
        </w:rPr>
        <w:t>3</w:t>
      </w:r>
      <w:r>
        <w:rPr>
          <w:rFonts w:hint="eastAsia"/>
          <w:sz w:val="18"/>
          <w:szCs w:val="18"/>
        </w:rPr>
        <w:t>）定价模式和结算方式</w:t>
      </w:r>
    </w:p>
    <w:p w:rsidR="00674F05" w:rsidRDefault="00674F05">
      <w:pPr>
        <w:pStyle w:val="a3"/>
        <w:spacing w:before="40" w:beforeAutospacing="0" w:after="40" w:afterAutospacing="0"/>
        <w:ind w:firstLine="360"/>
        <w:jc w:val="both"/>
        <w:divId w:val="1285307576"/>
      </w:pPr>
      <w:r>
        <w:rPr>
          <w:rFonts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674F05" w:rsidRDefault="00674F05">
      <w:pPr>
        <w:pStyle w:val="a3"/>
        <w:spacing w:before="40" w:beforeAutospacing="0" w:after="40" w:afterAutospacing="0"/>
        <w:ind w:firstLine="360"/>
        <w:jc w:val="both"/>
        <w:divId w:val="1285307576"/>
      </w:pPr>
      <w:r>
        <w:rPr>
          <w:rFonts w:hint="eastAsia"/>
          <w:sz w:val="18"/>
          <w:szCs w:val="18"/>
        </w:rPr>
        <w:t>华西码头按月计算应收客户仓储服务费，客户最迟必须在提货前支付完毕所有的费用。华西码头回款情况良好，账期较短，盈利质量较高，确保了公司的稳健经营。</w:t>
      </w:r>
    </w:p>
    <w:p w:rsidR="00674F05" w:rsidRDefault="00674F05">
      <w:pPr>
        <w:pStyle w:val="a3"/>
        <w:spacing w:before="40" w:beforeAutospacing="0" w:after="40" w:afterAutospacing="0"/>
        <w:ind w:firstLine="360"/>
        <w:jc w:val="both"/>
        <w:divId w:val="1285307576"/>
      </w:pPr>
      <w:r>
        <w:rPr>
          <w:rFonts w:hint="eastAsia"/>
          <w:sz w:val="18"/>
          <w:szCs w:val="18"/>
        </w:rPr>
        <w:t>（</w:t>
      </w:r>
      <w:r>
        <w:rPr>
          <w:rFonts w:ascii="Times New Roman" w:hAnsi="Times New Roman" w:cs="Times New Roman"/>
          <w:sz w:val="18"/>
          <w:szCs w:val="18"/>
        </w:rPr>
        <w:t>4</w:t>
      </w:r>
      <w:r>
        <w:rPr>
          <w:rFonts w:hint="eastAsia"/>
          <w:sz w:val="18"/>
          <w:szCs w:val="18"/>
        </w:rPr>
        <w:t>）营销模式</w:t>
      </w:r>
    </w:p>
    <w:p w:rsidR="00674F05" w:rsidRDefault="00674F05">
      <w:pPr>
        <w:pStyle w:val="a3"/>
        <w:spacing w:before="40" w:beforeAutospacing="0" w:after="40" w:afterAutospacing="0"/>
        <w:ind w:firstLine="360"/>
        <w:jc w:val="both"/>
        <w:divId w:val="1285307576"/>
      </w:pPr>
      <w:r>
        <w:rPr>
          <w:rFonts w:hint="eastAsia"/>
          <w:sz w:val="18"/>
          <w:szCs w:val="18"/>
        </w:rPr>
        <w:t>建立多渠道的市场信息网络，全面了解重点区域市场和客户情况、竞争对手的信息，采取多种手段推介公司信息，提高公司知名度和影响力。</w:t>
      </w:r>
    </w:p>
    <w:p w:rsidR="00674F05" w:rsidRDefault="00674F05">
      <w:pPr>
        <w:pStyle w:val="a3"/>
        <w:spacing w:before="40" w:beforeAutospacing="0" w:after="40" w:afterAutospacing="0"/>
        <w:ind w:firstLine="360"/>
        <w:jc w:val="both"/>
        <w:divId w:val="1285307576"/>
      </w:pPr>
      <w:r>
        <w:rPr>
          <w:rFonts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674F05" w:rsidRDefault="00674F05">
      <w:pPr>
        <w:pStyle w:val="a3"/>
        <w:spacing w:before="40" w:beforeAutospacing="0" w:after="40" w:afterAutospacing="0"/>
        <w:ind w:firstLine="360"/>
        <w:jc w:val="both"/>
        <w:divId w:val="1285307576"/>
      </w:pPr>
      <w:r>
        <w:rPr>
          <w:rFonts w:hint="eastAsia"/>
          <w:sz w:val="18"/>
          <w:szCs w:val="18"/>
        </w:rPr>
        <w:t>建立和实施灵活的定价模式，本着长期合作，利益共享，共同承担风险的原则，进一步稳定老客户，不断开发新客户。</w:t>
      </w:r>
    </w:p>
    <w:p w:rsidR="00674F05" w:rsidRDefault="00674F05">
      <w:pPr>
        <w:pStyle w:val="a3"/>
        <w:spacing w:before="40" w:beforeAutospacing="0" w:after="40" w:afterAutospacing="0"/>
        <w:ind w:firstLine="360"/>
        <w:jc w:val="both"/>
        <w:divId w:val="1285307576"/>
      </w:pPr>
      <w:r>
        <w:rPr>
          <w:rFonts w:hint="eastAsia"/>
          <w:sz w:val="18"/>
          <w:szCs w:val="18"/>
        </w:rPr>
        <w:t> </w:t>
      </w:r>
    </w:p>
    <w:p w:rsidR="00674F05" w:rsidRDefault="00674F05">
      <w:pPr>
        <w:pStyle w:val="a3"/>
        <w:spacing w:before="40" w:beforeAutospacing="0" w:after="40" w:afterAutospacing="0"/>
        <w:ind w:firstLine="360"/>
        <w:jc w:val="both"/>
        <w:divId w:val="1285307576"/>
      </w:pPr>
      <w:r>
        <w:rPr>
          <w:rFonts w:hint="eastAsia"/>
          <w:sz w:val="18"/>
          <w:szCs w:val="18"/>
        </w:rPr>
        <w:t>（二）所属行业的发展情况</w:t>
      </w:r>
    </w:p>
    <w:p w:rsidR="00674F05" w:rsidRDefault="00674F05">
      <w:pPr>
        <w:pStyle w:val="a3"/>
        <w:spacing w:before="40" w:beforeAutospacing="0" w:after="40" w:afterAutospacing="0"/>
        <w:ind w:firstLine="360"/>
        <w:jc w:val="both"/>
        <w:divId w:val="1285307576"/>
      </w:pPr>
      <w:r>
        <w:rPr>
          <w:rFonts w:hint="eastAsia"/>
          <w:sz w:val="18"/>
          <w:szCs w:val="18"/>
        </w:rPr>
        <w:t>2023年上半年，在外贸订单薄弱、内需复苏有限的背景下，涤纶短纤维行业盈利能力较去年同期明显下滑，产业链各环节仍处于供应远大于需求的市场格局。主要原材料端方面，沙特自愿减产石油产量到</w:t>
      </w:r>
      <w:r w:rsidR="00BE4909">
        <w:rPr>
          <w:rFonts w:hint="eastAsia"/>
          <w:sz w:val="18"/>
          <w:szCs w:val="18"/>
        </w:rPr>
        <w:t>8</w:t>
      </w:r>
      <w:r>
        <w:rPr>
          <w:rFonts w:hint="eastAsia"/>
          <w:sz w:val="18"/>
          <w:szCs w:val="18"/>
        </w:rPr>
        <w:t>月份，俄罗斯也紧随其后减少50万桶/日以支撑石油价格，但受美联储加息概率增加，欧美PMI指数创新低，经济衰退抑制石油需求等因素影响，石油价格在区间内震荡，叠加PTA生产装置停车检修和开车互现的情况，PTA加工费仍维持在低位，产品价格重心下移。供需端方面，涤纶短纤维新产能仍继续投放市场，产量同比上升，而市场需求整体表现继续偏弱，织造工厂避险情绪升温，部分企业停车放假，客户囤货意愿不强，开机率仍在偏低位置运行，产品价格在</w:t>
      </w:r>
      <w:r w:rsidR="00C248A6">
        <w:rPr>
          <w:rFonts w:hint="eastAsia"/>
          <w:sz w:val="18"/>
          <w:szCs w:val="18"/>
        </w:rPr>
        <w:t>7,000-7,700元/吨区间震荡，远低于去年同期价格。</w:t>
      </w:r>
    </w:p>
    <w:p w:rsidR="00674F05" w:rsidRDefault="00674F05">
      <w:pPr>
        <w:pStyle w:val="a3"/>
        <w:spacing w:before="40" w:beforeAutospacing="0" w:after="40" w:afterAutospacing="0"/>
        <w:ind w:firstLine="360"/>
        <w:jc w:val="both"/>
        <w:divId w:val="1285307576"/>
      </w:pPr>
      <w:r>
        <w:rPr>
          <w:rFonts w:hint="eastAsia"/>
          <w:sz w:val="18"/>
          <w:szCs w:val="18"/>
        </w:rPr>
        <w:t>综上，目前仍是化纤行业景气度低迷时期，盈利压力巨大。为尽可能地降低行业低迷对公司业绩的影响，公司仍将继续贯彻稳健经营策略，不断提升产品的差异化、精细化、绿色化。</w:t>
      </w:r>
    </w:p>
    <w:p w:rsidR="00674F05" w:rsidRDefault="00674F05">
      <w:pPr>
        <w:pStyle w:val="a3"/>
        <w:spacing w:before="40" w:beforeAutospacing="0" w:after="40" w:afterAutospacing="0"/>
        <w:ind w:firstLine="360"/>
        <w:jc w:val="both"/>
        <w:divId w:val="1285307576"/>
      </w:pPr>
      <w:r>
        <w:rPr>
          <w:rFonts w:ascii="Calibri" w:hAnsi="Calibri" w:cs="Calibri"/>
          <w:color w:val="FF0000"/>
          <w:sz w:val="21"/>
          <w:szCs w:val="21"/>
        </w:rPr>
        <w:t> </w:t>
      </w:r>
    </w:p>
    <w:p w:rsidR="00674F05" w:rsidRDefault="00674F05">
      <w:pPr>
        <w:pStyle w:val="a3"/>
        <w:spacing w:before="40" w:beforeAutospacing="0" w:after="40" w:afterAutospacing="0"/>
        <w:ind w:firstLine="360"/>
        <w:jc w:val="both"/>
        <w:divId w:val="1285307576"/>
      </w:pPr>
      <w:r>
        <w:rPr>
          <w:rFonts w:hint="eastAsia"/>
          <w:sz w:val="18"/>
          <w:szCs w:val="18"/>
        </w:rPr>
        <w:lastRenderedPageBreak/>
        <w:t>（三）公司报告期主要经营情况</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2023年半年度公司共实现营业收入133,380.75万元，较上年同期减少了9.72%；实现营业利润6,063.39万元，较上年同期减少了53.30%；实现归属于母公司所有者的净利润4,437.71万元，较上年同期减少了55.05%；经营活动产生的现金流量净额为-1,642.15万元，较上年同期增加了82.24%；每股收益0.05元，较上年同期减少了54.55%；每股净资产5.74元，较年初增加了0.70%；实现加权平均净资产收益率0.87%，较上年同期减少了1.08个百分点。2023年半年度归属于母公司所有者的净利润较上年同期减少的主要原因是：1、报告期内，化纤业务受终端开工率不足等因素影响，产品毛利率下降；2、交易性金融资产在持有期间的投资收益和权益法核算的长期股权投资收益同比减少。</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报告期主要经营情况如下：</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化纤业务：</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上半年受整个行业景气度不高，</w:t>
      </w:r>
      <w:proofErr w:type="gramStart"/>
      <w:r>
        <w:rPr>
          <w:rFonts w:cs="Calibri" w:hint="eastAsia"/>
          <w:sz w:val="18"/>
          <w:szCs w:val="18"/>
        </w:rPr>
        <w:t>产业链各环节</w:t>
      </w:r>
      <w:proofErr w:type="gramEnd"/>
      <w:r>
        <w:rPr>
          <w:rFonts w:cs="Calibri" w:hint="eastAsia"/>
          <w:sz w:val="18"/>
          <w:szCs w:val="18"/>
        </w:rPr>
        <w:t>仍处于供应远大于需求的市场格局等影响，涤纶短纤维</w:t>
      </w:r>
      <w:r w:rsidR="00BE4909">
        <w:rPr>
          <w:rFonts w:cs="Calibri" w:hint="eastAsia"/>
          <w:sz w:val="18"/>
          <w:szCs w:val="18"/>
        </w:rPr>
        <w:t>实现</w:t>
      </w:r>
      <w:r>
        <w:rPr>
          <w:rFonts w:cs="Calibri" w:hint="eastAsia"/>
          <w:sz w:val="18"/>
          <w:szCs w:val="18"/>
        </w:rPr>
        <w:t xml:space="preserve">销售收入12.19亿元，较上年同期减少了8.68%，涤纶短纤维产品本期实现毛利0.12亿元，较上年同期减少了57.14%，涤纶短纤维毛利率为0.97%，较上年同期减少了1.14个百分点。主营产品涤纶短纤维销售量为182,841吨，较上年同期减少了2.75%，生产量181,641吨，较上年同期减少了0.48%，库存量为10,788吨，较年初减少了10.01%。 </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报告期内，公司通过设备改造和工艺改进来提升单线1.33规格产品的产量，在保证质量的前提下，产量有了近13%的提升，聚酯车间单位人工成本可下降5.91%，全年可节省人工成本近100万元。</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节能环保方面：公司化纤业务属于“用能大户”，</w:t>
      </w:r>
      <w:r w:rsidRPr="006708AF">
        <w:rPr>
          <w:rFonts w:cs="Calibri" w:hint="eastAsia"/>
          <w:sz w:val="18"/>
          <w:szCs w:val="18"/>
        </w:rPr>
        <w:t>电力、蒸汽、天然气等能源消耗占</w:t>
      </w:r>
      <w:r w:rsidR="006708AF" w:rsidRPr="006708AF">
        <w:rPr>
          <w:rFonts w:cs="Calibri" w:hint="eastAsia"/>
          <w:sz w:val="18"/>
          <w:szCs w:val="18"/>
        </w:rPr>
        <w:t>加工</w:t>
      </w:r>
      <w:r w:rsidRPr="006708AF">
        <w:rPr>
          <w:rFonts w:cs="Calibri" w:hint="eastAsia"/>
          <w:sz w:val="18"/>
          <w:szCs w:val="18"/>
        </w:rPr>
        <w:t>成本比重较高，所以节能降本工作的成效，直接影响公司的经营业绩。报告期内，1</w:t>
      </w:r>
      <w:r w:rsidR="00FD1F66" w:rsidRPr="006708AF">
        <w:rPr>
          <w:rFonts w:cs="Calibri" w:hint="eastAsia"/>
          <w:sz w:val="18"/>
          <w:szCs w:val="18"/>
        </w:rPr>
        <w:t>、公司推进建设</w:t>
      </w:r>
      <w:r w:rsidRPr="006708AF">
        <w:rPr>
          <w:rFonts w:cs="Calibri" w:hint="eastAsia"/>
          <w:sz w:val="18"/>
          <w:szCs w:val="18"/>
        </w:rPr>
        <w:t>聚酯酯化蒸汽余热发电</w:t>
      </w:r>
      <w:r w:rsidR="009D1B3C" w:rsidRPr="006708AF">
        <w:rPr>
          <w:rFonts w:cs="Calibri" w:hint="eastAsia"/>
          <w:sz w:val="18"/>
          <w:szCs w:val="18"/>
        </w:rPr>
        <w:t>项目</w:t>
      </w:r>
      <w:r w:rsidRPr="006708AF">
        <w:rPr>
          <w:rFonts w:cs="Calibri" w:hint="eastAsia"/>
          <w:sz w:val="18"/>
          <w:szCs w:val="18"/>
        </w:rPr>
        <w:t>，</w:t>
      </w:r>
      <w:r w:rsidR="00FD1F66" w:rsidRPr="006708AF">
        <w:rPr>
          <w:rFonts w:cs="Calibri" w:hint="eastAsia"/>
          <w:sz w:val="18"/>
          <w:szCs w:val="18"/>
        </w:rPr>
        <w:t>可</w:t>
      </w:r>
      <w:r w:rsidRPr="006708AF">
        <w:rPr>
          <w:rFonts w:cs="Calibri" w:hint="eastAsia"/>
          <w:sz w:val="18"/>
          <w:szCs w:val="18"/>
        </w:rPr>
        <w:t>解决部分</w:t>
      </w:r>
      <w:r w:rsidR="009D1B3C" w:rsidRPr="006708AF">
        <w:rPr>
          <w:rFonts w:cs="Calibri" w:hint="eastAsia"/>
          <w:sz w:val="18"/>
          <w:szCs w:val="18"/>
        </w:rPr>
        <w:t>酯化蒸汽通过风机直接排放的问题，</w:t>
      </w:r>
      <w:r w:rsidRPr="006708AF">
        <w:rPr>
          <w:rFonts w:cs="Calibri" w:hint="eastAsia"/>
          <w:sz w:val="18"/>
          <w:szCs w:val="18"/>
        </w:rPr>
        <w:t>此项节能工程</w:t>
      </w:r>
      <w:r w:rsidR="009D1B3C" w:rsidRPr="006708AF">
        <w:rPr>
          <w:rFonts w:cs="Calibri" w:hint="eastAsia"/>
          <w:sz w:val="18"/>
          <w:szCs w:val="18"/>
        </w:rPr>
        <w:t>完工后可以</w:t>
      </w:r>
      <w:r w:rsidRPr="006708AF">
        <w:rPr>
          <w:rFonts w:cs="Calibri" w:hint="eastAsia"/>
          <w:sz w:val="18"/>
          <w:szCs w:val="18"/>
        </w:rPr>
        <w:t>额外增加发电量。</w:t>
      </w:r>
      <w:r>
        <w:rPr>
          <w:rFonts w:cs="Calibri" w:hint="eastAsia"/>
          <w:sz w:val="18"/>
          <w:szCs w:val="18"/>
        </w:rPr>
        <w:t>2、对涤纶短纤维纺丝生产线的蒸汽系统进行节能改造，新增闪蒸系统、热泵引射系统、排放控制系统等，采用蒸汽热泵技术，对用汽设备出来的高温蒸汽冷凝水热量进行回收再利用，初步测算每年可节约蒸汽3,000余吨。3、公司正充分论证储能项目的可行性，通过整体布局降低电力成本。</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仓储业务：</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2023年上半年，我国石化产业由于受国内需求不足及出口减少的影响，全行</w:t>
      </w:r>
      <w:r w:rsidR="004B2D08">
        <w:rPr>
          <w:rFonts w:cs="Calibri" w:hint="eastAsia"/>
          <w:sz w:val="18"/>
          <w:szCs w:val="18"/>
        </w:rPr>
        <w:t>业盈利水平严重下滑，开工率不足，化工品价格整体下滑，周转量下降。</w:t>
      </w:r>
      <w:r>
        <w:rPr>
          <w:rFonts w:cs="Calibri" w:hint="eastAsia"/>
          <w:sz w:val="18"/>
          <w:szCs w:val="18"/>
        </w:rPr>
        <w:t>液化品仓储企业普遍不景气，储罐空置率较高，中转量下降，仓储企业竞争加大，盈利能力下降。</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在行业景气度下滑的情况下，华西码头加大安全和环保方面的技改投入，加快智改数转步伐，注重仓储品种的调整，加大市场开拓力度，加强企业内部管理，降本节支，提升服务满意度，不断提高公司在液化品仓储市场的品牌知名度和市场竞争率。</w:t>
      </w:r>
    </w:p>
    <w:p w:rsidR="00674F05" w:rsidRDefault="00674F05">
      <w:pPr>
        <w:pStyle w:val="a3"/>
        <w:spacing w:before="0" w:beforeAutospacing="0" w:after="0" w:afterAutospacing="0"/>
        <w:ind w:firstLine="360"/>
        <w:jc w:val="both"/>
        <w:divId w:val="1285307576"/>
        <w:rPr>
          <w:rFonts w:ascii="Calibri" w:hAnsi="Calibri" w:cs="Calibri"/>
          <w:sz w:val="21"/>
          <w:szCs w:val="21"/>
        </w:rPr>
      </w:pPr>
      <w:r>
        <w:rPr>
          <w:rFonts w:cs="Calibri" w:hint="eastAsia"/>
          <w:sz w:val="18"/>
          <w:szCs w:val="18"/>
        </w:rPr>
        <w:t>2023年1-6月，华西码头共实现营业收入17,338.70万元，同比增长了43.94%；实现净利润4,933.68万元，较上年同期基本持平。</w:t>
      </w:r>
    </w:p>
    <w:p w:rsidR="00B72ACA" w:rsidRDefault="00674F05">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t>二、核心竞争力分析</w:t>
      </w:r>
      <w:bookmarkEnd w:id="15"/>
    </w:p>
    <w:p w:rsidR="00674F05" w:rsidRDefault="00674F05">
      <w:pPr>
        <w:pStyle w:val="a3"/>
        <w:spacing w:before="40" w:beforeAutospacing="0" w:after="40" w:afterAutospacing="0"/>
        <w:ind w:firstLine="360"/>
        <w:jc w:val="both"/>
        <w:divId w:val="2127970069"/>
      </w:pPr>
      <w:r>
        <w:rPr>
          <w:rFonts w:hint="eastAsia"/>
          <w:sz w:val="18"/>
          <w:szCs w:val="18"/>
        </w:rPr>
        <w:t>公司的核心竞争力主要体现在：</w:t>
      </w:r>
    </w:p>
    <w:p w:rsidR="00674F05" w:rsidRDefault="00674F05">
      <w:pPr>
        <w:pStyle w:val="a3"/>
        <w:spacing w:before="40" w:beforeAutospacing="0" w:after="40" w:afterAutospacing="0"/>
        <w:ind w:firstLine="360"/>
        <w:jc w:val="both"/>
        <w:divId w:val="2127970069"/>
      </w:pPr>
      <w:r>
        <w:rPr>
          <w:rFonts w:hint="eastAsia"/>
          <w:sz w:val="18"/>
          <w:szCs w:val="18"/>
        </w:rPr>
        <w:t>1、品牌优势</w:t>
      </w:r>
    </w:p>
    <w:p w:rsidR="00674F05" w:rsidRDefault="00674F05">
      <w:pPr>
        <w:pStyle w:val="a3"/>
        <w:spacing w:before="40" w:beforeAutospacing="0" w:after="40" w:afterAutospacing="0"/>
        <w:ind w:firstLine="360"/>
        <w:jc w:val="both"/>
        <w:divId w:val="2127970069"/>
      </w:pPr>
      <w:r>
        <w:rPr>
          <w:rFonts w:hint="eastAsia"/>
          <w:sz w:val="18"/>
          <w:szCs w:val="18"/>
        </w:rPr>
        <w:t>经过多年的经营发展，“华西村”品牌已树立了诚信品牌形象，是值得信赖的品牌。华西化纤在涤纶短纤维市场拥有了一大批长期客户，保证了市场的稳定性，同时在产品价格上也形成了一定的优势。</w:t>
      </w:r>
    </w:p>
    <w:p w:rsidR="00674F05" w:rsidRDefault="00674F05">
      <w:pPr>
        <w:pStyle w:val="a3"/>
        <w:spacing w:before="40" w:beforeAutospacing="0" w:after="40" w:afterAutospacing="0"/>
        <w:ind w:firstLine="360"/>
        <w:jc w:val="both"/>
        <w:divId w:val="2127970069"/>
      </w:pPr>
      <w:r>
        <w:rPr>
          <w:rFonts w:hint="eastAsia"/>
          <w:sz w:val="18"/>
          <w:szCs w:val="18"/>
        </w:rPr>
        <w:t>2、技术优势</w:t>
      </w:r>
    </w:p>
    <w:p w:rsidR="00674F05" w:rsidRDefault="00674F05">
      <w:pPr>
        <w:pStyle w:val="a3"/>
        <w:spacing w:before="40" w:beforeAutospacing="0" w:after="40" w:afterAutospacing="0"/>
        <w:ind w:firstLine="360"/>
        <w:jc w:val="both"/>
        <w:divId w:val="2127970069"/>
      </w:pPr>
      <w:r>
        <w:rPr>
          <w:rFonts w:hint="eastAsia"/>
          <w:sz w:val="18"/>
          <w:szCs w:val="18"/>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w:t>
      </w:r>
    </w:p>
    <w:p w:rsidR="00674F05" w:rsidRDefault="00674F05">
      <w:pPr>
        <w:pStyle w:val="a3"/>
        <w:spacing w:before="40" w:beforeAutospacing="0" w:after="40" w:afterAutospacing="0"/>
        <w:ind w:firstLine="360"/>
        <w:jc w:val="both"/>
        <w:divId w:val="2127970069"/>
      </w:pPr>
      <w:r>
        <w:rPr>
          <w:rFonts w:hint="eastAsia"/>
          <w:sz w:val="18"/>
          <w:szCs w:val="18"/>
        </w:rPr>
        <w:t>3、产品优势</w:t>
      </w:r>
    </w:p>
    <w:p w:rsidR="00674F05" w:rsidRDefault="00674F05">
      <w:pPr>
        <w:pStyle w:val="a3"/>
        <w:spacing w:before="40" w:beforeAutospacing="0" w:after="40" w:afterAutospacing="0"/>
        <w:ind w:firstLine="360"/>
        <w:jc w:val="both"/>
        <w:divId w:val="2127970069"/>
      </w:pPr>
      <w:r>
        <w:rPr>
          <w:rFonts w:hint="eastAsia"/>
          <w:sz w:val="18"/>
          <w:szCs w:val="18"/>
        </w:rPr>
        <w:t>公司利用自身的设备优势和人才优势，成功地开发了市场高端的差别化产品，提高了产品的附加值，在差别化纤维领域处于领先地位，在一些差别化产品上有了定价权，提高了企业的效益。</w:t>
      </w:r>
    </w:p>
    <w:p w:rsidR="00B72ACA" w:rsidRDefault="00674F05">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lastRenderedPageBreak/>
        <w:t>三、主营业务分析</w:t>
      </w:r>
      <w:bookmarkEnd w:id="16"/>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概述</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参见“一、报告期内公司从事的主要业务”相关内容。</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主要财务数据同比变动情况</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1,247,952,427.96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1,368,836,046.51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1,897,076.49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1,664,466.44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24,004,176.28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27,431,689.66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8,021,110.24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11,561,698.54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-30.62%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主要原因是本期利息支出比上年同期减少。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17,346,186.54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18,443,589.12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FD1F66">
            <w:pPr>
              <w:spacing w:before="40" w:after="40" w:line="240" w:lineRule="exact"/>
              <w:rPr>
                <w:rFonts w:ascii="宋体" w:eastAsia="宋体" w:hAnsi="宋体" w:cs="宋体"/>
                <w:sz w:val="18"/>
                <w:szCs w:val="18"/>
              </w:rPr>
            </w:pPr>
            <w:r>
              <w:rPr>
                <w:rFonts w:ascii="宋体" w:eastAsia="宋体" w:hAnsi="宋体" w:cs="宋体"/>
                <w:sz w:val="18"/>
                <w:szCs w:val="18"/>
              </w:rPr>
              <w:t>研发</w:t>
            </w:r>
            <w:r>
              <w:rPr>
                <w:rFonts w:ascii="宋体" w:eastAsia="宋体" w:hAnsi="宋体" w:cs="宋体" w:hint="eastAsia"/>
                <w:sz w:val="18"/>
                <w:szCs w:val="18"/>
              </w:rPr>
              <w:t>费用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4,892,838.35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4,752,549.66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82.24%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主要原因是本期支付的各项税费款项比上年同期减少。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12,811,971.85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370,600,300.90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-96.54%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主要原因是本期处置交易性金融资产收到的现金比上年同期减少。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32,545,381.27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-162,753,790.45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FD1F66">
            <w:pPr>
              <w:spacing w:line="240" w:lineRule="exact"/>
              <w:jc w:val="both"/>
              <w:rPr>
                <w:rFonts w:ascii="宋体" w:eastAsia="宋体" w:hAnsi="宋体" w:cs="宋体"/>
                <w:sz w:val="18"/>
                <w:szCs w:val="18"/>
              </w:rPr>
            </w:pPr>
            <w:r>
              <w:rPr>
                <w:rFonts w:ascii="宋体" w:eastAsia="宋体" w:hAnsi="宋体" w:cs="宋体"/>
                <w:sz w:val="18"/>
                <w:szCs w:val="18"/>
              </w:rPr>
              <w:t>主要原因是本期偿还债务支付的现金比上年同期减少。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34,015,928.07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122,351,651.66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-72.20%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主要原因是本期投资活动产生的现金流量净额比上年同期减少。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10,648,315.76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80,904,546.22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-86.84%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主要原因是本期交易性金融资产在持有期间的投资收益和权益法核算的长期股权投资收益比上年同期减少。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公允价值变动收益</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6,748,211.48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187.32%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主要原因是本期持有的金融资产产生的公允价值变动收益比上年同期增加。</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-883,681.54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-3,529,971.10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74.97%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主要原因是本期计提的坏账准备比上年同期减少。</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资产减值损失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-57,593.64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-698.44%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主要原因是本期计提的存货跌价准备比上年同期增加。</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1,447,161.87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226,700.00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538.36%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主要原因是本期收到的赔偿款比上年同期增加。</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357,802.09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626,133.88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-42.86%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791B88">
            <w:pPr>
              <w:spacing w:line="240" w:lineRule="exact"/>
              <w:jc w:val="both"/>
              <w:rPr>
                <w:rFonts w:ascii="宋体" w:eastAsia="宋体" w:hAnsi="宋体" w:cs="宋体"/>
                <w:sz w:val="18"/>
                <w:szCs w:val="18"/>
              </w:rPr>
            </w:pPr>
            <w:r>
              <w:rPr>
                <w:rFonts w:ascii="宋体" w:eastAsia="宋体" w:hAnsi="宋体" w:cs="宋体"/>
                <w:sz w:val="18"/>
                <w:szCs w:val="18"/>
              </w:rPr>
              <w:t>主要原因是本期支付的对外捐赠款比上年同期减少。</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公司报告期利润构成或利润来源发生重大变动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公司报告期利润构成或利润来源没有发生重大变动。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营业收入构成</w:t>
      </w:r>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B72ACA">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B72ACA">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-9.72%</w:t>
            </w:r>
          </w:p>
        </w:tc>
      </w:tr>
      <w:tr w:rsidR="00B72ACA">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1,229,061,953.89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92.15%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1,339,062,142.41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90.64%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7.53%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-5.54%</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其他业务收入</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-86.62%</w:t>
            </w:r>
          </w:p>
        </w:tc>
      </w:tr>
      <w:tr w:rsidR="00B72ACA">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1,219,201,648.88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91.41%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1,335,099,831.70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90.37%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-8.68%</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7.53%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-5.54%</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其他产品</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9,860,305.01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0.74%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3,962,310.71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148.85%</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其他业务</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-86.62%</w:t>
            </w:r>
          </w:p>
        </w:tc>
      </w:tr>
      <w:tr w:rsidR="00B72ACA">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华东</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731,644,309.92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54.86%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811,946,468.83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54.96%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-9.89%</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华北</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292,416,554.65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21.92%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329,661,398.36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华中</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30,278,035.17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69,702,799.92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-56.56%</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华南</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54,578,615.51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36,278,935.42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50.44%</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224,889,989.58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16.86%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229,801,411.61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-2.14%</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占公司营业收入或营业利润10%以上的行业、产品或地区情况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B72ACA">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1,229,061,953.89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1,216,859,450.75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0.99%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28,757,602.24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71.38%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-2.41%</w:t>
            </w:r>
          </w:p>
        </w:tc>
      </w:tr>
      <w:tr w:rsidR="00B72ACA">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1,219,201,648.88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1,207,378,909.66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0.97%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-1.14%</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28,757,602.24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71.38%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-2.41%</w:t>
            </w:r>
          </w:p>
        </w:tc>
      </w:tr>
      <w:tr w:rsidR="00B72ACA">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华东</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717,505,119.91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644,488,911.04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-2.70%</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华北</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292,416,554.65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293,181,962.59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-2.94%</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华中</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30,278,035.17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29,937,520.17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-56.56%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-55.35%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-2.68%</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华南</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54,578,615.51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54,808,799.65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-0.42%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54.69%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-2.75%</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其他</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224,889,989.58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213,719,318.45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-9.47%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7.70%</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公司主营业务数据统计口径在报告期发生调整的情况下，公司最近1期按报告期末口径调整后的主营业务数据</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四、非主营业务分析</w:t>
      </w:r>
      <w:bookmarkEnd w:id="17"/>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18" w:name="_Toc988907"/>
      <w:r>
        <w:rPr>
          <w:rFonts w:ascii="宋体" w:eastAsia="宋体" w:hAnsi="宋体" w:cs="宋体"/>
          <w:b/>
          <w:bCs/>
          <w:sz w:val="24"/>
          <w:szCs w:val="24"/>
        </w:rPr>
        <w:t>五、资产及负债状况分析</w:t>
      </w:r>
      <w:bookmarkEnd w:id="18"/>
    </w:p>
    <w:p w:rsidR="00B72ACA" w:rsidRDefault="00674F05">
      <w:pPr>
        <w:pStyle w:val="3"/>
        <w:spacing w:line="280" w:lineRule="exact"/>
        <w:jc w:val="left"/>
        <w:rPr>
          <w:rFonts w:ascii="宋体" w:hAnsi="宋体" w:cs="宋体"/>
          <w:b/>
          <w:bCs/>
        </w:rPr>
      </w:pPr>
      <w:bookmarkStart w:id="19" w:name="_Toc988908"/>
      <w:r>
        <w:rPr>
          <w:rFonts w:ascii="宋体" w:hAnsi="宋体" w:cs="宋体"/>
          <w:b/>
          <w:bCs/>
        </w:rPr>
        <w:t>1、资产构成重大变动情况</w:t>
      </w:r>
      <w:bookmarkEnd w:id="1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上年末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815,861,025.64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650,764,185.67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136,579,021.81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153,520,232.23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投资性房地产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3,577,456,166.52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54.20%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56.43%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468,731,318.41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487,214,654.00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14,287,520.67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主要原因是本期化纤厂增加了酯化蒸汽余热发电等项目的投入。</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使用权资产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rsidP="00F072A7">
            <w:pPr>
              <w:spacing w:line="240" w:lineRule="exact"/>
              <w:jc w:val="both"/>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1,241,216,960.91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18.81%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16.73%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rsidP="00F072A7">
            <w:pPr>
              <w:spacing w:line="240" w:lineRule="exact"/>
              <w:jc w:val="both"/>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63,939,458.94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0.97%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50,758,825.56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0.79%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rsidP="00F072A7">
            <w:pPr>
              <w:spacing w:line="240" w:lineRule="exact"/>
              <w:jc w:val="both"/>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rsidP="00F072A7">
            <w:pPr>
              <w:spacing w:line="240" w:lineRule="exact"/>
              <w:jc w:val="both"/>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租赁负债</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rsidP="00F072A7">
            <w:pPr>
              <w:spacing w:line="240" w:lineRule="exact"/>
              <w:jc w:val="both"/>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应收票据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79,377,015.60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56,589,655.46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0.89%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0.31%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主要原因是期末持有的信用级别一般的银行承兑汇票增加。</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33,710,737.35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0.51%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967,065.72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0.49%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CA63A6">
            <w:pPr>
              <w:spacing w:line="240" w:lineRule="exact"/>
              <w:rPr>
                <w:rFonts w:ascii="宋体" w:eastAsia="宋体" w:hAnsi="宋体" w:cs="宋体"/>
                <w:sz w:val="18"/>
                <w:szCs w:val="18"/>
              </w:rPr>
            </w:pPr>
            <w:r>
              <w:rPr>
                <w:rFonts w:ascii="宋体" w:eastAsia="宋体" w:hAnsi="宋体" w:cs="宋体"/>
                <w:sz w:val="18"/>
                <w:szCs w:val="18"/>
              </w:rPr>
              <w:t>主要原因是期末增加了被投资单位宣告发放尚未收到的股利分配款3,273.93万元。</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其他流动资产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3,955,411.91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6,763,090.09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主要原因是期末增值税的留抵税额减少。</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4,942,377.30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主要原因是期末预付的长期资产构建款项增加。</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交易性金融负债</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主要原因是期末远期结售汇合同浮动亏损增加。</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预收账款</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2,693,118.27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7,642,658.11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主要原因是期末预收的仓储款减少。</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应付职工薪酬</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21,531,794.68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34,857,559.22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0.55%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主要原因是本期支付了上年计提的奖金款项。</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18,804,067.81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691,494.78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rPr>
                <w:rFonts w:ascii="宋体" w:eastAsia="宋体" w:hAnsi="宋体" w:cs="宋体"/>
                <w:sz w:val="18"/>
                <w:szCs w:val="18"/>
              </w:rPr>
            </w:pPr>
            <w:r>
              <w:rPr>
                <w:rFonts w:ascii="宋体" w:eastAsia="宋体" w:hAnsi="宋体" w:cs="宋体"/>
                <w:sz w:val="18"/>
                <w:szCs w:val="18"/>
              </w:rPr>
              <w:t>主要原因是期末增加了应付普通股股利款</w:t>
            </w:r>
            <w:r w:rsidR="00F072A7">
              <w:rPr>
                <w:rFonts w:ascii="宋体" w:eastAsia="宋体" w:hAnsi="宋体" w:cs="宋体"/>
                <w:sz w:val="18"/>
                <w:szCs w:val="18"/>
              </w:rPr>
              <w:t>1</w:t>
            </w:r>
            <w:r w:rsidR="00F072A7">
              <w:rPr>
                <w:rFonts w:ascii="宋体" w:eastAsia="宋体" w:hAnsi="宋体" w:cs="宋体" w:hint="eastAsia"/>
                <w:sz w:val="18"/>
                <w:szCs w:val="18"/>
              </w:rPr>
              <w:t>,</w:t>
            </w:r>
            <w:r>
              <w:rPr>
                <w:rFonts w:ascii="宋体" w:eastAsia="宋体" w:hAnsi="宋体" w:cs="宋体"/>
                <w:sz w:val="18"/>
                <w:szCs w:val="18"/>
              </w:rPr>
              <w:t>772.03万元。</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-8,971,411.64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rsidP="00F072A7">
            <w:pPr>
              <w:spacing w:line="240" w:lineRule="exact"/>
              <w:jc w:val="both"/>
              <w:rPr>
                <w:rFonts w:ascii="宋体" w:eastAsia="宋体" w:hAnsi="宋体" w:cs="宋体"/>
                <w:sz w:val="18"/>
                <w:szCs w:val="18"/>
              </w:rPr>
            </w:pPr>
            <w:r>
              <w:rPr>
                <w:rFonts w:ascii="宋体" w:eastAsia="宋体" w:hAnsi="宋体" w:cs="宋体"/>
                <w:sz w:val="18"/>
                <w:szCs w:val="18"/>
              </w:rPr>
              <w:t>主要原因是期末权益法下在被投资单位以后将重分类进损益的其他综合收益中享有的份额增加。</w:t>
            </w:r>
          </w:p>
        </w:tc>
      </w:tr>
    </w:tbl>
    <w:p w:rsidR="00B72ACA" w:rsidRDefault="00674F05">
      <w:pPr>
        <w:pStyle w:val="3"/>
        <w:spacing w:line="280" w:lineRule="exact"/>
        <w:jc w:val="left"/>
        <w:rPr>
          <w:rFonts w:ascii="宋体" w:hAnsi="宋体" w:cs="宋体"/>
          <w:b/>
          <w:bCs/>
        </w:rPr>
      </w:pPr>
      <w:bookmarkStart w:id="20" w:name="_Toc988909"/>
      <w:r>
        <w:rPr>
          <w:rFonts w:ascii="宋体" w:hAnsi="宋体" w:cs="宋体"/>
          <w:b/>
          <w:bCs/>
        </w:rPr>
        <w:t>2、主要境外资产情况</w:t>
      </w:r>
      <w:bookmarkEnd w:id="20"/>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运营模式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996B2E" w:rsidRDefault="00674F05">
            <w:pPr>
              <w:spacing w:line="240" w:lineRule="exact"/>
              <w:rPr>
                <w:rFonts w:ascii="宋体" w:eastAsia="宋体" w:hAnsi="宋体" w:cs="宋体"/>
                <w:sz w:val="18"/>
                <w:szCs w:val="18"/>
              </w:rPr>
            </w:pPr>
            <w:r>
              <w:rPr>
                <w:rFonts w:ascii="宋体" w:eastAsia="宋体" w:hAnsi="宋体" w:cs="宋体"/>
                <w:sz w:val="18"/>
                <w:szCs w:val="18"/>
              </w:rPr>
              <w:t>Source Photonics Holding (Cayman) Limited</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28.17%的股权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资产收购</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98,425.67万元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rsidP="00F93E57">
            <w:pPr>
              <w:spacing w:line="240" w:lineRule="exact"/>
              <w:jc w:val="both"/>
              <w:rPr>
                <w:rFonts w:ascii="宋体" w:eastAsia="宋体" w:hAnsi="宋体" w:cs="宋体"/>
                <w:sz w:val="18"/>
                <w:szCs w:val="18"/>
              </w:rPr>
            </w:pPr>
            <w:r>
              <w:rPr>
                <w:rFonts w:ascii="宋体" w:eastAsia="宋体" w:hAnsi="宋体" w:cs="宋体"/>
                <w:sz w:val="18"/>
                <w:szCs w:val="18"/>
              </w:rPr>
              <w:t>开曼群岛</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rsidP="00F93E57">
            <w:pPr>
              <w:spacing w:line="240" w:lineRule="exact"/>
              <w:rPr>
                <w:rFonts w:ascii="宋体" w:eastAsia="宋体" w:hAnsi="宋体" w:cs="宋体"/>
                <w:sz w:val="18"/>
                <w:szCs w:val="18"/>
              </w:rPr>
            </w:pPr>
            <w:r>
              <w:rPr>
                <w:rFonts w:ascii="宋体" w:eastAsia="宋体" w:hAnsi="宋体" w:cs="宋体"/>
                <w:sz w:val="18"/>
                <w:szCs w:val="18"/>
              </w:rPr>
              <w:t>垂直整合模式</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rsidP="00F93E57">
            <w:pPr>
              <w:spacing w:line="240" w:lineRule="exact"/>
              <w:jc w:val="both"/>
              <w:rPr>
                <w:rFonts w:ascii="宋体" w:eastAsia="宋体" w:hAnsi="宋体" w:cs="宋体"/>
                <w:sz w:val="18"/>
                <w:szCs w:val="18"/>
              </w:rPr>
            </w:pPr>
            <w:r>
              <w:rPr>
                <w:rFonts w:ascii="宋体" w:eastAsia="宋体" w:hAnsi="宋体" w:cs="宋体"/>
                <w:sz w:val="18"/>
                <w:szCs w:val="18"/>
              </w:rPr>
              <w:t>公司定期取得并审阅索尔思光电财务报告，及时了解其生产经营状况，确保公司的资产安全。</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-1,400.29万元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19.35%</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bl>
    <w:p w:rsidR="00B72ACA" w:rsidRDefault="00674F05">
      <w:pPr>
        <w:pStyle w:val="3"/>
        <w:spacing w:line="280" w:lineRule="exact"/>
        <w:jc w:val="left"/>
        <w:rPr>
          <w:rFonts w:ascii="宋体" w:hAnsi="宋体" w:cs="宋体"/>
          <w:b/>
          <w:bCs/>
        </w:rPr>
      </w:pPr>
      <w:bookmarkStart w:id="21" w:name="_Toc988910"/>
      <w:r>
        <w:rPr>
          <w:rFonts w:ascii="宋体" w:hAnsi="宋体" w:cs="宋体"/>
          <w:b/>
          <w:bCs/>
        </w:rPr>
        <w:t>3、以公允价值计量的资产和负债</w:t>
      </w:r>
      <w:bookmarkEnd w:id="21"/>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408,221,554.84</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10,834,577.04</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r>
      <w:tr w:rsidR="00944E1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944E1E" w:rsidRDefault="00944E1E">
            <w:pPr>
              <w:spacing w:before="40" w:after="40" w:line="240" w:lineRule="exact"/>
              <w:rPr>
                <w:rFonts w:ascii="宋体" w:eastAsia="宋体" w:hAnsi="宋体" w:cs="宋体"/>
                <w:sz w:val="18"/>
                <w:szCs w:val="18"/>
              </w:rPr>
            </w:pPr>
            <w:r>
              <w:rPr>
                <w:rFonts w:ascii="宋体" w:eastAsia="宋体" w:hAnsi="宋体" w:cs="宋体" w:hint="eastAsia"/>
                <w:sz w:val="18"/>
                <w:szCs w:val="18"/>
              </w:rPr>
              <w:t>2.应收款项融资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151,612,272.74</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155,406,036.26</w:t>
            </w:r>
          </w:p>
        </w:tc>
      </w:tr>
      <w:tr w:rsidR="00944E1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944E1E" w:rsidRDefault="00944E1E">
            <w:pPr>
              <w:spacing w:before="40" w:after="40" w:line="240" w:lineRule="exact"/>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.其他非流动金融资产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944E1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944E1E" w:rsidRDefault="00944E1E">
            <w:pPr>
              <w:spacing w:before="40" w:after="40" w:line="240" w:lineRule="exact"/>
              <w:rPr>
                <w:rFonts w:ascii="宋体" w:eastAsia="宋体" w:hAnsi="宋体" w:cs="宋体"/>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1,215,178,673.72</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10,834,577.04</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1,221,657,854.50</w:t>
            </w:r>
          </w:p>
        </w:tc>
      </w:tr>
      <w:tr w:rsidR="00944E1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944E1E" w:rsidRDefault="00944E1E">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1,215,178,673.72</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10,834,577.04</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hint="eastAsia"/>
                <w:sz w:val="18"/>
                <w:szCs w:val="18"/>
              </w:rPr>
              <w:t>1,221,657,854.50</w:t>
            </w:r>
          </w:p>
        </w:tc>
      </w:tr>
      <w:tr w:rsidR="00944E1E">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944E1E" w:rsidRDefault="00944E1E">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944E1E" w:rsidRDefault="00944E1E">
            <w:pPr>
              <w:spacing w:line="240" w:lineRule="exact"/>
              <w:jc w:val="right"/>
              <w:rPr>
                <w:rFonts w:ascii="宋体" w:eastAsia="宋体" w:hAnsi="宋体" w:cs="宋体"/>
                <w:sz w:val="18"/>
                <w:szCs w:val="18"/>
              </w:rPr>
            </w:pPr>
            <w:r>
              <w:rPr>
                <w:rFonts w:ascii="宋体" w:eastAsia="宋体" w:hAnsi="宋体" w:cs="宋体"/>
                <w:sz w:val="18"/>
                <w:szCs w:val="18"/>
              </w:rPr>
              <w:t>-4,086,365.56</w:t>
            </w:r>
          </w:p>
        </w:tc>
      </w:tr>
    </w:tbl>
    <w:p w:rsidR="00F072A7" w:rsidRDefault="00F072A7">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72ACA" w:rsidRDefault="00674F05">
      <w:pPr>
        <w:pStyle w:val="3"/>
        <w:spacing w:line="280" w:lineRule="exact"/>
        <w:jc w:val="left"/>
        <w:rPr>
          <w:rFonts w:ascii="宋体" w:hAnsi="宋体" w:cs="宋体"/>
          <w:b/>
          <w:bCs/>
        </w:rPr>
      </w:pPr>
      <w:bookmarkStart w:id="22" w:name="_Toc988911"/>
      <w:r>
        <w:rPr>
          <w:rFonts w:ascii="宋体" w:hAnsi="宋体" w:cs="宋体"/>
          <w:b/>
          <w:bCs/>
        </w:rPr>
        <w:t>4、截至报告期末的资产权利受限情况</w:t>
      </w:r>
      <w:bookmarkEnd w:id="22"/>
    </w:p>
    <w:p w:rsidR="00674F05" w:rsidRDefault="00674F05">
      <w:pPr>
        <w:pStyle w:val="a3"/>
        <w:divId w:val="648831240"/>
        <w:rPr>
          <w:sz w:val="18"/>
          <w:szCs w:val="18"/>
        </w:rPr>
      </w:pPr>
      <w:r>
        <w:rPr>
          <w:rFonts w:hint="eastAsia"/>
          <w:sz w:val="18"/>
          <w:szCs w:val="18"/>
        </w:rPr>
        <w:t>                                                            单位：元</w:t>
      </w:r>
    </w:p>
    <w:tbl>
      <w:tblPr>
        <w:tblW w:w="9216" w:type="dxa"/>
        <w:jc w:val="center"/>
        <w:tblCellMar>
          <w:left w:w="0" w:type="dxa"/>
          <w:right w:w="0" w:type="dxa"/>
        </w:tblCellMar>
        <w:tblLook w:val="04A0" w:firstRow="1" w:lastRow="0" w:firstColumn="1" w:lastColumn="0" w:noHBand="0" w:noVBand="1"/>
      </w:tblPr>
      <w:tblGrid>
        <w:gridCol w:w="2093"/>
        <w:gridCol w:w="1984"/>
        <w:gridCol w:w="5139"/>
      </w:tblGrid>
      <w:tr w:rsidR="00674F05">
        <w:trPr>
          <w:divId w:val="648831240"/>
          <w:trHeight w:val="360"/>
          <w:tblHeader/>
          <w:jc w:val="center"/>
        </w:trPr>
        <w:tc>
          <w:tcPr>
            <w:tcW w:w="209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sidR="006B0B20">
              <w:rPr>
                <w:rFonts w:cs="Times New Roman" w:hint="eastAsia"/>
                <w:sz w:val="18"/>
                <w:szCs w:val="18"/>
              </w:rPr>
              <w:t xml:space="preserve">  </w:t>
            </w:r>
            <w:r>
              <w:rPr>
                <w:rFonts w:cs="Times New Roman" w:hint="eastAsia"/>
                <w:sz w:val="18"/>
                <w:szCs w:val="18"/>
              </w:rPr>
              <w:t>目</w:t>
            </w:r>
          </w:p>
        </w:tc>
        <w:tc>
          <w:tcPr>
            <w:tcW w:w="198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期末账面价值</w:t>
            </w:r>
          </w:p>
        </w:tc>
        <w:tc>
          <w:tcPr>
            <w:tcW w:w="513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受限原因</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货币资金</w:t>
            </w:r>
          </w:p>
        </w:tc>
        <w:tc>
          <w:tcPr>
            <w:tcW w:w="1984" w:type="dxa"/>
            <w:tcBorders>
              <w:top w:val="nil"/>
              <w:left w:val="nil"/>
              <w:bottom w:val="single" w:sz="8" w:space="0" w:color="auto"/>
              <w:right w:val="single" w:sz="8" w:space="0" w:color="auto"/>
            </w:tcBorders>
            <w:tcMar>
              <w:top w:w="0" w:type="dxa"/>
              <w:left w:w="28" w:type="dxa"/>
              <w:bottom w:w="0" w:type="dxa"/>
              <w:right w:w="2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19,472,195.09</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国际信用证保证金</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货币资金</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339,818,352.00</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借款保证金</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应收票据</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20,588,935.10</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票据质押融资</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应收票据</w:t>
            </w:r>
          </w:p>
        </w:tc>
        <w:tc>
          <w:tcPr>
            <w:tcW w:w="1984" w:type="dxa"/>
            <w:tcBorders>
              <w:top w:val="nil"/>
              <w:left w:val="nil"/>
              <w:bottom w:val="single" w:sz="8" w:space="0" w:color="auto"/>
              <w:right w:val="single" w:sz="8" w:space="0" w:color="auto"/>
            </w:tcBorders>
            <w:tcMar>
              <w:top w:w="0" w:type="dxa"/>
              <w:left w:w="28" w:type="dxa"/>
              <w:bottom w:w="0" w:type="dxa"/>
              <w:right w:w="2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28,630,000.00</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未终止确认已背书或贴现但尚未到期的应收票据</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应收款项融资</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129,921,160.36</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票据质押融资</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江阴华西化工码头有限公司75%股权</w:t>
            </w:r>
          </w:p>
        </w:tc>
        <w:tc>
          <w:tcPr>
            <w:tcW w:w="1984" w:type="dxa"/>
            <w:tcBorders>
              <w:top w:val="nil"/>
              <w:left w:val="nil"/>
              <w:bottom w:val="single" w:sz="8" w:space="0" w:color="auto"/>
              <w:right w:val="single" w:sz="8" w:space="0" w:color="auto"/>
            </w:tcBorders>
            <w:tcMar>
              <w:top w:w="0" w:type="dxa"/>
              <w:left w:w="28" w:type="dxa"/>
              <w:bottom w:w="0" w:type="dxa"/>
              <w:right w:w="2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483,579,663.79</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rsidP="00CA63A6">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工商银行借款4,200万元由江苏华西集团有限公司提供担保及公司持有的江阴华西化工码头</w:t>
            </w:r>
            <w:r w:rsidR="00C24958">
              <w:rPr>
                <w:rFonts w:cs="Times New Roman" w:hint="eastAsia"/>
                <w:sz w:val="18"/>
                <w:szCs w:val="18"/>
              </w:rPr>
              <w:t>有限公司</w:t>
            </w:r>
            <w:r>
              <w:rPr>
                <w:rFonts w:cs="Times New Roman" w:hint="eastAsia"/>
                <w:sz w:val="18"/>
                <w:szCs w:val="18"/>
              </w:rPr>
              <w:t>75%股权质押</w:t>
            </w:r>
          </w:p>
        </w:tc>
      </w:tr>
      <w:tr w:rsidR="00674F05">
        <w:trPr>
          <w:divId w:val="648831240"/>
          <w:trHeight w:val="360"/>
          <w:jc w:val="center"/>
        </w:trPr>
        <w:tc>
          <w:tcPr>
            <w:tcW w:w="209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sidR="006B0B20">
              <w:rPr>
                <w:rFonts w:cs="Times New Roman" w:hint="eastAsia"/>
                <w:sz w:val="18"/>
                <w:szCs w:val="18"/>
              </w:rPr>
              <w:t xml:space="preserve">  </w:t>
            </w:r>
            <w:r>
              <w:rPr>
                <w:rFonts w:cs="Times New Roman" w:hint="eastAsia"/>
                <w:sz w:val="18"/>
                <w:szCs w:val="18"/>
              </w:rPr>
              <w:t>计</w:t>
            </w:r>
          </w:p>
        </w:tc>
        <w:tc>
          <w:tcPr>
            <w:tcW w:w="1984" w:type="dxa"/>
            <w:tcBorders>
              <w:top w:val="nil"/>
              <w:left w:val="nil"/>
              <w:bottom w:val="single" w:sz="8" w:space="0" w:color="auto"/>
              <w:right w:val="single" w:sz="8" w:space="0" w:color="auto"/>
            </w:tcBorders>
            <w:tcMar>
              <w:top w:w="0" w:type="dxa"/>
              <w:left w:w="28" w:type="dxa"/>
              <w:bottom w:w="0" w:type="dxa"/>
              <w:right w:w="2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1,022,010,306.34</w:t>
            </w:r>
          </w:p>
        </w:tc>
        <w:tc>
          <w:tcPr>
            <w:tcW w:w="51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 </w:t>
            </w:r>
          </w:p>
        </w:tc>
      </w:tr>
    </w:tbl>
    <w:p w:rsidR="00674F05" w:rsidRDefault="00674F05">
      <w:pPr>
        <w:divId w:val="648831240"/>
        <w:rPr>
          <w:sz w:val="24"/>
          <w:szCs w:val="24"/>
        </w:rPr>
      </w:pPr>
    </w:p>
    <w:p w:rsidR="00B72ACA" w:rsidRDefault="00674F05">
      <w:pPr>
        <w:pStyle w:val="2"/>
        <w:spacing w:before="300" w:after="300" w:line="320" w:lineRule="exact"/>
        <w:rPr>
          <w:rFonts w:ascii="宋体" w:eastAsia="宋体" w:hAnsi="宋体" w:cs="宋体"/>
          <w:b/>
          <w:bCs/>
          <w:sz w:val="24"/>
          <w:szCs w:val="24"/>
        </w:rPr>
      </w:pPr>
      <w:bookmarkStart w:id="23" w:name="_Toc988912"/>
      <w:r>
        <w:rPr>
          <w:rFonts w:ascii="宋体" w:eastAsia="宋体" w:hAnsi="宋体" w:cs="宋体"/>
          <w:b/>
          <w:bCs/>
          <w:sz w:val="24"/>
          <w:szCs w:val="24"/>
        </w:rPr>
        <w:lastRenderedPageBreak/>
        <w:t>六、投资状况分析</w:t>
      </w:r>
      <w:bookmarkEnd w:id="23"/>
    </w:p>
    <w:p w:rsidR="00B72ACA" w:rsidRDefault="00674F05">
      <w:pPr>
        <w:pStyle w:val="3"/>
        <w:spacing w:line="280" w:lineRule="exact"/>
        <w:jc w:val="left"/>
        <w:rPr>
          <w:rFonts w:ascii="宋体" w:hAnsi="宋体" w:cs="宋体"/>
          <w:b/>
          <w:bCs/>
        </w:rPr>
      </w:pPr>
      <w:bookmarkStart w:id="24" w:name="_Toc988913"/>
      <w:r>
        <w:rPr>
          <w:rFonts w:ascii="宋体" w:hAnsi="宋体" w:cs="宋体"/>
          <w:b/>
          <w:bCs/>
        </w:rPr>
        <w:t>1、总体情况</w:t>
      </w:r>
      <w:bookmarkEnd w:id="24"/>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12,583,645.56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25,732,924.44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-51.10%</w:t>
            </w:r>
          </w:p>
        </w:tc>
      </w:tr>
    </w:tbl>
    <w:p w:rsidR="00B72ACA" w:rsidRDefault="00674F05">
      <w:pPr>
        <w:pStyle w:val="3"/>
        <w:spacing w:line="280" w:lineRule="exact"/>
        <w:jc w:val="left"/>
        <w:rPr>
          <w:rFonts w:ascii="宋体" w:hAnsi="宋体" w:cs="宋体"/>
          <w:b/>
          <w:bCs/>
        </w:rPr>
      </w:pPr>
      <w:bookmarkStart w:id="25" w:name="_Toc988914"/>
      <w:r>
        <w:rPr>
          <w:rFonts w:ascii="宋体" w:hAnsi="宋体" w:cs="宋体"/>
          <w:b/>
          <w:bCs/>
        </w:rPr>
        <w:t>2、报告期内获取的重大的股权投资情况</w:t>
      </w:r>
      <w:bookmarkEnd w:id="25"/>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26" w:name="_Toc988915"/>
      <w:r>
        <w:rPr>
          <w:rFonts w:ascii="宋体" w:hAnsi="宋体" w:cs="宋体"/>
          <w:b/>
          <w:bCs/>
        </w:rPr>
        <w:t>3、报告期内正在进行的重大的非股权投资情况</w:t>
      </w:r>
      <w:bookmarkEnd w:id="26"/>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27" w:name="_Toc988916"/>
      <w:r>
        <w:rPr>
          <w:rFonts w:ascii="宋体" w:hAnsi="宋体" w:cs="宋体"/>
          <w:b/>
          <w:bCs/>
        </w:rPr>
        <w:t>4、金融资产投资</w:t>
      </w:r>
      <w:bookmarkEnd w:id="27"/>
    </w:p>
    <w:p w:rsidR="00B72ACA" w:rsidRDefault="00674F05">
      <w:pPr>
        <w:keepNext/>
        <w:keepLines/>
        <w:spacing w:before="300" w:after="300" w:line="280" w:lineRule="exact"/>
        <w:outlineLvl w:val="3"/>
        <w:rPr>
          <w:rFonts w:ascii="宋体" w:eastAsia="宋体" w:hAnsi="宋体" w:cs="宋体"/>
          <w:b/>
          <w:bCs/>
          <w:sz w:val="18"/>
          <w:szCs w:val="18"/>
        </w:rPr>
      </w:pPr>
      <w:bookmarkStart w:id="28" w:name="_Toc988917"/>
      <w:r>
        <w:rPr>
          <w:rFonts w:ascii="宋体" w:eastAsia="宋体" w:hAnsi="宋体" w:cs="宋体"/>
          <w:b/>
          <w:bCs/>
          <w:sz w:val="18"/>
          <w:szCs w:val="18"/>
        </w:rPr>
        <w:t>（1） 证券投资情况</w:t>
      </w:r>
      <w:bookmarkEnd w:id="28"/>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B72ACA">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B72ACA">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600919</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江苏银行</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92,040,814.36</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255,360,535.20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1,501,732.80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76,789,254.08</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5,390,986.88</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183,962,268.00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自有资金</w:t>
            </w:r>
          </w:p>
        </w:tc>
      </w:tr>
      <w:tr w:rsidR="00B72ACA">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601688</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5,888,246.32</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127,400,000.00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10,300,000.00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10,300,000.00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137,700,000.00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自有资金</w:t>
            </w:r>
          </w:p>
        </w:tc>
      </w:tr>
      <w:tr w:rsidR="00B72ACA">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期末持有的其他证券投资</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B72ACA">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97,929,060.68</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382,760,535.20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11,801,732.80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76,789,254.08</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15,690,986.88</w:t>
            </w:r>
          </w:p>
        </w:tc>
        <w:tc>
          <w:tcPr>
            <w:tcW w:w="689"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321,662,268.00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72ACA" w:rsidRDefault="00674F05">
      <w:pPr>
        <w:keepNext/>
        <w:keepLines/>
        <w:spacing w:before="300" w:after="300" w:line="280" w:lineRule="exact"/>
        <w:outlineLvl w:val="3"/>
        <w:rPr>
          <w:rFonts w:ascii="宋体" w:eastAsia="宋体" w:hAnsi="宋体" w:cs="宋体"/>
          <w:b/>
          <w:bCs/>
          <w:sz w:val="18"/>
          <w:szCs w:val="18"/>
        </w:rPr>
      </w:pPr>
      <w:bookmarkStart w:id="29" w:name="_Toc988918"/>
      <w:r>
        <w:rPr>
          <w:rFonts w:ascii="宋体" w:eastAsia="宋体" w:hAnsi="宋体" w:cs="宋体"/>
          <w:b/>
          <w:bCs/>
          <w:sz w:val="18"/>
          <w:szCs w:val="18"/>
        </w:rPr>
        <w:t>（2） 衍生品投资情况</w:t>
      </w:r>
      <w:bookmarkEnd w:id="29"/>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keepNext/>
        <w:keepLines/>
        <w:spacing w:before="300" w:after="300" w:line="280" w:lineRule="exact"/>
        <w:outlineLvl w:val="4"/>
        <w:rPr>
          <w:rFonts w:ascii="宋体" w:eastAsia="宋体" w:hAnsi="宋体" w:cs="宋体"/>
          <w:b/>
          <w:bCs/>
          <w:sz w:val="18"/>
          <w:szCs w:val="18"/>
        </w:rPr>
      </w:pPr>
      <w:bookmarkStart w:id="30" w:name="_Toc988919"/>
      <w:r>
        <w:rPr>
          <w:rFonts w:ascii="宋体" w:eastAsia="宋体" w:hAnsi="宋体" w:cs="宋体"/>
          <w:b/>
          <w:bCs/>
          <w:sz w:val="18"/>
          <w:szCs w:val="18"/>
        </w:rPr>
        <w:t>1） 报告期内以套期保值为目的的衍生品投资</w:t>
      </w:r>
      <w:bookmarkEnd w:id="30"/>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类型</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sz w:val="18"/>
                <w:szCs w:val="18"/>
              </w:rPr>
              <w:t>投资金额</w:t>
            </w:r>
          </w:p>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rsidP="00FE3FA6">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报告期实际损益金额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sz w:val="18"/>
                <w:szCs w:val="18"/>
              </w:rPr>
              <w:t>投资收益</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rsidP="00791B88">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rsidP="00791B88">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rPr>
                <w:rFonts w:ascii="宋体" w:eastAsia="宋体" w:hAnsi="宋体" w:cs="宋体"/>
                <w:sz w:val="18"/>
                <w:szCs w:val="18"/>
              </w:rPr>
            </w:pPr>
            <w:r>
              <w:rPr>
                <w:rFonts w:ascii="宋体" w:eastAsia="宋体" w:hAnsi="宋体" w:cs="宋体"/>
                <w:sz w:val="18"/>
                <w:szCs w:val="18"/>
              </w:rPr>
              <w:t>商品衍生品</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5028AF">
            <w:pPr>
              <w:spacing w:line="240" w:lineRule="exact"/>
              <w:jc w:val="right"/>
              <w:rPr>
                <w:rFonts w:ascii="宋体" w:eastAsia="宋体" w:hAnsi="宋体" w:cs="宋体"/>
                <w:sz w:val="18"/>
                <w:szCs w:val="18"/>
              </w:rPr>
            </w:pPr>
            <w:r>
              <w:rPr>
                <w:rFonts w:ascii="宋体" w:eastAsia="宋体" w:hAnsi="宋体" w:cs="宋体"/>
                <w:sz w:val="18"/>
                <w:szCs w:val="18"/>
              </w:rPr>
              <w:t>2</w:t>
            </w:r>
            <w:r w:rsidR="005028AF">
              <w:rPr>
                <w:rFonts w:ascii="宋体" w:eastAsia="宋体" w:hAnsi="宋体" w:cs="宋体" w:hint="eastAsia"/>
                <w:sz w:val="18"/>
                <w:szCs w:val="18"/>
              </w:rPr>
              <w:t>6</w:t>
            </w:r>
            <w:r>
              <w:rPr>
                <w:rFonts w:ascii="宋体" w:eastAsia="宋体" w:hAnsi="宋体" w:cs="宋体"/>
                <w:sz w:val="18"/>
                <w:szCs w:val="18"/>
              </w:rPr>
              <w:t>,</w:t>
            </w:r>
            <w:r w:rsidR="005028AF">
              <w:rPr>
                <w:rFonts w:ascii="宋体" w:eastAsia="宋体" w:hAnsi="宋体" w:cs="宋体" w:hint="eastAsia"/>
                <w:sz w:val="18"/>
                <w:szCs w:val="18"/>
              </w:rPr>
              <w:t>624.81</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hint="eastAsia"/>
                <w:sz w:val="18"/>
                <w:szCs w:val="18"/>
              </w:rPr>
              <w:t>1,039.97</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hint="eastAsia"/>
                <w:sz w:val="18"/>
                <w:szCs w:val="18"/>
              </w:rPr>
              <w:t>1,166.95</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791B88">
            <w:pPr>
              <w:spacing w:line="240" w:lineRule="exact"/>
              <w:jc w:val="right"/>
              <w:rPr>
                <w:rFonts w:ascii="宋体" w:eastAsia="宋体" w:hAnsi="宋体" w:cs="宋体"/>
                <w:sz w:val="18"/>
                <w:szCs w:val="18"/>
              </w:rPr>
            </w:pPr>
            <w:r>
              <w:rPr>
                <w:rFonts w:ascii="宋体" w:eastAsia="宋体" w:hAnsi="宋体" w:cs="宋体"/>
                <w:sz w:val="18"/>
                <w:szCs w:val="18"/>
              </w:rPr>
              <w:t>-126.98</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791B8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5028AF">
            <w:pPr>
              <w:spacing w:line="240" w:lineRule="exact"/>
              <w:jc w:val="right"/>
              <w:rPr>
                <w:rFonts w:ascii="宋体" w:eastAsia="宋体" w:hAnsi="宋体" w:cs="宋体"/>
                <w:sz w:val="18"/>
                <w:szCs w:val="18"/>
              </w:rPr>
            </w:pPr>
            <w:r>
              <w:rPr>
                <w:rFonts w:ascii="宋体" w:eastAsia="宋体" w:hAnsi="宋体" w:cs="宋体"/>
                <w:sz w:val="18"/>
                <w:szCs w:val="18"/>
              </w:rPr>
              <w:t>1,</w:t>
            </w:r>
            <w:r w:rsidR="005028AF">
              <w:rPr>
                <w:rFonts w:ascii="宋体" w:eastAsia="宋体" w:hAnsi="宋体" w:cs="宋体" w:hint="eastAsia"/>
                <w:sz w:val="18"/>
                <w:szCs w:val="18"/>
              </w:rPr>
              <w:t>509</w:t>
            </w:r>
            <w:r>
              <w:rPr>
                <w:rFonts w:ascii="宋体" w:eastAsia="宋体" w:hAnsi="宋体" w:cs="宋体"/>
                <w:sz w:val="18"/>
                <w:szCs w:val="18"/>
              </w:rPr>
              <w:t>.</w:t>
            </w:r>
            <w:r w:rsidR="005028AF">
              <w:rPr>
                <w:rFonts w:ascii="宋体" w:eastAsia="宋体" w:hAnsi="宋体" w:cs="宋体" w:hint="eastAsia"/>
                <w:sz w:val="18"/>
                <w:szCs w:val="18"/>
              </w:rPr>
              <w:t>98</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5028AF">
            <w:pPr>
              <w:spacing w:line="240" w:lineRule="exact"/>
              <w:jc w:val="right"/>
              <w:rPr>
                <w:rFonts w:ascii="宋体" w:eastAsia="宋体" w:hAnsi="宋体" w:cs="宋体"/>
                <w:sz w:val="18"/>
                <w:szCs w:val="18"/>
              </w:rPr>
            </w:pPr>
            <w:r>
              <w:rPr>
                <w:rFonts w:ascii="宋体" w:eastAsia="宋体" w:hAnsi="宋体" w:cs="宋体"/>
                <w:sz w:val="18"/>
                <w:szCs w:val="18"/>
              </w:rPr>
              <w:t>0.</w:t>
            </w:r>
            <w:r w:rsidR="005028AF">
              <w:rPr>
                <w:rFonts w:ascii="宋体" w:eastAsia="宋体" w:hAnsi="宋体" w:cs="宋体" w:hint="eastAsia"/>
                <w:sz w:val="18"/>
                <w:szCs w:val="18"/>
              </w:rPr>
              <w:t>30</w:t>
            </w:r>
            <w:r>
              <w:rPr>
                <w:rFonts w:ascii="宋体" w:eastAsia="宋体" w:hAnsi="宋体" w:cs="宋体"/>
                <w:sz w:val="18"/>
                <w:szCs w:val="18"/>
              </w:rPr>
              <w:t>%</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rPr>
                <w:rFonts w:ascii="宋体" w:eastAsia="宋体" w:hAnsi="宋体" w:cs="宋体"/>
                <w:sz w:val="18"/>
                <w:szCs w:val="18"/>
              </w:rPr>
            </w:pPr>
            <w:r>
              <w:rPr>
                <w:rFonts w:ascii="宋体" w:eastAsia="宋体" w:hAnsi="宋体" w:cs="宋体"/>
                <w:sz w:val="18"/>
                <w:szCs w:val="18"/>
              </w:rPr>
              <w:t>远期外汇合约</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hint="eastAsia"/>
                <w:sz w:val="18"/>
                <w:szCs w:val="18"/>
              </w:rPr>
              <w:t>-430.12</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hint="eastAsia"/>
                <w:sz w:val="18"/>
                <w:szCs w:val="18"/>
              </w:rPr>
              <w:t>-21.48</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791B88">
            <w:pPr>
              <w:spacing w:line="240" w:lineRule="exact"/>
              <w:jc w:val="right"/>
              <w:rPr>
                <w:rFonts w:ascii="宋体" w:eastAsia="宋体" w:hAnsi="宋体" w:cs="宋体"/>
                <w:sz w:val="18"/>
                <w:szCs w:val="18"/>
              </w:rPr>
            </w:pPr>
            <w:r>
              <w:rPr>
                <w:rFonts w:ascii="宋体" w:eastAsia="宋体" w:hAnsi="宋体" w:cs="宋体"/>
                <w:sz w:val="18"/>
                <w:szCs w:val="18"/>
              </w:rPr>
              <w:t>-408.64</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791B8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sz w:val="18"/>
                <w:szCs w:val="18"/>
              </w:rPr>
              <w:t>8,529.87</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sz w:val="18"/>
                <w:szCs w:val="18"/>
              </w:rPr>
              <w:t>1.68%</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5028AF">
            <w:pPr>
              <w:spacing w:line="240" w:lineRule="exact"/>
              <w:jc w:val="right"/>
              <w:rPr>
                <w:rFonts w:ascii="宋体" w:eastAsia="宋体" w:hAnsi="宋体" w:cs="宋体"/>
                <w:sz w:val="18"/>
                <w:szCs w:val="18"/>
              </w:rPr>
            </w:pPr>
            <w:r>
              <w:rPr>
                <w:rFonts w:ascii="宋体" w:eastAsia="宋体" w:hAnsi="宋体" w:cs="宋体"/>
                <w:sz w:val="18"/>
                <w:szCs w:val="18"/>
              </w:rPr>
              <w:t>2</w:t>
            </w:r>
            <w:r>
              <w:rPr>
                <w:rFonts w:ascii="宋体" w:eastAsia="宋体" w:hAnsi="宋体" w:cs="宋体" w:hint="eastAsia"/>
                <w:sz w:val="18"/>
                <w:szCs w:val="18"/>
              </w:rPr>
              <w:t>6</w:t>
            </w:r>
            <w:r>
              <w:rPr>
                <w:rFonts w:ascii="宋体" w:eastAsia="宋体" w:hAnsi="宋体" w:cs="宋体"/>
                <w:sz w:val="18"/>
                <w:szCs w:val="18"/>
              </w:rPr>
              <w:t>,</w:t>
            </w:r>
            <w:r>
              <w:rPr>
                <w:rFonts w:ascii="宋体" w:eastAsia="宋体" w:hAnsi="宋体" w:cs="宋体" w:hint="eastAsia"/>
                <w:sz w:val="18"/>
                <w:szCs w:val="18"/>
              </w:rPr>
              <w:t>624.81</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hint="eastAsia"/>
                <w:sz w:val="18"/>
                <w:szCs w:val="18"/>
              </w:rPr>
              <w:t>609.85</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jc w:val="right"/>
              <w:rPr>
                <w:rFonts w:ascii="宋体" w:eastAsia="宋体" w:hAnsi="宋体" w:cs="宋体"/>
                <w:sz w:val="18"/>
                <w:szCs w:val="18"/>
              </w:rPr>
            </w:pPr>
            <w:r>
              <w:rPr>
                <w:rFonts w:ascii="宋体" w:eastAsia="宋体" w:hAnsi="宋体" w:cs="宋体" w:hint="eastAsia"/>
                <w:sz w:val="18"/>
                <w:szCs w:val="18"/>
              </w:rPr>
              <w:t>1,145.47</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791B88">
            <w:pPr>
              <w:spacing w:line="240" w:lineRule="exact"/>
              <w:jc w:val="right"/>
              <w:rPr>
                <w:rFonts w:ascii="宋体" w:eastAsia="宋体" w:hAnsi="宋体" w:cs="宋体"/>
                <w:sz w:val="18"/>
                <w:szCs w:val="18"/>
              </w:rPr>
            </w:pPr>
            <w:r>
              <w:rPr>
                <w:rFonts w:ascii="宋体" w:eastAsia="宋体" w:hAnsi="宋体" w:cs="宋体"/>
                <w:sz w:val="18"/>
                <w:szCs w:val="18"/>
              </w:rPr>
              <w:t>-535.62</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791B8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5028AF">
            <w:pPr>
              <w:spacing w:line="240" w:lineRule="exact"/>
              <w:jc w:val="right"/>
              <w:rPr>
                <w:rFonts w:ascii="宋体" w:eastAsia="宋体" w:hAnsi="宋体" w:cs="宋体"/>
                <w:sz w:val="18"/>
                <w:szCs w:val="18"/>
              </w:rPr>
            </w:pPr>
            <w:r>
              <w:rPr>
                <w:rFonts w:ascii="宋体" w:eastAsia="宋体" w:hAnsi="宋体" w:cs="宋体" w:hint="eastAsia"/>
                <w:sz w:val="18"/>
                <w:szCs w:val="18"/>
              </w:rPr>
              <w:t>10,039.85</w:t>
            </w:r>
          </w:p>
        </w:tc>
        <w:tc>
          <w:tcPr>
            <w:tcW w:w="1205" w:type="dxa"/>
            <w:tcBorders>
              <w:top w:val="single" w:sz="2" w:space="0" w:color="auto"/>
              <w:left w:val="single" w:sz="2" w:space="0" w:color="auto"/>
              <w:bottom w:val="single" w:sz="2" w:space="0" w:color="auto"/>
              <w:right w:val="single" w:sz="2" w:space="0" w:color="auto"/>
            </w:tcBorders>
            <w:vAlign w:val="center"/>
          </w:tcPr>
          <w:p w:rsidR="00FE3FA6" w:rsidRDefault="00FE3FA6" w:rsidP="005028AF">
            <w:pPr>
              <w:spacing w:line="240" w:lineRule="exact"/>
              <w:jc w:val="right"/>
              <w:rPr>
                <w:rFonts w:ascii="宋体" w:eastAsia="宋体" w:hAnsi="宋体" w:cs="宋体"/>
                <w:sz w:val="18"/>
                <w:szCs w:val="18"/>
              </w:rPr>
            </w:pPr>
            <w:r>
              <w:rPr>
                <w:rFonts w:ascii="宋体" w:eastAsia="宋体" w:hAnsi="宋体" w:cs="宋体"/>
                <w:sz w:val="18"/>
                <w:szCs w:val="18"/>
              </w:rPr>
              <w:t>1.9</w:t>
            </w:r>
            <w:r w:rsidR="005028AF">
              <w:rPr>
                <w:rFonts w:ascii="宋体" w:eastAsia="宋体" w:hAnsi="宋体" w:cs="宋体" w:hint="eastAsia"/>
                <w:sz w:val="18"/>
                <w:szCs w:val="18"/>
              </w:rPr>
              <w:t>8</w:t>
            </w:r>
            <w:r>
              <w:rPr>
                <w:rFonts w:ascii="宋体" w:eastAsia="宋体" w:hAnsi="宋体" w:cs="宋体"/>
                <w:sz w:val="18"/>
                <w:szCs w:val="18"/>
              </w:rPr>
              <w:t>%</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报告期内套期保值业务的会计政策、会计核算具体原则，以及与上一报告期相比是否发生重大变化的说明</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rPr>
                <w:rFonts w:ascii="宋体" w:eastAsia="宋体" w:hAnsi="宋体" w:cs="宋体"/>
                <w:sz w:val="18"/>
                <w:szCs w:val="18"/>
              </w:rPr>
            </w:pPr>
            <w:r>
              <w:rPr>
                <w:rFonts w:ascii="宋体" w:eastAsia="宋体" w:hAnsi="宋体" w:cs="宋体"/>
                <w:sz w:val="18"/>
                <w:szCs w:val="18"/>
              </w:rPr>
              <w:t>报告期公司套期保值业务的会计政策及会计核算具体原则与上一报告期相比没有发生重大变化。</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报告期实际损益情况的说明</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rsidP="00FD1F66">
            <w:pPr>
              <w:spacing w:line="240" w:lineRule="exact"/>
              <w:jc w:val="both"/>
              <w:rPr>
                <w:rFonts w:ascii="宋体" w:eastAsia="宋体" w:hAnsi="宋体" w:cs="宋体"/>
                <w:sz w:val="18"/>
                <w:szCs w:val="18"/>
              </w:rPr>
            </w:pPr>
            <w:r>
              <w:rPr>
                <w:rFonts w:ascii="宋体" w:eastAsia="宋体" w:hAnsi="宋体" w:cs="宋体"/>
                <w:sz w:val="18"/>
                <w:szCs w:val="18"/>
              </w:rPr>
              <w:t>公司开展商品套期保值业务，以公司主要原材料和产品为交易品种，报告期</w:t>
            </w:r>
            <w:r w:rsidR="00F072A7">
              <w:rPr>
                <w:rFonts w:ascii="宋体" w:eastAsia="宋体" w:hAnsi="宋体" w:cs="宋体"/>
                <w:sz w:val="18"/>
                <w:szCs w:val="18"/>
              </w:rPr>
              <w:t>实际损益金额为</w:t>
            </w:r>
            <w:r>
              <w:rPr>
                <w:rFonts w:ascii="宋体" w:eastAsia="宋体" w:hAnsi="宋体" w:cs="宋体"/>
                <w:sz w:val="18"/>
                <w:szCs w:val="18"/>
              </w:rPr>
              <w:t>1,039.97万元。公司与银行开展外汇远期交易，报告期实际损益金额为-430.12万元。</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套期保值效果的说明</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rsidP="00CA63A6">
            <w:pPr>
              <w:spacing w:line="240" w:lineRule="exact"/>
              <w:jc w:val="both"/>
              <w:rPr>
                <w:rFonts w:ascii="宋体" w:eastAsia="宋体" w:hAnsi="宋体" w:cs="宋体"/>
                <w:sz w:val="18"/>
                <w:szCs w:val="18"/>
              </w:rPr>
            </w:pPr>
            <w:r>
              <w:rPr>
                <w:rFonts w:ascii="宋体" w:eastAsia="宋体" w:hAnsi="宋体" w:cs="宋体"/>
                <w:sz w:val="18"/>
                <w:szCs w:val="18"/>
              </w:rPr>
              <w:t>公司通过期货套期保值操作可以更好地规避原料</w:t>
            </w:r>
            <w:r w:rsidR="00CA63A6">
              <w:rPr>
                <w:rFonts w:ascii="宋体" w:eastAsia="宋体" w:hAnsi="宋体" w:cs="宋体"/>
                <w:sz w:val="18"/>
                <w:szCs w:val="18"/>
              </w:rPr>
              <w:t>和产品</w:t>
            </w:r>
            <w:r>
              <w:rPr>
                <w:rFonts w:ascii="宋体" w:eastAsia="宋体" w:hAnsi="宋体" w:cs="宋体"/>
                <w:sz w:val="18"/>
                <w:szCs w:val="18"/>
              </w:rPr>
              <w:t>价格波动带来的风险，降低其对公司生产经营的影响，但同时也可能存在市场、流动性、技术及内控等多方面风险。报告期内，公司通过开展期货套期保值业务，并选择信誉度高、运作规范的期货公司开展业务，有效规避价格和市场风险，有一定保值效果。</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衍生品投资资金来源</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rPr>
                <w:rFonts w:ascii="宋体" w:eastAsia="宋体" w:hAnsi="宋体" w:cs="宋体"/>
                <w:sz w:val="18"/>
                <w:szCs w:val="18"/>
              </w:rPr>
            </w:pPr>
            <w:r>
              <w:rPr>
                <w:rFonts w:ascii="宋体" w:eastAsia="宋体" w:hAnsi="宋体" w:cs="宋体"/>
                <w:sz w:val="18"/>
                <w:szCs w:val="18"/>
              </w:rPr>
              <w:t>自有资金</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报告期衍生品持仓的风险分析及控制措施说明（包括但不限于市场风险、流动性风险、信用风险、操作风险、法律风险等）</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rsidP="001C7735">
            <w:pPr>
              <w:spacing w:line="240" w:lineRule="exact"/>
              <w:jc w:val="both"/>
              <w:rPr>
                <w:rFonts w:ascii="宋体" w:eastAsia="宋体" w:hAnsi="宋体" w:cs="宋体"/>
                <w:sz w:val="18"/>
                <w:szCs w:val="18"/>
              </w:rPr>
            </w:pPr>
            <w:r>
              <w:rPr>
                <w:rFonts w:ascii="宋体" w:eastAsia="宋体" w:hAnsi="宋体" w:cs="宋体"/>
                <w:sz w:val="18"/>
                <w:szCs w:val="18"/>
              </w:rPr>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已投资衍生品报告期内市场价格或产品公允价值变动的情况，对衍生品公允价值的分析应披露具体使用的方法及相关假设与参数的设定</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rsidP="001C7735">
            <w:pPr>
              <w:spacing w:line="240" w:lineRule="exact"/>
              <w:jc w:val="both"/>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公司开展的商品衍生品交易品种市场透明度大，成交活跃，成交价格和当日结算价能充分反映衍生品的公允价值。远期外汇合约参考月末相关银行的报价确定公允价值变动。</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rPr>
                <w:rFonts w:ascii="宋体" w:eastAsia="宋体" w:hAnsi="宋体" w:cs="宋体"/>
                <w:sz w:val="18"/>
                <w:szCs w:val="18"/>
              </w:rPr>
            </w:pPr>
            <w:r>
              <w:rPr>
                <w:rFonts w:ascii="宋体" w:eastAsia="宋体" w:hAnsi="宋体" w:cs="宋体"/>
                <w:sz w:val="18"/>
                <w:szCs w:val="18"/>
              </w:rPr>
              <w:t>不适用</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t>衍生品投资</w:t>
            </w:r>
            <w:r>
              <w:rPr>
                <w:rFonts w:ascii="宋体" w:eastAsia="宋体" w:hAnsi="宋体" w:cs="宋体"/>
                <w:sz w:val="18"/>
                <w:szCs w:val="18"/>
              </w:rPr>
              <w:lastRenderedPageBreak/>
              <w:t>审批董事会公告披露日期（如有)</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pPr>
              <w:spacing w:line="240" w:lineRule="exact"/>
              <w:rPr>
                <w:rFonts w:ascii="宋体" w:eastAsia="宋体" w:hAnsi="宋体" w:cs="宋体"/>
                <w:sz w:val="18"/>
                <w:szCs w:val="18"/>
              </w:rPr>
            </w:pPr>
            <w:r>
              <w:rPr>
                <w:rFonts w:ascii="宋体" w:eastAsia="宋体" w:hAnsi="宋体" w:cs="宋体"/>
                <w:sz w:val="18"/>
                <w:szCs w:val="18"/>
              </w:rPr>
              <w:lastRenderedPageBreak/>
              <w:t>2023年04月27日</w:t>
            </w:r>
            <w:r w:rsidR="00633F77">
              <w:rPr>
                <w:rFonts w:ascii="宋体" w:eastAsia="宋体" w:hAnsi="宋体" w:cs="宋体"/>
                <w:sz w:val="18"/>
                <w:szCs w:val="18"/>
              </w:rPr>
              <w:t>，</w:t>
            </w:r>
            <w:r w:rsidR="00633F77">
              <w:rPr>
                <w:rFonts w:ascii="宋体" w:eastAsia="宋体" w:hAnsi="宋体" w:cs="宋体" w:hint="eastAsia"/>
                <w:sz w:val="18"/>
                <w:szCs w:val="18"/>
              </w:rPr>
              <w:t>2022年10月28日</w:t>
            </w:r>
          </w:p>
        </w:tc>
      </w:tr>
      <w:tr w:rsidR="00FE3FA6" w:rsidTr="00FE3FA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E3FA6" w:rsidRDefault="00FE3FA6">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独立董事对公司衍生品投资及风险控制情况的专项意见</w:t>
            </w:r>
          </w:p>
        </w:tc>
        <w:tc>
          <w:tcPr>
            <w:tcW w:w="8435" w:type="dxa"/>
            <w:gridSpan w:val="7"/>
            <w:tcBorders>
              <w:top w:val="single" w:sz="2" w:space="0" w:color="auto"/>
              <w:left w:val="single" w:sz="2" w:space="0" w:color="auto"/>
              <w:bottom w:val="single" w:sz="2" w:space="0" w:color="auto"/>
              <w:right w:val="single" w:sz="2" w:space="0" w:color="auto"/>
            </w:tcBorders>
            <w:vAlign w:val="center"/>
          </w:tcPr>
          <w:p w:rsidR="00FE3FA6" w:rsidRDefault="00FE3FA6" w:rsidP="001C7735">
            <w:pPr>
              <w:spacing w:line="240" w:lineRule="exact"/>
              <w:jc w:val="both"/>
              <w:rPr>
                <w:rFonts w:ascii="宋体" w:eastAsia="宋体" w:hAnsi="宋体" w:cs="宋体"/>
                <w:sz w:val="18"/>
                <w:szCs w:val="18"/>
              </w:rPr>
            </w:pPr>
            <w:r>
              <w:rPr>
                <w:rFonts w:ascii="宋体" w:eastAsia="宋体" w:hAnsi="宋体" w:cs="宋体"/>
                <w:sz w:val="18"/>
                <w:szCs w:val="18"/>
              </w:rPr>
              <w:t>公司通过开展PTA、MEG、PF商品期货套期保值业务，可以充分利用期货市场的套期保值功能，更好地规避原材料及产品价格波动带来的风险，降低其对公司生产经营的影响。公司开展外汇衍生品交易业务与日常经营需求紧密相关，能更好地和防范外汇汇率波动风险，增强公司财务稳健性，提高公司竞争力。</w:t>
            </w:r>
          </w:p>
          <w:p w:rsidR="00FE3FA6" w:rsidRDefault="00FE3FA6" w:rsidP="00CA63A6">
            <w:pPr>
              <w:spacing w:line="240" w:lineRule="exact"/>
              <w:jc w:val="both"/>
              <w:rPr>
                <w:rFonts w:ascii="宋体" w:eastAsia="宋体" w:hAnsi="宋体" w:cs="宋体"/>
                <w:sz w:val="18"/>
                <w:szCs w:val="18"/>
              </w:rPr>
            </w:pPr>
            <w:r>
              <w:rPr>
                <w:rFonts w:ascii="宋体" w:eastAsia="宋体" w:hAnsi="宋体" w:cs="宋体"/>
                <w:sz w:val="18"/>
                <w:szCs w:val="18"/>
              </w:rPr>
              <w:t>公司已建立了《商品衍生品交易管理制度》，能够有效规范衍生品交易行为，并制定了相关风险控制措施。在保证正常生产经营的前提下，公司开展</w:t>
            </w:r>
            <w:proofErr w:type="gramStart"/>
            <w:r>
              <w:rPr>
                <w:rFonts w:ascii="宋体" w:eastAsia="宋体" w:hAnsi="宋体" w:cs="宋体"/>
                <w:sz w:val="18"/>
                <w:szCs w:val="18"/>
              </w:rPr>
              <w:t>衍生品套期</w:t>
            </w:r>
            <w:proofErr w:type="gramEnd"/>
            <w:r>
              <w:rPr>
                <w:rFonts w:ascii="宋体" w:eastAsia="宋体" w:hAnsi="宋体" w:cs="宋体"/>
                <w:sz w:val="18"/>
                <w:szCs w:val="18"/>
              </w:rPr>
              <w:t>保值业务，有利于控制经营风险，不存在损害公司及全体股东利益的情形。</w:t>
            </w:r>
          </w:p>
        </w:tc>
      </w:tr>
    </w:tbl>
    <w:p w:rsidR="00597473" w:rsidRDefault="00597473">
      <w:pPr>
        <w:spacing w:before="100" w:after="100" w:line="240" w:lineRule="exact"/>
        <w:rPr>
          <w:rFonts w:ascii="宋体" w:eastAsia="宋体" w:hAnsi="宋体" w:cs="宋体"/>
          <w:sz w:val="18"/>
          <w:szCs w:val="18"/>
        </w:rPr>
      </w:pPr>
      <w:r>
        <w:rPr>
          <w:rFonts w:ascii="宋体" w:eastAsia="宋体" w:hAnsi="宋体" w:cs="宋体"/>
          <w:sz w:val="18"/>
          <w:szCs w:val="18"/>
        </w:rPr>
        <w:t>注：上述期初投资金额、期末金额均为合约金额。</w:t>
      </w:r>
    </w:p>
    <w:p w:rsidR="00597473" w:rsidRDefault="00597473">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674F05" w:rsidRPr="001C7735" w:rsidRDefault="00674F05" w:rsidP="001C7735">
      <w:pPr>
        <w:ind w:firstLineChars="200" w:firstLine="360"/>
        <w:jc w:val="both"/>
        <w:divId w:val="214435210"/>
        <w:rPr>
          <w:rFonts w:ascii="宋体" w:eastAsia="宋体" w:hAnsi="宋体" w:cs="宋体"/>
          <w:sz w:val="18"/>
          <w:szCs w:val="18"/>
        </w:rPr>
      </w:pPr>
      <w:r w:rsidRPr="001C7735">
        <w:rPr>
          <w:rFonts w:ascii="宋体" w:eastAsia="宋体" w:hAnsi="宋体" w:cs="宋体" w:hint="eastAsia"/>
          <w:sz w:val="18"/>
          <w:szCs w:val="18"/>
        </w:rPr>
        <w:t>公司主要生产产品为涤纶短纤维，年产各类涤纶短纤维40万吨，涤纶短纤维的核心生产原料是PTA和MEG。受宏观经济及石油价格等因素的影响，原材料PTA、MEG价格波动幅度较大；产成品PF受下游需求影响，价格变化较大，对公司的盈利能力带来较大的影响。为有效降低商品现货市场价格波动带来的经营风险，提高公司经营水平和抗风险能力，在不影响公司主营业务开展的情况下，公司（含子公司）开展衍生品套期保值业务。</w:t>
      </w:r>
    </w:p>
    <w:p w:rsidR="00674F05" w:rsidRPr="001C7735" w:rsidRDefault="00674F05" w:rsidP="001C7735">
      <w:pPr>
        <w:ind w:firstLineChars="200" w:firstLine="360"/>
        <w:jc w:val="both"/>
        <w:divId w:val="214435210"/>
        <w:rPr>
          <w:rFonts w:ascii="宋体" w:eastAsia="宋体" w:hAnsi="宋体" w:cs="宋体"/>
          <w:sz w:val="18"/>
          <w:szCs w:val="18"/>
        </w:rPr>
      </w:pPr>
      <w:r w:rsidRPr="001C7735">
        <w:rPr>
          <w:rFonts w:ascii="宋体" w:eastAsia="宋体" w:hAnsi="宋体" w:cs="宋体" w:hint="eastAsia"/>
          <w:sz w:val="18"/>
          <w:szCs w:val="18"/>
        </w:rPr>
        <w:t>在业务开展期间，任一时点保证金余额(含前述投资的收益进行再投资的相关金额，不包括交割当期头寸而支付的全额保证金在内)合计不得超过人民币6,000万元。</w:t>
      </w:r>
    </w:p>
    <w:p w:rsidR="00B72ACA" w:rsidRDefault="00674F05">
      <w:pPr>
        <w:keepNext/>
        <w:keepLines/>
        <w:spacing w:before="300" w:after="300" w:line="280" w:lineRule="exact"/>
        <w:outlineLvl w:val="4"/>
        <w:rPr>
          <w:rFonts w:ascii="宋体" w:eastAsia="宋体" w:hAnsi="宋体" w:cs="宋体"/>
          <w:b/>
          <w:bCs/>
          <w:sz w:val="18"/>
          <w:szCs w:val="18"/>
        </w:rPr>
      </w:pPr>
      <w:bookmarkStart w:id="31" w:name="_Toc988920"/>
      <w:r>
        <w:rPr>
          <w:rFonts w:ascii="宋体" w:eastAsia="宋体" w:hAnsi="宋体" w:cs="宋体"/>
          <w:b/>
          <w:bCs/>
          <w:sz w:val="18"/>
          <w:szCs w:val="18"/>
        </w:rPr>
        <w:t>2） 报告期内以投机为目的的衍生品投资</w:t>
      </w:r>
      <w:bookmarkEnd w:id="31"/>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B72ACA" w:rsidRDefault="00674F05">
      <w:pPr>
        <w:pStyle w:val="3"/>
        <w:spacing w:line="280" w:lineRule="exact"/>
        <w:jc w:val="left"/>
        <w:rPr>
          <w:rFonts w:ascii="宋体" w:hAnsi="宋体" w:cs="宋体"/>
          <w:b/>
          <w:bCs/>
        </w:rPr>
      </w:pPr>
      <w:bookmarkStart w:id="32" w:name="_Toc988921"/>
      <w:r>
        <w:rPr>
          <w:rFonts w:ascii="宋体" w:hAnsi="宋体" w:cs="宋体"/>
          <w:b/>
          <w:bCs/>
        </w:rPr>
        <w:t>5、募集资金使用情况</w:t>
      </w:r>
      <w:bookmarkEnd w:id="32"/>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B72ACA" w:rsidRDefault="00674F05">
      <w:pPr>
        <w:pStyle w:val="2"/>
        <w:spacing w:before="300" w:after="300" w:line="320" w:lineRule="exact"/>
        <w:rPr>
          <w:rFonts w:ascii="宋体" w:eastAsia="宋体" w:hAnsi="宋体" w:cs="宋体"/>
          <w:b/>
          <w:bCs/>
          <w:sz w:val="24"/>
          <w:szCs w:val="24"/>
        </w:rPr>
      </w:pPr>
      <w:bookmarkStart w:id="33" w:name="_Toc988922"/>
      <w:r>
        <w:rPr>
          <w:rFonts w:ascii="宋体" w:eastAsia="宋体" w:hAnsi="宋体" w:cs="宋体"/>
          <w:b/>
          <w:bCs/>
          <w:sz w:val="24"/>
          <w:szCs w:val="24"/>
        </w:rPr>
        <w:t>七、重大资产和股权出售</w:t>
      </w:r>
      <w:bookmarkEnd w:id="33"/>
    </w:p>
    <w:p w:rsidR="00B72ACA" w:rsidRDefault="00674F05">
      <w:pPr>
        <w:pStyle w:val="3"/>
        <w:spacing w:line="280" w:lineRule="exact"/>
        <w:jc w:val="left"/>
        <w:rPr>
          <w:rFonts w:ascii="宋体" w:hAnsi="宋体" w:cs="宋体"/>
          <w:b/>
          <w:bCs/>
        </w:rPr>
      </w:pPr>
      <w:bookmarkStart w:id="34" w:name="_Toc988923"/>
      <w:r>
        <w:rPr>
          <w:rFonts w:ascii="宋体" w:hAnsi="宋体" w:cs="宋体"/>
          <w:b/>
          <w:bCs/>
        </w:rPr>
        <w:t>1、出售重大资产情况</w:t>
      </w:r>
      <w:bookmarkEnd w:id="34"/>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B72ACA" w:rsidRDefault="00674F05">
      <w:pPr>
        <w:pStyle w:val="3"/>
        <w:spacing w:line="280" w:lineRule="exact"/>
        <w:jc w:val="left"/>
        <w:rPr>
          <w:rFonts w:ascii="宋体" w:hAnsi="宋体" w:cs="宋体"/>
          <w:b/>
          <w:bCs/>
        </w:rPr>
      </w:pPr>
      <w:bookmarkStart w:id="35" w:name="_Toc988924"/>
      <w:r>
        <w:rPr>
          <w:rFonts w:ascii="宋体" w:hAnsi="宋体" w:cs="宋体"/>
          <w:b/>
          <w:bCs/>
        </w:rPr>
        <w:t>2、出售重大股权情况</w:t>
      </w:r>
      <w:bookmarkEnd w:id="35"/>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36" w:name="_Toc988925"/>
      <w:r>
        <w:rPr>
          <w:rFonts w:ascii="宋体" w:eastAsia="宋体" w:hAnsi="宋体" w:cs="宋体"/>
          <w:b/>
          <w:bCs/>
          <w:sz w:val="24"/>
          <w:szCs w:val="24"/>
        </w:rPr>
        <w:t>八、主要控股参股公司分析</w:t>
      </w:r>
      <w:bookmarkEnd w:id="36"/>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w:t>
            </w:r>
            <w:r>
              <w:rPr>
                <w:rFonts w:ascii="宋体" w:eastAsia="宋体" w:hAnsi="宋体" w:cs="宋体"/>
                <w:sz w:val="18"/>
                <w:szCs w:val="18"/>
              </w:rPr>
              <w:lastRenderedPageBreak/>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液体化工码头的建</w:t>
            </w:r>
            <w:r>
              <w:rPr>
                <w:rFonts w:ascii="宋体" w:eastAsia="宋体" w:hAnsi="宋体" w:cs="宋体"/>
                <w:sz w:val="18"/>
                <w:szCs w:val="18"/>
              </w:rPr>
              <w:lastRenderedPageBreak/>
              <w:t>设经营及配套服务</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20,442万元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67,121.01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64,477.29</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17,338.70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6,441.44</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4,933.68</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一村资本有限公司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投资管理、资产管理、创业投资、实业投资</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519,939.38</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470,102.23</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1,912.73</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10,104.53</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7,119.60</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SOURCE PHOTONICS HOLDING (CAYMAN) LIMITED</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50,000美元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230,496.66</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106,280.36</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51,463.00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-5,157.89</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-4,970.66</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323,981万元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2,112,685.53</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779,788.82</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21,827.06</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-15,021.27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-11,418.47</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华泰证券股份有限公司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907,559万元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84,656,701.58</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16,784,870.90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3,203,156.21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1,214,196.90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1,136,532.94</w:t>
            </w:r>
          </w:p>
        </w:tc>
      </w:tr>
    </w:tbl>
    <w:p w:rsidR="001C7735" w:rsidRDefault="001C7735">
      <w:pPr>
        <w:spacing w:before="100" w:after="100" w:line="240" w:lineRule="exact"/>
        <w:rPr>
          <w:rFonts w:ascii="宋体" w:eastAsia="宋体" w:hAnsi="宋体" w:cs="宋体"/>
          <w:sz w:val="18"/>
          <w:szCs w:val="18"/>
        </w:rPr>
      </w:pPr>
      <w:r>
        <w:rPr>
          <w:rFonts w:ascii="宋体" w:eastAsia="宋体" w:hAnsi="宋体" w:cs="宋体" w:hint="eastAsia"/>
          <w:sz w:val="18"/>
          <w:szCs w:val="18"/>
        </w:rPr>
        <w:t>注：上述华泰证券财务数据来源于其2022年度审计报告，其余公司财务数据来源于其2023年半年度未经审计的</w:t>
      </w:r>
      <w:r w:rsidR="006D7C9D">
        <w:rPr>
          <w:rFonts w:ascii="宋体" w:eastAsia="宋体" w:hAnsi="宋体" w:cs="宋体" w:hint="eastAsia"/>
          <w:sz w:val="18"/>
          <w:szCs w:val="18"/>
        </w:rPr>
        <w:t>财务报表。</w:t>
      </w:r>
    </w:p>
    <w:p w:rsidR="006D7C9D" w:rsidRDefault="006D7C9D">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37" w:name="_Toc988926"/>
      <w:r>
        <w:rPr>
          <w:rFonts w:ascii="宋体" w:eastAsia="宋体" w:hAnsi="宋体" w:cs="宋体"/>
          <w:b/>
          <w:bCs/>
          <w:sz w:val="24"/>
          <w:szCs w:val="24"/>
        </w:rPr>
        <w:t>九、公司控制的结构化主体情况</w:t>
      </w:r>
      <w:bookmarkEnd w:id="37"/>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674F05" w:rsidRPr="006B0B20" w:rsidRDefault="00674F05">
      <w:pPr>
        <w:pStyle w:val="a3"/>
        <w:spacing w:before="40" w:beforeAutospacing="0" w:after="40" w:afterAutospacing="0"/>
        <w:ind w:firstLine="360"/>
        <w:jc w:val="both"/>
        <w:divId w:val="226109974"/>
        <w:rPr>
          <w:rFonts w:asciiTheme="minorEastAsia" w:eastAsiaTheme="minorEastAsia" w:hAnsiTheme="minorEastAsia"/>
        </w:rPr>
      </w:pPr>
      <w:r w:rsidRPr="006B0B20">
        <w:rPr>
          <w:rFonts w:asciiTheme="minorEastAsia" w:eastAsiaTheme="minorEastAsia" w:hAnsiTheme="minorEastAsia" w:hint="eastAsia"/>
          <w:sz w:val="18"/>
          <w:szCs w:val="18"/>
        </w:rPr>
        <w:t>报告期末纳入公司合并范围的结构化主体共</w:t>
      </w:r>
      <w:r w:rsidRPr="006B0B20">
        <w:rPr>
          <w:rFonts w:asciiTheme="minorEastAsia" w:eastAsiaTheme="minorEastAsia" w:hAnsiTheme="minorEastAsia" w:cs="Times New Roman"/>
          <w:sz w:val="18"/>
          <w:szCs w:val="18"/>
        </w:rPr>
        <w:t>1</w:t>
      </w:r>
      <w:r w:rsidRPr="006B0B20">
        <w:rPr>
          <w:rFonts w:asciiTheme="minorEastAsia" w:eastAsiaTheme="minorEastAsia" w:hAnsiTheme="minorEastAsia" w:hint="eastAsia"/>
          <w:sz w:val="18"/>
          <w:szCs w:val="18"/>
        </w:rPr>
        <w:t>户，为上海启澜企业管理咨询合伙企业（有限合伙），总规模：</w:t>
      </w:r>
      <w:r w:rsidRPr="006B0B20">
        <w:rPr>
          <w:rFonts w:asciiTheme="minorEastAsia" w:eastAsiaTheme="minorEastAsia" w:hAnsiTheme="minorEastAsia" w:cs="Times New Roman"/>
          <w:sz w:val="18"/>
          <w:szCs w:val="18"/>
        </w:rPr>
        <w:t>115,000</w:t>
      </w:r>
      <w:r w:rsidRPr="006B0B20">
        <w:rPr>
          <w:rFonts w:asciiTheme="minorEastAsia" w:eastAsiaTheme="minorEastAsia" w:hAnsiTheme="minorEastAsia" w:hint="eastAsia"/>
          <w:sz w:val="18"/>
          <w:szCs w:val="18"/>
        </w:rPr>
        <w:t>万元，公司作为有限合伙人认缴出资</w:t>
      </w:r>
      <w:r w:rsidRPr="006B0B20">
        <w:rPr>
          <w:rFonts w:asciiTheme="minorEastAsia" w:eastAsiaTheme="minorEastAsia" w:hAnsiTheme="minorEastAsia" w:cs="Times New Roman"/>
          <w:sz w:val="18"/>
          <w:szCs w:val="18"/>
        </w:rPr>
        <w:t>114,200</w:t>
      </w:r>
      <w:r w:rsidRPr="006B0B20">
        <w:rPr>
          <w:rFonts w:asciiTheme="minorEastAsia" w:eastAsiaTheme="minorEastAsia" w:hAnsiTheme="minorEastAsia" w:hint="eastAsia"/>
          <w:sz w:val="18"/>
          <w:szCs w:val="18"/>
        </w:rPr>
        <w:t>万元，占上海启澜总规模的</w:t>
      </w:r>
      <w:r w:rsidRPr="006B0B20">
        <w:rPr>
          <w:rFonts w:asciiTheme="minorEastAsia" w:eastAsiaTheme="minorEastAsia" w:hAnsiTheme="minorEastAsia" w:cs="Times New Roman"/>
          <w:sz w:val="18"/>
          <w:szCs w:val="18"/>
        </w:rPr>
        <w:t>99.30%</w:t>
      </w:r>
      <w:r w:rsidRPr="006B0B20">
        <w:rPr>
          <w:rFonts w:asciiTheme="minorEastAsia" w:eastAsiaTheme="minorEastAsia" w:hAnsiTheme="minorEastAsia" w:hint="eastAsia"/>
          <w:sz w:val="18"/>
          <w:szCs w:val="18"/>
        </w:rPr>
        <w:t>；上海一村安识企业管理有限公司作为普通合伙人认缴出资</w:t>
      </w:r>
      <w:r w:rsidRPr="006B0B20">
        <w:rPr>
          <w:rFonts w:asciiTheme="minorEastAsia" w:eastAsiaTheme="minorEastAsia" w:hAnsiTheme="minorEastAsia" w:cs="Times New Roman"/>
          <w:sz w:val="18"/>
          <w:szCs w:val="18"/>
        </w:rPr>
        <w:t>800</w:t>
      </w:r>
      <w:r w:rsidRPr="006B0B20">
        <w:rPr>
          <w:rFonts w:asciiTheme="minorEastAsia" w:eastAsiaTheme="minorEastAsia" w:hAnsiTheme="minorEastAsia" w:hint="eastAsia"/>
          <w:sz w:val="18"/>
          <w:szCs w:val="18"/>
        </w:rPr>
        <w:t>万元，占上海启澜总规模的</w:t>
      </w:r>
      <w:r w:rsidRPr="006B0B20">
        <w:rPr>
          <w:rFonts w:asciiTheme="minorEastAsia" w:eastAsiaTheme="minorEastAsia" w:hAnsiTheme="minorEastAsia" w:cs="Times New Roman"/>
          <w:sz w:val="18"/>
          <w:szCs w:val="18"/>
        </w:rPr>
        <w:t>0.70%</w:t>
      </w:r>
      <w:r w:rsidRPr="006B0B20">
        <w:rPr>
          <w:rFonts w:asciiTheme="minorEastAsia" w:eastAsiaTheme="minorEastAsia" w:hAnsiTheme="minorEastAsia" w:hint="eastAsia"/>
          <w:sz w:val="18"/>
          <w:szCs w:val="18"/>
        </w:rPr>
        <w:t>。公司向上海启澜实缴出资人民币</w:t>
      </w:r>
      <w:r w:rsidRPr="006B0B20">
        <w:rPr>
          <w:rFonts w:asciiTheme="minorEastAsia" w:eastAsiaTheme="minorEastAsia" w:hAnsiTheme="minorEastAsia" w:cs="Times New Roman"/>
          <w:sz w:val="18"/>
          <w:szCs w:val="18"/>
        </w:rPr>
        <w:t>96,250</w:t>
      </w:r>
      <w:r w:rsidRPr="006B0B20">
        <w:rPr>
          <w:rFonts w:asciiTheme="minorEastAsia" w:eastAsiaTheme="minorEastAsia" w:hAnsiTheme="minorEastAsia" w:hint="eastAsia"/>
          <w:sz w:val="18"/>
          <w:szCs w:val="18"/>
        </w:rPr>
        <w:t>万元。</w:t>
      </w:r>
    </w:p>
    <w:p w:rsidR="00674F05" w:rsidRPr="006B0B20" w:rsidRDefault="00674F05">
      <w:pPr>
        <w:pStyle w:val="a3"/>
        <w:spacing w:before="40" w:beforeAutospacing="0" w:after="40" w:afterAutospacing="0"/>
        <w:ind w:firstLine="360"/>
        <w:jc w:val="both"/>
        <w:divId w:val="226109974"/>
        <w:rPr>
          <w:rFonts w:asciiTheme="minorEastAsia" w:eastAsiaTheme="minorEastAsia" w:hAnsiTheme="minorEastAsia"/>
        </w:rPr>
      </w:pPr>
      <w:r w:rsidRPr="006B0B20">
        <w:rPr>
          <w:rFonts w:asciiTheme="minorEastAsia" w:eastAsiaTheme="minorEastAsia" w:hAnsiTheme="minorEastAsia" w:hint="eastAsia"/>
          <w:sz w:val="18"/>
          <w:szCs w:val="18"/>
        </w:rPr>
        <w:t>利润分配：上海启澜从其直接或间接处置索尔思项目</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包括但不限于处置其在</w:t>
      </w:r>
      <w:r w:rsidRPr="006B0B20">
        <w:rPr>
          <w:rFonts w:asciiTheme="minorEastAsia" w:eastAsiaTheme="minorEastAsia" w:hAnsiTheme="minorEastAsia" w:cs="Times New Roman"/>
          <w:sz w:val="18"/>
          <w:szCs w:val="18"/>
        </w:rPr>
        <w:t>Diamond Hill, L.P.</w:t>
      </w:r>
      <w:r w:rsidRPr="006B0B20">
        <w:rPr>
          <w:rFonts w:asciiTheme="minorEastAsia" w:eastAsiaTheme="minorEastAsia" w:hAnsiTheme="minorEastAsia" w:hint="eastAsia"/>
          <w:sz w:val="18"/>
          <w:szCs w:val="18"/>
        </w:rPr>
        <w:t>的合伙份额或其他权益</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获得的收入或从其投资运营活动</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包括与索尔思项目相关的投资</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674F05" w:rsidRPr="006B0B20" w:rsidRDefault="00674F05">
      <w:pPr>
        <w:pStyle w:val="a3"/>
        <w:spacing w:before="40" w:beforeAutospacing="0" w:after="40" w:afterAutospacing="0"/>
        <w:ind w:firstLine="360"/>
        <w:jc w:val="both"/>
        <w:divId w:val="226109974"/>
        <w:rPr>
          <w:rFonts w:asciiTheme="minorEastAsia" w:eastAsiaTheme="minorEastAsia" w:hAnsiTheme="minorEastAsia"/>
        </w:rPr>
      </w:pPr>
      <w:r w:rsidRPr="006B0B20">
        <w:rPr>
          <w:rFonts w:asciiTheme="minorEastAsia" w:eastAsiaTheme="minorEastAsia" w:hAnsiTheme="minorEastAsia" w:hint="eastAsia"/>
          <w:sz w:val="18"/>
          <w:szCs w:val="18"/>
        </w:rPr>
        <w:t>（</w:t>
      </w:r>
      <w:r w:rsidRPr="006B0B20">
        <w:rPr>
          <w:rFonts w:asciiTheme="minorEastAsia" w:eastAsiaTheme="minorEastAsia" w:hAnsiTheme="minorEastAsia" w:cs="Times New Roman"/>
          <w:sz w:val="18"/>
          <w:szCs w:val="18"/>
        </w:rPr>
        <w:t>1</w:t>
      </w:r>
      <w:r w:rsidRPr="006B0B20">
        <w:rPr>
          <w:rFonts w:asciiTheme="minorEastAsia" w:eastAsiaTheme="minorEastAsia" w:hAnsiTheme="minorEastAsia" w:hint="eastAsia"/>
          <w:sz w:val="18"/>
          <w:szCs w:val="18"/>
        </w:rPr>
        <w:t>）首先，百分之百向华西股份进行分配，直至华西股份所取得的累计分配等于其用于索尔思项目的实缴出资额；</w:t>
      </w:r>
    </w:p>
    <w:p w:rsidR="00674F05" w:rsidRPr="006B0B20" w:rsidRDefault="00674F05">
      <w:pPr>
        <w:pStyle w:val="a3"/>
        <w:spacing w:before="40" w:beforeAutospacing="0" w:after="40" w:afterAutospacing="0"/>
        <w:ind w:firstLine="360"/>
        <w:jc w:val="both"/>
        <w:divId w:val="226109974"/>
        <w:rPr>
          <w:rFonts w:asciiTheme="minorEastAsia" w:eastAsiaTheme="minorEastAsia" w:hAnsiTheme="minorEastAsia"/>
        </w:rPr>
      </w:pPr>
      <w:r w:rsidRPr="006B0B20">
        <w:rPr>
          <w:rFonts w:asciiTheme="minorEastAsia" w:eastAsiaTheme="minorEastAsia" w:hAnsiTheme="minorEastAsia" w:hint="eastAsia"/>
          <w:sz w:val="18"/>
          <w:szCs w:val="18"/>
        </w:rPr>
        <w:t>（</w:t>
      </w:r>
      <w:r w:rsidRPr="006B0B20">
        <w:rPr>
          <w:rFonts w:asciiTheme="minorEastAsia" w:eastAsiaTheme="minorEastAsia" w:hAnsiTheme="minorEastAsia" w:cs="Times New Roman"/>
          <w:sz w:val="18"/>
          <w:szCs w:val="18"/>
        </w:rPr>
        <w:t>2</w:t>
      </w:r>
      <w:r w:rsidRPr="006B0B20">
        <w:rPr>
          <w:rFonts w:asciiTheme="minorEastAsia" w:eastAsiaTheme="minorEastAsia" w:hAnsiTheme="minorEastAsia" w:hint="eastAsia"/>
          <w:sz w:val="18"/>
          <w:szCs w:val="18"/>
        </w:rPr>
        <w:t>）其次，百分之百向华西股份进行分配</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直至其就上述第（</w:t>
      </w:r>
      <w:r w:rsidRPr="006B0B20">
        <w:rPr>
          <w:rFonts w:asciiTheme="minorEastAsia" w:eastAsiaTheme="minorEastAsia" w:hAnsiTheme="minorEastAsia" w:cs="Times New Roman"/>
          <w:sz w:val="18"/>
          <w:szCs w:val="18"/>
        </w:rPr>
        <w:t>1</w:t>
      </w:r>
      <w:r w:rsidRPr="006B0B20">
        <w:rPr>
          <w:rFonts w:asciiTheme="minorEastAsia" w:eastAsiaTheme="minorEastAsia" w:hAnsiTheme="minorEastAsia" w:hint="eastAsia"/>
          <w:sz w:val="18"/>
          <w:szCs w:val="18"/>
        </w:rPr>
        <w:t>）款项下累计获得的分配额获得每年百分之八的单利计算所得的门槛收益</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门槛收益</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。门槛收益的计算期间为华西股份每一期实缴出资额的缴资到期日</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或实际出资日，如更晚</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起至华西股份根据上述第（</w:t>
      </w:r>
      <w:r w:rsidRPr="006B0B20">
        <w:rPr>
          <w:rFonts w:asciiTheme="minorEastAsia" w:eastAsiaTheme="minorEastAsia" w:hAnsiTheme="minorEastAsia" w:cs="Times New Roman"/>
          <w:sz w:val="18"/>
          <w:szCs w:val="18"/>
        </w:rPr>
        <w:t>1</w:t>
      </w:r>
      <w:r w:rsidRPr="006B0B20">
        <w:rPr>
          <w:rFonts w:asciiTheme="minorEastAsia" w:eastAsiaTheme="minorEastAsia" w:hAnsiTheme="minorEastAsia" w:hint="eastAsia"/>
          <w:sz w:val="18"/>
          <w:szCs w:val="18"/>
        </w:rPr>
        <w:t>）款收回该部分实缴出资额之日止（为计算门槛收益之目的，一年以三百六十日计算</w:t>
      </w:r>
      <w:r w:rsidRPr="006B0B20">
        <w:rPr>
          <w:rFonts w:asciiTheme="minorEastAsia" w:eastAsiaTheme="minorEastAsia" w:hAnsiTheme="minorEastAsia" w:cs="Times New Roman"/>
          <w:sz w:val="18"/>
          <w:szCs w:val="18"/>
        </w:rPr>
        <w:t xml:space="preserve">, </w:t>
      </w:r>
      <w:r w:rsidRPr="006B0B20">
        <w:rPr>
          <w:rFonts w:asciiTheme="minorEastAsia" w:eastAsiaTheme="minorEastAsia" w:hAnsiTheme="minorEastAsia" w:hint="eastAsia"/>
          <w:sz w:val="18"/>
          <w:szCs w:val="18"/>
        </w:rPr>
        <w:t>即门槛收益每日费率</w:t>
      </w:r>
      <w:r w:rsidRPr="006B0B20">
        <w:rPr>
          <w:rFonts w:asciiTheme="minorEastAsia" w:eastAsiaTheme="minorEastAsia" w:hAnsiTheme="minorEastAsia" w:cs="Times New Roman"/>
          <w:sz w:val="18"/>
          <w:szCs w:val="18"/>
        </w:rPr>
        <w:t>=</w:t>
      </w:r>
      <w:r w:rsidRPr="006B0B20">
        <w:rPr>
          <w:rFonts w:asciiTheme="minorEastAsia" w:eastAsiaTheme="minorEastAsia" w:hAnsiTheme="minorEastAsia" w:hint="eastAsia"/>
          <w:sz w:val="18"/>
          <w:szCs w:val="18"/>
        </w:rPr>
        <w:t>门槛收益每年费率</w:t>
      </w:r>
      <w:r w:rsidRPr="006B0B20">
        <w:rPr>
          <w:rFonts w:asciiTheme="minorEastAsia" w:eastAsiaTheme="minorEastAsia" w:hAnsiTheme="minorEastAsia" w:cs="Times New Roman"/>
          <w:sz w:val="18"/>
          <w:szCs w:val="18"/>
        </w:rPr>
        <w:t>/360</w:t>
      </w:r>
      <w:r w:rsidRPr="006B0B20">
        <w:rPr>
          <w:rFonts w:asciiTheme="minorEastAsia" w:eastAsiaTheme="minorEastAsia" w:hAnsiTheme="minorEastAsia" w:hint="eastAsia"/>
          <w:sz w:val="18"/>
          <w:szCs w:val="18"/>
        </w:rPr>
        <w:t>）；</w:t>
      </w:r>
    </w:p>
    <w:p w:rsidR="00674F05" w:rsidRPr="006B0B20" w:rsidRDefault="00674F05">
      <w:pPr>
        <w:pStyle w:val="a3"/>
        <w:spacing w:before="40" w:beforeAutospacing="0" w:after="40" w:afterAutospacing="0"/>
        <w:ind w:firstLine="360"/>
        <w:jc w:val="both"/>
        <w:divId w:val="226109974"/>
        <w:rPr>
          <w:rFonts w:asciiTheme="minorEastAsia" w:eastAsiaTheme="minorEastAsia" w:hAnsiTheme="minorEastAsia"/>
        </w:rPr>
      </w:pPr>
      <w:r w:rsidRPr="006B0B20">
        <w:rPr>
          <w:rFonts w:asciiTheme="minorEastAsia" w:eastAsiaTheme="minorEastAsia" w:hAnsiTheme="minorEastAsia" w:hint="eastAsia"/>
          <w:sz w:val="18"/>
          <w:szCs w:val="18"/>
        </w:rPr>
        <w:t>（</w:t>
      </w:r>
      <w:r w:rsidRPr="006B0B20">
        <w:rPr>
          <w:rFonts w:asciiTheme="minorEastAsia" w:eastAsiaTheme="minorEastAsia" w:hAnsiTheme="minorEastAsia" w:cs="Times New Roman"/>
          <w:sz w:val="18"/>
          <w:szCs w:val="18"/>
        </w:rPr>
        <w:t>3</w:t>
      </w:r>
      <w:r w:rsidRPr="006B0B20">
        <w:rPr>
          <w:rFonts w:asciiTheme="minorEastAsia" w:eastAsiaTheme="minorEastAsia" w:hAnsiTheme="minorEastAsia" w:hint="eastAsia"/>
          <w:sz w:val="18"/>
          <w:szCs w:val="18"/>
        </w:rPr>
        <w:t>）再次，剩余部分百分之二十分配给上海一村安识企业管理有限公司，百分之八十分配给华西股份。</w:t>
      </w:r>
    </w:p>
    <w:p w:rsidR="00B72ACA" w:rsidRDefault="00674F05">
      <w:pPr>
        <w:pStyle w:val="2"/>
        <w:spacing w:before="300" w:after="300" w:line="320" w:lineRule="exact"/>
        <w:rPr>
          <w:rFonts w:ascii="宋体" w:eastAsia="宋体" w:hAnsi="宋体" w:cs="宋体"/>
          <w:b/>
          <w:bCs/>
          <w:sz w:val="24"/>
          <w:szCs w:val="24"/>
        </w:rPr>
      </w:pPr>
      <w:bookmarkStart w:id="38" w:name="_Toc988927"/>
      <w:r>
        <w:rPr>
          <w:rFonts w:ascii="宋体" w:eastAsia="宋体" w:hAnsi="宋体" w:cs="宋体"/>
          <w:b/>
          <w:bCs/>
          <w:sz w:val="24"/>
          <w:szCs w:val="24"/>
        </w:rPr>
        <w:t>十、公司面临的风险和应对措施</w:t>
      </w:r>
      <w:bookmarkEnd w:id="38"/>
    </w:p>
    <w:p w:rsidR="00674F05" w:rsidRDefault="00674F05">
      <w:pPr>
        <w:pStyle w:val="a3"/>
        <w:spacing w:before="40" w:beforeAutospacing="0" w:after="40" w:afterAutospacing="0"/>
        <w:ind w:firstLine="360"/>
        <w:jc w:val="both"/>
        <w:divId w:val="454178152"/>
      </w:pPr>
      <w:r>
        <w:rPr>
          <w:rFonts w:hint="eastAsia"/>
          <w:sz w:val="18"/>
          <w:szCs w:val="18"/>
        </w:rPr>
        <w:t>（1）宏观政策风险</w:t>
      </w:r>
    </w:p>
    <w:p w:rsidR="00674F05" w:rsidRDefault="00674F05">
      <w:pPr>
        <w:pStyle w:val="a3"/>
        <w:spacing w:before="40" w:beforeAutospacing="0" w:after="40" w:afterAutospacing="0"/>
        <w:ind w:firstLine="360"/>
        <w:jc w:val="both"/>
        <w:divId w:val="454178152"/>
      </w:pPr>
      <w:r>
        <w:rPr>
          <w:rFonts w:hint="eastAsia"/>
          <w:sz w:val="18"/>
          <w:szCs w:val="18"/>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674F05" w:rsidRDefault="00674F05">
      <w:pPr>
        <w:pStyle w:val="a3"/>
        <w:spacing w:before="40" w:beforeAutospacing="0" w:after="40" w:afterAutospacing="0"/>
        <w:ind w:firstLine="360"/>
        <w:jc w:val="both"/>
        <w:divId w:val="454178152"/>
      </w:pPr>
      <w:r>
        <w:rPr>
          <w:rFonts w:hint="eastAsia"/>
          <w:sz w:val="18"/>
          <w:szCs w:val="18"/>
        </w:rPr>
        <w:lastRenderedPageBreak/>
        <w:t>（2）日常经营和管理风险</w:t>
      </w:r>
    </w:p>
    <w:p w:rsidR="00674F05" w:rsidRDefault="00674F05">
      <w:pPr>
        <w:pStyle w:val="a3"/>
        <w:spacing w:before="40" w:beforeAutospacing="0" w:after="40" w:afterAutospacing="0"/>
        <w:ind w:firstLine="360"/>
        <w:jc w:val="both"/>
        <w:divId w:val="454178152"/>
      </w:pPr>
      <w:r>
        <w:rPr>
          <w:rFonts w:hint="eastAsia"/>
          <w:sz w:val="18"/>
          <w:szCs w:val="18"/>
        </w:rPr>
        <w:t>①化纤行业周期性波动风险</w:t>
      </w:r>
    </w:p>
    <w:p w:rsidR="00674F05" w:rsidRDefault="00674F05">
      <w:pPr>
        <w:pStyle w:val="a3"/>
        <w:spacing w:before="40" w:beforeAutospacing="0" w:after="40" w:afterAutospacing="0"/>
        <w:ind w:firstLine="360"/>
        <w:jc w:val="both"/>
        <w:divId w:val="454178152"/>
      </w:pPr>
      <w:r>
        <w:rPr>
          <w:rFonts w:hint="eastAsia"/>
          <w:sz w:val="18"/>
          <w:szCs w:val="18"/>
        </w:rPr>
        <w:t>公司的生产经营主要受上游石化行业供给、下游纺织行业供需关系以及自身发展状况的影响，而呈现一定的周期特征。由于化纤行业的上下游——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674F05" w:rsidRDefault="00674F05">
      <w:pPr>
        <w:pStyle w:val="a3"/>
        <w:spacing w:before="40" w:beforeAutospacing="0" w:after="40" w:afterAutospacing="0"/>
        <w:ind w:firstLine="360"/>
        <w:jc w:val="both"/>
        <w:divId w:val="454178152"/>
      </w:pPr>
      <w:r>
        <w:rPr>
          <w:rFonts w:hint="eastAsia"/>
          <w:sz w:val="18"/>
          <w:szCs w:val="18"/>
        </w:rPr>
        <w:t>②化纤行业市场竞争风险</w:t>
      </w:r>
    </w:p>
    <w:p w:rsidR="00674F05" w:rsidRDefault="00674F05">
      <w:pPr>
        <w:pStyle w:val="a3"/>
        <w:spacing w:before="40" w:beforeAutospacing="0" w:after="40" w:afterAutospacing="0"/>
        <w:ind w:firstLine="360"/>
        <w:jc w:val="both"/>
        <w:divId w:val="454178152"/>
      </w:pPr>
      <w:r>
        <w:rPr>
          <w:rFonts w:hint="eastAsia"/>
          <w:sz w:val="18"/>
          <w:szCs w:val="18"/>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674F05" w:rsidRDefault="00674F05">
      <w:pPr>
        <w:pStyle w:val="a3"/>
        <w:spacing w:before="40" w:beforeAutospacing="0" w:after="40" w:afterAutospacing="0"/>
        <w:ind w:firstLine="360"/>
        <w:jc w:val="both"/>
        <w:divId w:val="454178152"/>
      </w:pPr>
      <w:r>
        <w:rPr>
          <w:rFonts w:hint="eastAsia"/>
          <w:sz w:val="18"/>
          <w:szCs w:val="18"/>
        </w:rPr>
        <w:t>③原材料价格波动风险</w:t>
      </w:r>
    </w:p>
    <w:p w:rsidR="00674F05" w:rsidRDefault="00674F05">
      <w:pPr>
        <w:pStyle w:val="a3"/>
        <w:spacing w:before="40" w:beforeAutospacing="0" w:after="40" w:afterAutospacing="0"/>
        <w:ind w:firstLine="360"/>
        <w:jc w:val="both"/>
        <w:divId w:val="454178152"/>
      </w:pPr>
      <w:r>
        <w:rPr>
          <w:rFonts w:hint="eastAsia"/>
          <w:sz w:val="18"/>
          <w:szCs w:val="18"/>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674F05" w:rsidRDefault="00674F05">
      <w:pPr>
        <w:pStyle w:val="a3"/>
        <w:spacing w:before="40" w:beforeAutospacing="0" w:after="40" w:afterAutospacing="0"/>
        <w:ind w:firstLine="360"/>
        <w:jc w:val="both"/>
        <w:divId w:val="454178152"/>
      </w:pPr>
      <w:r>
        <w:rPr>
          <w:rFonts w:hint="eastAsia"/>
          <w:sz w:val="18"/>
          <w:szCs w:val="18"/>
        </w:rPr>
        <w:t>④石化仓储业务内延发展受限的风险</w:t>
      </w:r>
    </w:p>
    <w:p w:rsidR="00674F05" w:rsidRDefault="00674F05">
      <w:pPr>
        <w:pStyle w:val="a3"/>
        <w:spacing w:before="40" w:beforeAutospacing="0" w:after="40" w:afterAutospacing="0"/>
        <w:ind w:firstLine="360"/>
        <w:jc w:val="both"/>
        <w:divId w:val="454178152"/>
      </w:pPr>
      <w:r>
        <w:rPr>
          <w:rFonts w:hint="eastAsia"/>
          <w:sz w:val="18"/>
          <w:szCs w:val="18"/>
        </w:rPr>
        <w:t>对于石化仓储企业来说，码头岸线及土地资源是企业发展的关键性资源。公司的仓储业务对码头和土地的依赖性较高。目前，公司无新增液体化工专用码头资源，且土地供给也</w:t>
      </w:r>
      <w:r w:rsidR="005612C7">
        <w:rPr>
          <w:rFonts w:hint="eastAsia"/>
          <w:sz w:val="18"/>
          <w:szCs w:val="18"/>
        </w:rPr>
        <w:t>受限</w:t>
      </w:r>
      <w:r>
        <w:rPr>
          <w:rFonts w:hint="eastAsia"/>
          <w:sz w:val="18"/>
          <w:szCs w:val="18"/>
        </w:rPr>
        <w:t>，面临</w:t>
      </w:r>
      <w:proofErr w:type="gramStart"/>
      <w:r>
        <w:rPr>
          <w:rFonts w:hint="eastAsia"/>
          <w:sz w:val="18"/>
          <w:szCs w:val="18"/>
        </w:rPr>
        <w:t>内延</w:t>
      </w:r>
      <w:proofErr w:type="gramEnd"/>
      <w:r>
        <w:rPr>
          <w:rFonts w:hint="eastAsia"/>
          <w:sz w:val="18"/>
          <w:szCs w:val="18"/>
        </w:rPr>
        <w:t>发展受限的风险。</w:t>
      </w:r>
    </w:p>
    <w:p w:rsidR="00674F05" w:rsidRDefault="00674F05">
      <w:pPr>
        <w:pStyle w:val="a3"/>
        <w:spacing w:before="40" w:beforeAutospacing="0" w:after="40" w:afterAutospacing="0"/>
        <w:ind w:firstLine="360"/>
        <w:jc w:val="both"/>
        <w:divId w:val="454178152"/>
      </w:pPr>
      <w:r>
        <w:rPr>
          <w:rFonts w:hint="eastAsia"/>
          <w:sz w:val="18"/>
          <w:szCs w:val="18"/>
        </w:rPr>
        <w:t>⑤环保和安全生产风险</w:t>
      </w:r>
    </w:p>
    <w:p w:rsidR="00674F05" w:rsidRDefault="00674F05">
      <w:pPr>
        <w:pStyle w:val="a3"/>
        <w:spacing w:before="40" w:beforeAutospacing="0" w:after="40" w:afterAutospacing="0"/>
        <w:ind w:firstLine="360"/>
        <w:jc w:val="both"/>
        <w:divId w:val="454178152"/>
      </w:pPr>
      <w:r>
        <w:rPr>
          <w:rFonts w:hint="eastAsia"/>
          <w:sz w:val="18"/>
          <w:szCs w:val="18"/>
        </w:rPr>
        <w:t>公司主营业务所处的纺织化纤和石化仓储行业，在生产经营的过程中还可能存在一定程度地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674F05" w:rsidRDefault="00674F05">
      <w:pPr>
        <w:pStyle w:val="a3"/>
        <w:spacing w:before="40" w:beforeAutospacing="0" w:after="40" w:afterAutospacing="0"/>
        <w:ind w:firstLine="360"/>
        <w:jc w:val="both"/>
        <w:divId w:val="454178152"/>
      </w:pPr>
      <w:r>
        <w:rPr>
          <w:rFonts w:hint="eastAsia"/>
          <w:sz w:val="18"/>
          <w:szCs w:val="18"/>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674F05" w:rsidRDefault="00674F05">
      <w:pPr>
        <w:pStyle w:val="a3"/>
        <w:spacing w:before="40" w:beforeAutospacing="0" w:after="40" w:afterAutospacing="0"/>
        <w:ind w:firstLine="360"/>
        <w:jc w:val="both"/>
        <w:divId w:val="454178152"/>
      </w:pPr>
      <w:r>
        <w:rPr>
          <w:rFonts w:hint="eastAsia"/>
          <w:sz w:val="18"/>
          <w:szCs w:val="18"/>
        </w:rPr>
        <w:t>针对上述风险，公司将及时了解外部环境变化趋势，调整产品结构，加大创新力度，提高技术水平和研发能力，赢得市场竞争的主动权，增强企业的抗风险能力。同时，进一步完善内部控制体系，强化风险防范机制，主动适应宏观经济新常态和市场竞争格局的变化，建立科学的决策体系和管理体系，严格按照相关法律法规、生产规范进行日常管理，持续提高经营管理水平和风险防范能力。在生产过程中持续加强对安全、环保的控制和监督，加强对安全、环境保护法律法规的学习，提升员工和管理人员的环保意识，严格遵守执行安全、环保法律法规，切实履行安全、环保责任，避免安全环保给公司带来的不利影响。</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39" w:name="_Toc988928"/>
      <w:r>
        <w:rPr>
          <w:rFonts w:ascii="宋体" w:eastAsia="宋体" w:hAnsi="宋体" w:cs="宋体"/>
          <w:b/>
          <w:bCs/>
          <w:sz w:val="32"/>
          <w:szCs w:val="32"/>
        </w:rPr>
        <w:lastRenderedPageBreak/>
        <w:t>第四节 公司治理</w:t>
      </w:r>
      <w:bookmarkEnd w:id="39"/>
    </w:p>
    <w:p w:rsidR="00B72ACA" w:rsidRDefault="00674F05">
      <w:pPr>
        <w:pStyle w:val="2"/>
        <w:spacing w:before="300" w:after="300" w:line="320" w:lineRule="exact"/>
        <w:rPr>
          <w:rFonts w:ascii="宋体" w:eastAsia="宋体" w:hAnsi="宋体" w:cs="宋体"/>
          <w:b/>
          <w:bCs/>
          <w:sz w:val="24"/>
          <w:szCs w:val="24"/>
        </w:rPr>
      </w:pPr>
      <w:bookmarkStart w:id="40" w:name="_Toc988929"/>
      <w:r>
        <w:rPr>
          <w:rFonts w:ascii="宋体" w:eastAsia="宋体" w:hAnsi="宋体" w:cs="宋体"/>
          <w:b/>
          <w:bCs/>
          <w:sz w:val="24"/>
          <w:szCs w:val="24"/>
        </w:rPr>
        <w:t>一、报告期内召开的年度股东大会和临时股东大会的有关情况</w:t>
      </w:r>
      <w:bookmarkEnd w:id="40"/>
    </w:p>
    <w:p w:rsidR="00B72ACA" w:rsidRDefault="00674F05">
      <w:pPr>
        <w:pStyle w:val="3"/>
        <w:spacing w:line="280" w:lineRule="exact"/>
        <w:jc w:val="left"/>
        <w:rPr>
          <w:rFonts w:ascii="宋体" w:hAnsi="宋体" w:cs="宋体"/>
          <w:b/>
          <w:bCs/>
        </w:rPr>
      </w:pPr>
      <w:bookmarkStart w:id="41" w:name="_Toc988930"/>
      <w:r>
        <w:rPr>
          <w:rFonts w:ascii="宋体" w:hAnsi="宋体" w:cs="宋体"/>
          <w:b/>
          <w:bCs/>
        </w:rPr>
        <w:t>1、本报告期股东大会情况</w:t>
      </w:r>
      <w:bookmarkEnd w:id="4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2022年度股东大会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2023年05月19日</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2023年05月20日</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rsidP="00C611D4">
            <w:pPr>
              <w:spacing w:line="240" w:lineRule="exact"/>
              <w:jc w:val="both"/>
              <w:rPr>
                <w:rFonts w:ascii="宋体" w:eastAsia="宋体" w:hAnsi="宋体" w:cs="宋体"/>
                <w:sz w:val="18"/>
                <w:szCs w:val="18"/>
              </w:rPr>
            </w:pPr>
            <w:r>
              <w:rPr>
                <w:rFonts w:ascii="宋体" w:eastAsia="宋体" w:hAnsi="宋体" w:cs="宋体"/>
                <w:sz w:val="18"/>
                <w:szCs w:val="18"/>
              </w:rPr>
              <w:t>审议通过了《2022年度董事会工作报告》、《2022年度监事会工作报告》、《2022年度财务决算报告》、《2022年度利润分配预案》、《2022年度报告全文及摘要》、《关于与控股股东进行互保的议案》、《关于拟续聘会计师事务所的议案》、《关于向银行申请综合授信额度的议案》。</w:t>
            </w:r>
          </w:p>
        </w:tc>
      </w:tr>
    </w:tbl>
    <w:p w:rsidR="00B72ACA" w:rsidRDefault="00674F05">
      <w:pPr>
        <w:pStyle w:val="3"/>
        <w:spacing w:line="280" w:lineRule="exact"/>
        <w:jc w:val="left"/>
        <w:rPr>
          <w:rFonts w:ascii="宋体" w:hAnsi="宋体" w:cs="宋体"/>
          <w:b/>
          <w:bCs/>
        </w:rPr>
      </w:pPr>
      <w:bookmarkStart w:id="42" w:name="_Toc988931"/>
      <w:r>
        <w:rPr>
          <w:rFonts w:ascii="宋体" w:hAnsi="宋体" w:cs="宋体"/>
          <w:b/>
          <w:bCs/>
        </w:rPr>
        <w:t>2、表决权恢复的优先股股东请求召开临时股东大会</w:t>
      </w:r>
      <w:bookmarkEnd w:id="42"/>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43" w:name="_Toc988932"/>
      <w:r>
        <w:rPr>
          <w:rFonts w:ascii="宋体" w:eastAsia="宋体" w:hAnsi="宋体" w:cs="宋体"/>
          <w:b/>
          <w:bCs/>
          <w:sz w:val="24"/>
          <w:szCs w:val="24"/>
        </w:rPr>
        <w:t>二、公司董事、监事、高级管理人员变动情况</w:t>
      </w:r>
      <w:bookmarkEnd w:id="43"/>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公司董事、监事和高级管理人员在报告期没有发生变动，具体可参见2022年年报。</w:t>
      </w:r>
    </w:p>
    <w:p w:rsidR="00B72ACA" w:rsidRDefault="00674F05">
      <w:pPr>
        <w:pStyle w:val="2"/>
        <w:spacing w:before="300" w:after="300" w:line="320" w:lineRule="exact"/>
        <w:rPr>
          <w:rFonts w:ascii="宋体" w:eastAsia="宋体" w:hAnsi="宋体" w:cs="宋体"/>
          <w:b/>
          <w:bCs/>
          <w:sz w:val="24"/>
          <w:szCs w:val="24"/>
        </w:rPr>
      </w:pPr>
      <w:bookmarkStart w:id="44" w:name="_Toc988933"/>
      <w:r>
        <w:rPr>
          <w:rFonts w:ascii="宋体" w:eastAsia="宋体" w:hAnsi="宋体" w:cs="宋体"/>
          <w:b/>
          <w:bCs/>
          <w:sz w:val="24"/>
          <w:szCs w:val="24"/>
        </w:rPr>
        <w:t>三、本报告期利润分配及资本公积金转增股本情况</w:t>
      </w:r>
      <w:bookmarkEnd w:id="44"/>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公司计划半年度不派发现金红利，不送红股，不以公积金转增股本。</w:t>
      </w:r>
    </w:p>
    <w:p w:rsidR="00B72ACA" w:rsidRDefault="00674F05">
      <w:pPr>
        <w:pStyle w:val="2"/>
        <w:spacing w:before="300" w:after="300" w:line="320" w:lineRule="exact"/>
        <w:rPr>
          <w:rFonts w:ascii="宋体" w:eastAsia="宋体" w:hAnsi="宋体" w:cs="宋体"/>
          <w:b/>
          <w:bCs/>
          <w:sz w:val="24"/>
          <w:szCs w:val="24"/>
        </w:rPr>
      </w:pPr>
      <w:bookmarkStart w:id="45" w:name="_Toc988934"/>
      <w:r>
        <w:rPr>
          <w:rFonts w:ascii="宋体" w:eastAsia="宋体" w:hAnsi="宋体" w:cs="宋体"/>
          <w:b/>
          <w:bCs/>
          <w:sz w:val="24"/>
          <w:szCs w:val="24"/>
        </w:rPr>
        <w:t>四、公司股权激励计划、员工持股计划或其他员工激励措施的实施情况</w:t>
      </w:r>
      <w:bookmarkEnd w:id="45"/>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46" w:name="_Toc988935"/>
      <w:r>
        <w:rPr>
          <w:rFonts w:ascii="宋体" w:eastAsia="宋体" w:hAnsi="宋体" w:cs="宋体"/>
          <w:b/>
          <w:bCs/>
          <w:sz w:val="32"/>
          <w:szCs w:val="32"/>
        </w:rPr>
        <w:lastRenderedPageBreak/>
        <w:t>第五节 环境和社会责任</w:t>
      </w:r>
      <w:bookmarkEnd w:id="46"/>
    </w:p>
    <w:p w:rsidR="00B72ACA" w:rsidRDefault="00674F05">
      <w:pPr>
        <w:pStyle w:val="2"/>
        <w:spacing w:before="300" w:after="300" w:line="320" w:lineRule="exact"/>
        <w:rPr>
          <w:rFonts w:ascii="宋体" w:eastAsia="宋体" w:hAnsi="宋体" w:cs="宋体"/>
          <w:b/>
          <w:bCs/>
          <w:sz w:val="24"/>
          <w:szCs w:val="24"/>
        </w:rPr>
      </w:pPr>
      <w:bookmarkStart w:id="47" w:name="_Toc988936"/>
      <w:r>
        <w:rPr>
          <w:rFonts w:ascii="宋体" w:eastAsia="宋体" w:hAnsi="宋体" w:cs="宋体"/>
          <w:b/>
          <w:bCs/>
          <w:sz w:val="24"/>
          <w:szCs w:val="24"/>
        </w:rPr>
        <w:t>一、重大环保问题情况</w:t>
      </w:r>
      <w:bookmarkEnd w:id="47"/>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环境保护相关政策和行业标准</w:t>
      </w:r>
    </w:p>
    <w:p w:rsidR="00674F05" w:rsidRDefault="00674F05">
      <w:pPr>
        <w:pStyle w:val="a3"/>
        <w:spacing w:before="0" w:beforeAutospacing="0" w:after="0" w:afterAutospacing="0"/>
        <w:divId w:val="1833526670"/>
      </w:pPr>
      <w:r>
        <w:rPr>
          <w:rFonts w:hint="eastAsia"/>
          <w:sz w:val="18"/>
          <w:szCs w:val="18"/>
        </w:rPr>
        <w:t>根据所属行业要求，公司各下属分公司、子公司在自身生产过程中需执行的主要环保政策和行业标准如下：</w:t>
      </w:r>
    </w:p>
    <w:p w:rsidR="00674F05" w:rsidRDefault="00674F05">
      <w:pPr>
        <w:pStyle w:val="a3"/>
        <w:spacing w:before="0" w:beforeAutospacing="0" w:after="0" w:afterAutospacing="0"/>
        <w:divId w:val="1833526670"/>
      </w:pPr>
      <w:r>
        <w:rPr>
          <w:rFonts w:hint="eastAsia"/>
          <w:sz w:val="18"/>
          <w:szCs w:val="18"/>
        </w:rPr>
        <w:t>《锅炉大气污染物排放标准》（DB32/4385-2022）</w:t>
      </w:r>
    </w:p>
    <w:p w:rsidR="00674F05" w:rsidRDefault="00674F05">
      <w:pPr>
        <w:pStyle w:val="a3"/>
        <w:spacing w:before="0" w:beforeAutospacing="0" w:after="0" w:afterAutospacing="0"/>
        <w:divId w:val="1833526670"/>
      </w:pPr>
      <w:r>
        <w:rPr>
          <w:rFonts w:hint="eastAsia"/>
          <w:sz w:val="18"/>
          <w:szCs w:val="18"/>
        </w:rPr>
        <w:t>《大气污染物综合排放标准》（GB16297-1996)</w:t>
      </w:r>
    </w:p>
    <w:p w:rsidR="00674F05" w:rsidRDefault="00674F05">
      <w:pPr>
        <w:pStyle w:val="a3"/>
        <w:spacing w:before="0" w:beforeAutospacing="0" w:after="0" w:afterAutospacing="0"/>
        <w:divId w:val="1833526670"/>
      </w:pPr>
      <w:r>
        <w:rPr>
          <w:rFonts w:hint="eastAsia"/>
          <w:sz w:val="18"/>
          <w:szCs w:val="18"/>
        </w:rPr>
        <w:t>《合成树脂工业污染物排放标准》（GB31572-2015）</w:t>
      </w:r>
    </w:p>
    <w:p w:rsidR="00674F05" w:rsidRDefault="00674F05">
      <w:pPr>
        <w:pStyle w:val="a3"/>
        <w:spacing w:before="0" w:beforeAutospacing="0" w:after="0" w:afterAutospacing="0"/>
        <w:divId w:val="1833526670"/>
      </w:pPr>
      <w:r>
        <w:rPr>
          <w:rFonts w:hint="eastAsia"/>
          <w:sz w:val="18"/>
          <w:szCs w:val="18"/>
        </w:rPr>
        <w:t>《江苏省大气污染物综合排放标准》(DB32/4041-2021）</w:t>
      </w:r>
    </w:p>
    <w:p w:rsidR="00674F05" w:rsidRDefault="00674F05">
      <w:pPr>
        <w:pStyle w:val="a3"/>
        <w:spacing w:before="0" w:beforeAutospacing="0" w:after="0" w:afterAutospacing="0"/>
        <w:divId w:val="1833526670"/>
      </w:pPr>
      <w:r>
        <w:rPr>
          <w:rFonts w:hint="eastAsia"/>
          <w:sz w:val="18"/>
          <w:szCs w:val="18"/>
        </w:rPr>
        <w:t>《污水排入城镇下水道水质标准》（GB/T 31962-2015）</w:t>
      </w:r>
    </w:p>
    <w:p w:rsidR="00674F05" w:rsidRDefault="00674F05">
      <w:pPr>
        <w:pStyle w:val="a3"/>
        <w:spacing w:before="0" w:beforeAutospacing="0" w:after="0" w:afterAutospacing="0"/>
        <w:divId w:val="1833526670"/>
      </w:pPr>
      <w:r>
        <w:rPr>
          <w:rFonts w:hint="eastAsia"/>
          <w:sz w:val="18"/>
          <w:szCs w:val="18"/>
        </w:rPr>
        <w:t>《污水综合排放标准》（GB8978-1996）</w:t>
      </w:r>
    </w:p>
    <w:p w:rsidR="00674F05" w:rsidRDefault="00674F05">
      <w:pPr>
        <w:pStyle w:val="a3"/>
        <w:spacing w:before="0" w:beforeAutospacing="0" w:after="0" w:afterAutospacing="0"/>
        <w:divId w:val="1833526670"/>
      </w:pPr>
      <w:r>
        <w:rPr>
          <w:rFonts w:hint="eastAsia"/>
          <w:sz w:val="18"/>
          <w:szCs w:val="18"/>
        </w:rPr>
        <w:t>《工业企业厂界环境噪声排放标准》（GB12348-2008）</w:t>
      </w:r>
    </w:p>
    <w:p w:rsidR="00674F05" w:rsidRDefault="00674F05">
      <w:pPr>
        <w:pStyle w:val="a3"/>
        <w:spacing w:before="0" w:beforeAutospacing="0" w:after="0" w:afterAutospacing="0"/>
        <w:divId w:val="1833526670"/>
      </w:pPr>
      <w:r>
        <w:rPr>
          <w:rFonts w:hint="eastAsia"/>
          <w:sz w:val="18"/>
          <w:szCs w:val="18"/>
        </w:rPr>
        <w:t>《聚酯涤纶单位产品能源消耗限额》（GB36889-2018）</w:t>
      </w:r>
    </w:p>
    <w:p w:rsidR="00674F05" w:rsidRDefault="00674F05">
      <w:pPr>
        <w:pStyle w:val="a3"/>
        <w:spacing w:before="0" w:beforeAutospacing="0" w:after="0" w:afterAutospacing="0"/>
        <w:divId w:val="1833526670"/>
      </w:pPr>
      <w:r>
        <w:rPr>
          <w:rFonts w:hint="eastAsia"/>
          <w:sz w:val="18"/>
          <w:szCs w:val="18"/>
        </w:rPr>
        <w:t>《合成纤维制造业（聚酯涤纶）清洁生产评价指标体系》</w:t>
      </w:r>
    </w:p>
    <w:p w:rsidR="006D7C9D" w:rsidRDefault="006D7C9D">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环境保护行政许可情况</w:t>
      </w:r>
    </w:p>
    <w:p w:rsidR="00674F05" w:rsidRDefault="00674F05">
      <w:pPr>
        <w:pStyle w:val="a3"/>
        <w:spacing w:before="0" w:beforeAutospacing="0" w:after="0" w:afterAutospacing="0"/>
        <w:divId w:val="327949541"/>
        <w:rPr>
          <w:sz w:val="18"/>
          <w:szCs w:val="18"/>
        </w:rPr>
      </w:pPr>
      <w:r>
        <w:rPr>
          <w:rFonts w:hint="eastAsia"/>
          <w:sz w:val="18"/>
          <w:szCs w:val="18"/>
        </w:rPr>
        <w:t>公司下属化纤厂排污许可证号为913202817241961689001Q，有效期自2022-12-04至2027-12-03。</w:t>
      </w:r>
    </w:p>
    <w:p w:rsidR="006D7C9D" w:rsidRDefault="006D7C9D">
      <w:pPr>
        <w:pStyle w:val="a3"/>
        <w:spacing w:before="0" w:beforeAutospacing="0" w:after="0" w:afterAutospacing="0"/>
        <w:divId w:val="327949541"/>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行业排放标准及生产经营活动中涉及的污染物排放的具体情况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7"/>
        <w:gridCol w:w="877"/>
        <w:gridCol w:w="877"/>
        <w:gridCol w:w="876"/>
        <w:gridCol w:w="876"/>
        <w:gridCol w:w="876"/>
        <w:gridCol w:w="876"/>
        <w:gridCol w:w="876"/>
        <w:gridCol w:w="876"/>
        <w:gridCol w:w="876"/>
        <w:gridCol w:w="876"/>
      </w:tblGrid>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排放浓度/强度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锅炉废气：颗粒物 氮氧化物 二氧化硫</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烟气黑度</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低氮燃烧处理后直接排放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烟尘≤50㎎/Nm3 氮氧化物≤50㎎/Nm3二氧化硫≤35㎎/Nm3烟气黑度 1</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《锅炉大气污染物排放标准》DB32/4385-2022</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上半年排放氮氧化物4.6538吨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氮氧化物全年总量20.845吨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未超标</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车间废气：挥发性有机物 颗粒物</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乙醛</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RCO催化燃烧处理合格后直接排放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挥发性有机物≤60㎎/Nm3颗粒物≤20㎎/Nm3   乙醛≤20㎎</w:t>
            </w:r>
            <w:r>
              <w:rPr>
                <w:rFonts w:ascii="宋体" w:eastAsia="宋体" w:hAnsi="宋体" w:cs="宋体"/>
                <w:sz w:val="18"/>
                <w:szCs w:val="18"/>
              </w:rPr>
              <w:lastRenderedPageBreak/>
              <w:t>/Nm3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《合成树脂工业污染物排放标准》GB31572-2015</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《大气污染物</w:t>
            </w:r>
            <w:r>
              <w:rPr>
                <w:rFonts w:ascii="宋体" w:eastAsia="宋体" w:hAnsi="宋体" w:cs="宋体"/>
                <w:sz w:val="18"/>
                <w:szCs w:val="18"/>
              </w:rPr>
              <w:lastRenderedPageBreak/>
              <w:t>综合排放标准》GB16297-1996</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上半年排放VOC量0.128吨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VOC全年总量1.4吨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未超标</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工艺废水：总磷 化学需氧量 石油类 PH值 流量 氨氮 总氮 悬浮物</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经污水站预处理后接管排放到华西污水处理有限公司处理</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排放口在厂区污水站区</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总磷≤8㎎/L 化学需氧量≤500㎎/L 石油类≤30㎎/L PH值6-9 氨氮≤20㎎/L 总氮 ≤70㎎/L悬浮物≤400㎎/L</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 xml:space="preserve">《污水排入城镇下水道水质标准》GB/T31962-2015  </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上半年排放废水量30837吨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废水全年排放总量89190吨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未超标</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废气：非甲烷总烃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废气处理后直接排放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布置在库区东北角和西北角各一个</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非甲烷总烃：≤60mg/Nm3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《江苏省大气污染物综合排放标准》DB32/4041-2021）</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上半年排放非甲烷总烃36t/a</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非甲烷总烃</w:t>
            </w:r>
            <w:r w:rsidR="00C130C1">
              <w:rPr>
                <w:rFonts w:ascii="宋体" w:eastAsia="宋体" w:hAnsi="宋体" w:cs="宋体"/>
                <w:sz w:val="18"/>
                <w:szCs w:val="18"/>
              </w:rPr>
              <w:t>全年排放</w:t>
            </w:r>
            <w:r>
              <w:rPr>
                <w:rFonts w:ascii="宋体" w:eastAsia="宋体" w:hAnsi="宋体" w:cs="宋体"/>
                <w:sz w:val="18"/>
                <w:szCs w:val="18"/>
              </w:rPr>
              <w:t>312.3t/a</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未超标</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工艺废水：COD、BOD、氨氮、总磷、总氮、色度、PH值</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经污水预处理站处理后排放到园区光大水务污水处理厂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排放口位于罐区六西侧围墙外</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COD：≤500mg/l;</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BOD：≤300mg/l；总氮：≤40mg/l总磷：≤2mg/l</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氨氮：≤35mg/l</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上半年废水排放总量：4419吨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废水</w:t>
            </w:r>
            <w:r w:rsidR="00C130C1">
              <w:rPr>
                <w:rFonts w:ascii="宋体" w:eastAsia="宋体" w:hAnsi="宋体" w:cs="宋体"/>
                <w:sz w:val="18"/>
                <w:szCs w:val="18"/>
              </w:rPr>
              <w:t>全年</w:t>
            </w:r>
            <w:r>
              <w:rPr>
                <w:rFonts w:ascii="宋体" w:eastAsia="宋体" w:hAnsi="宋体" w:cs="宋体"/>
                <w:sz w:val="18"/>
                <w:szCs w:val="18"/>
              </w:rPr>
              <w:t>排放总量：32860吨</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未超标</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对污染物的处理</w:t>
      </w:r>
    </w:p>
    <w:p w:rsidR="00674F05" w:rsidRDefault="00674F05">
      <w:pPr>
        <w:pStyle w:val="a3"/>
        <w:spacing w:before="40" w:beforeAutospacing="0" w:after="40" w:afterAutospacing="0"/>
        <w:jc w:val="both"/>
        <w:divId w:val="324170385"/>
      </w:pPr>
      <w:r>
        <w:rPr>
          <w:rFonts w:hint="eastAsia"/>
          <w:sz w:val="18"/>
          <w:szCs w:val="18"/>
        </w:rPr>
        <w:t>  化纤厂对污染物的处理：</w:t>
      </w:r>
    </w:p>
    <w:p w:rsidR="00674F05" w:rsidRDefault="00674F05">
      <w:pPr>
        <w:pStyle w:val="a3"/>
        <w:spacing w:before="40" w:beforeAutospacing="0" w:after="40" w:afterAutospacing="0"/>
        <w:jc w:val="both"/>
        <w:divId w:val="324170385"/>
      </w:pPr>
      <w:r>
        <w:rPr>
          <w:rFonts w:hint="eastAsia"/>
          <w:sz w:val="18"/>
          <w:szCs w:val="18"/>
        </w:rPr>
        <w:t>  聚酯废气采用喷淋+过滤+催化燃烧方式处置后达标排放；</w:t>
      </w:r>
    </w:p>
    <w:p w:rsidR="00674F05" w:rsidRDefault="00674F05">
      <w:pPr>
        <w:pStyle w:val="a3"/>
        <w:spacing w:before="40" w:beforeAutospacing="0" w:after="40" w:afterAutospacing="0"/>
        <w:jc w:val="both"/>
        <w:divId w:val="324170385"/>
      </w:pPr>
      <w:r>
        <w:rPr>
          <w:rFonts w:hint="eastAsia"/>
          <w:sz w:val="18"/>
          <w:szCs w:val="18"/>
        </w:rPr>
        <w:t>  纺丝废气采用喷淋除雾+高压静电吸附+干燥方式处置后达标排放；</w:t>
      </w:r>
    </w:p>
    <w:p w:rsidR="00674F05" w:rsidRDefault="00674F05">
      <w:pPr>
        <w:pStyle w:val="a3"/>
        <w:spacing w:before="40" w:beforeAutospacing="0" w:after="40" w:afterAutospacing="0"/>
        <w:jc w:val="both"/>
        <w:divId w:val="324170385"/>
      </w:pPr>
      <w:r>
        <w:rPr>
          <w:rFonts w:hint="eastAsia"/>
          <w:sz w:val="18"/>
          <w:szCs w:val="18"/>
        </w:rPr>
        <w:t>  污水处理站废气水洗+碱洗+生物除臭+干燥方式处置后达标排放；</w:t>
      </w:r>
    </w:p>
    <w:p w:rsidR="00674F05" w:rsidRDefault="00674F05">
      <w:pPr>
        <w:pStyle w:val="a3"/>
        <w:spacing w:before="40" w:beforeAutospacing="0" w:after="40" w:afterAutospacing="0"/>
        <w:jc w:val="both"/>
        <w:divId w:val="324170385"/>
      </w:pPr>
      <w:r>
        <w:rPr>
          <w:rFonts w:hint="eastAsia"/>
          <w:sz w:val="18"/>
          <w:szCs w:val="18"/>
        </w:rPr>
        <w:t>  生产废水采用隔油调节-初沉池-气浮-厌氧-活性污泥-二沉池方式处置后接管污水厂处置。</w:t>
      </w:r>
    </w:p>
    <w:p w:rsidR="00674F05" w:rsidRDefault="00674F05">
      <w:pPr>
        <w:pStyle w:val="a3"/>
        <w:spacing w:before="40" w:beforeAutospacing="0" w:after="40" w:afterAutospacing="0"/>
        <w:jc w:val="both"/>
        <w:divId w:val="324170385"/>
      </w:pPr>
      <w:r>
        <w:rPr>
          <w:rFonts w:hint="eastAsia"/>
          <w:sz w:val="18"/>
          <w:szCs w:val="18"/>
        </w:rPr>
        <w:t> </w:t>
      </w:r>
    </w:p>
    <w:p w:rsidR="00674F05" w:rsidRPr="006D7C9D" w:rsidRDefault="00674F05" w:rsidP="006D7C9D">
      <w:pPr>
        <w:pStyle w:val="a3"/>
        <w:spacing w:before="40" w:beforeAutospacing="0" w:after="40" w:afterAutospacing="0"/>
        <w:jc w:val="both"/>
        <w:divId w:val="324170385"/>
        <w:rPr>
          <w:sz w:val="18"/>
          <w:szCs w:val="18"/>
        </w:rPr>
      </w:pPr>
      <w:r>
        <w:rPr>
          <w:rFonts w:hint="eastAsia"/>
          <w:sz w:val="18"/>
          <w:szCs w:val="18"/>
        </w:rPr>
        <w:t>  华西码头对污染物的处理：</w:t>
      </w:r>
    </w:p>
    <w:p w:rsidR="00674F05" w:rsidRPr="006D7C9D" w:rsidRDefault="00674F05" w:rsidP="006D7C9D">
      <w:pPr>
        <w:pStyle w:val="a3"/>
        <w:spacing w:before="40" w:beforeAutospacing="0" w:after="40" w:afterAutospacing="0"/>
        <w:jc w:val="both"/>
        <w:divId w:val="324170385"/>
        <w:rPr>
          <w:sz w:val="18"/>
          <w:szCs w:val="18"/>
        </w:rPr>
      </w:pPr>
      <w:r>
        <w:rPr>
          <w:rFonts w:hint="eastAsia"/>
          <w:sz w:val="18"/>
          <w:szCs w:val="18"/>
        </w:rPr>
        <w:lastRenderedPageBreak/>
        <w:t>  华西码头建有污水处理装置一套，对生产污水进行厌氧和好氧处理后，排放到园区指定污水处理站，污水管线上安装自动切断阀，在线检测仪等相关设备设施。</w:t>
      </w:r>
    </w:p>
    <w:p w:rsidR="00674F05" w:rsidRDefault="00674F05" w:rsidP="006D7C9D">
      <w:pPr>
        <w:pStyle w:val="a3"/>
        <w:spacing w:before="40" w:beforeAutospacing="0" w:after="40" w:afterAutospacing="0"/>
        <w:jc w:val="both"/>
        <w:divId w:val="324170385"/>
        <w:rPr>
          <w:sz w:val="18"/>
          <w:szCs w:val="18"/>
        </w:rPr>
      </w:pPr>
      <w:r>
        <w:rPr>
          <w:rFonts w:hint="eastAsia"/>
          <w:sz w:val="18"/>
          <w:szCs w:val="18"/>
        </w:rPr>
        <w:t>  华西码头建有冷凝装置两座，一套为装卸车台及码头服务，一套为罐区服务，装卸产生的废气都能通过密闭管线收集到冷凝装置内进行处理。</w:t>
      </w:r>
    </w:p>
    <w:p w:rsidR="006D7C9D" w:rsidRPr="006D7C9D" w:rsidRDefault="006D7C9D" w:rsidP="006D7C9D">
      <w:pPr>
        <w:pStyle w:val="a3"/>
        <w:spacing w:before="40" w:beforeAutospacing="0" w:after="40" w:afterAutospacing="0"/>
        <w:jc w:val="both"/>
        <w:divId w:val="324170385"/>
        <w:rPr>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突发环境事件应急预案</w:t>
      </w:r>
    </w:p>
    <w:p w:rsidR="00674F05" w:rsidRDefault="00674F05">
      <w:pPr>
        <w:pStyle w:val="a3"/>
        <w:spacing w:before="40" w:beforeAutospacing="0" w:after="40" w:afterAutospacing="0"/>
        <w:jc w:val="both"/>
        <w:divId w:val="1310206304"/>
      </w:pPr>
      <w:r>
        <w:rPr>
          <w:rFonts w:hint="eastAsia"/>
          <w:sz w:val="18"/>
          <w:szCs w:val="18"/>
        </w:rPr>
        <w:t> 化纤厂已编制《突发环境事件应急预案》，并在江阴市环境应急与事故调查中心通过备案，备案编号：320281-2019-190-L。</w:t>
      </w:r>
    </w:p>
    <w:p w:rsidR="00674F05" w:rsidRDefault="00674F05" w:rsidP="006B0B20">
      <w:pPr>
        <w:pStyle w:val="a3"/>
        <w:spacing w:before="0" w:beforeAutospacing="0" w:after="0" w:afterAutospacing="0"/>
        <w:ind w:firstLine="276"/>
        <w:jc w:val="both"/>
        <w:divId w:val="1310206304"/>
        <w:rPr>
          <w:sz w:val="18"/>
          <w:szCs w:val="18"/>
        </w:rPr>
      </w:pPr>
      <w:r>
        <w:rPr>
          <w:rFonts w:hint="eastAsia"/>
          <w:sz w:val="18"/>
          <w:szCs w:val="18"/>
        </w:rPr>
        <w:t>华西码头已编制《突发环境事件应急预案》，并在江阴市环境应急与事故调查中心通过备案，备案编号：320281-2019-235-H。</w:t>
      </w:r>
    </w:p>
    <w:p w:rsidR="006B0B20" w:rsidRPr="006B0B20" w:rsidRDefault="006B0B20" w:rsidP="006B0B20">
      <w:pPr>
        <w:pStyle w:val="a3"/>
        <w:spacing w:before="0" w:beforeAutospacing="0" w:after="0" w:afterAutospacing="0"/>
        <w:ind w:firstLine="276"/>
        <w:jc w:val="both"/>
        <w:divId w:val="1310206304"/>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环境治理和保护的投入及缴纳环境保护税的相关情况</w:t>
      </w:r>
    </w:p>
    <w:p w:rsidR="00674F05" w:rsidRDefault="00674F05">
      <w:pPr>
        <w:pStyle w:val="a3"/>
        <w:spacing w:before="40" w:beforeAutospacing="0" w:after="40" w:afterAutospacing="0"/>
        <w:ind w:firstLine="360"/>
        <w:jc w:val="both"/>
        <w:divId w:val="1325283879"/>
      </w:pPr>
      <w:r>
        <w:rPr>
          <w:rFonts w:hint="eastAsia"/>
          <w:sz w:val="18"/>
          <w:szCs w:val="18"/>
        </w:rPr>
        <w:t>面对现有环保形势，公司始终站在可持续发展的高度，重视环境保护工作。报告期内，公司化纤厂加大投资对原有污水处理设施进行升级改造，新增中水回用系统（RO</w:t>
      </w:r>
      <w:r w:rsidR="0072714E">
        <w:rPr>
          <w:rFonts w:hint="eastAsia"/>
          <w:sz w:val="18"/>
          <w:szCs w:val="18"/>
        </w:rPr>
        <w:t>膜反</w:t>
      </w:r>
      <w:r>
        <w:rPr>
          <w:rFonts w:hint="eastAsia"/>
          <w:sz w:val="18"/>
          <w:szCs w:val="18"/>
        </w:rPr>
        <w:t>渗透系统），日处理量700吨/天，回收利用率80%，该项目总投资约</w:t>
      </w:r>
      <w:r w:rsidR="00D07E05">
        <w:rPr>
          <w:rFonts w:hint="eastAsia"/>
          <w:sz w:val="18"/>
          <w:szCs w:val="18"/>
        </w:rPr>
        <w:t>450</w:t>
      </w:r>
      <w:r>
        <w:rPr>
          <w:rFonts w:hint="eastAsia"/>
          <w:sz w:val="18"/>
          <w:szCs w:val="18"/>
        </w:rPr>
        <w:t>万元。</w:t>
      </w:r>
    </w:p>
    <w:p w:rsidR="00674F05" w:rsidRDefault="00674F05">
      <w:pPr>
        <w:pStyle w:val="a3"/>
        <w:spacing w:before="0" w:beforeAutospacing="0" w:after="0" w:afterAutospacing="0"/>
        <w:ind w:firstLine="360"/>
        <w:divId w:val="1325283879"/>
      </w:pPr>
      <w:r>
        <w:rPr>
          <w:rFonts w:hint="eastAsia"/>
          <w:sz w:val="18"/>
          <w:szCs w:val="18"/>
        </w:rPr>
        <w:t>报告期内，华西码头根据环保法律法规的要求，积极对库区无组织排放的废气及异</w:t>
      </w:r>
      <w:r w:rsidR="00950518">
        <w:rPr>
          <w:rFonts w:hint="eastAsia"/>
          <w:sz w:val="18"/>
          <w:szCs w:val="18"/>
        </w:rPr>
        <w:t>味进行处理，对储罐排放的废气利用密闭管线引入冷凝装置内进行处理。</w:t>
      </w:r>
      <w:r>
        <w:rPr>
          <w:rFonts w:hint="eastAsia"/>
          <w:sz w:val="18"/>
          <w:szCs w:val="18"/>
        </w:rPr>
        <w:t>今年上半年，共投入700多万元对装卸区、污水站等区域尾气进行深度治理，安装了一套树脂吸附装置，确保尾气更低浓度排放。</w:t>
      </w:r>
    </w:p>
    <w:p w:rsidR="00674F05" w:rsidRDefault="00674F05">
      <w:pPr>
        <w:pStyle w:val="a3"/>
        <w:spacing w:before="0" w:beforeAutospacing="0" w:after="0" w:afterAutospacing="0"/>
        <w:ind w:firstLine="360"/>
        <w:divId w:val="1325283879"/>
        <w:rPr>
          <w:sz w:val="18"/>
          <w:szCs w:val="18"/>
        </w:rPr>
      </w:pPr>
      <w:r>
        <w:rPr>
          <w:rFonts w:hint="eastAsia"/>
          <w:sz w:val="18"/>
          <w:szCs w:val="18"/>
        </w:rPr>
        <w:t>报告期公司实际缴纳环境保护税1.64万元。</w:t>
      </w:r>
    </w:p>
    <w:p w:rsidR="00996B2E" w:rsidRDefault="00996B2E">
      <w:pPr>
        <w:pStyle w:val="a3"/>
        <w:spacing w:before="0" w:beforeAutospacing="0" w:after="0" w:afterAutospacing="0"/>
        <w:ind w:firstLine="360"/>
        <w:divId w:val="1325283879"/>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环境自行监测方案</w:t>
      </w:r>
    </w:p>
    <w:p w:rsidR="00674F05" w:rsidRDefault="00674F05">
      <w:pPr>
        <w:pStyle w:val="a3"/>
        <w:spacing w:line="240" w:lineRule="atLeast"/>
        <w:divId w:val="367609500"/>
      </w:pPr>
      <w:r>
        <w:rPr>
          <w:rFonts w:hint="eastAsia"/>
          <w:sz w:val="18"/>
          <w:szCs w:val="18"/>
        </w:rPr>
        <w:t>公司依据《排污单位自行监测技术指南 总则》（HJ819-2017）、企业建设项目自查评估报告等，每年制定自行监测方案，并报属地环保监管部门。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p w:rsidR="006D7C9D" w:rsidRDefault="006D7C9D">
      <w:pPr>
        <w:spacing w:before="100" w:after="100" w:line="240" w:lineRule="exact"/>
        <w:rPr>
          <w:rFonts w:ascii="宋体" w:eastAsia="宋体" w:hAnsi="宋体" w:cs="宋体"/>
          <w:sz w:val="18"/>
          <w:szCs w:val="18"/>
        </w:rPr>
      </w:pPr>
      <w:r>
        <w:rPr>
          <w:rFonts w:ascii="宋体" w:eastAsia="宋体" w:hAnsi="宋体" w:cs="宋体" w:hint="eastAsia"/>
          <w:sz w:val="18"/>
          <w:szCs w:val="18"/>
        </w:rPr>
        <w:t>报告期内，公司未发生重大环境问题，未因环保问题受到行政处罚。</w:t>
      </w:r>
    </w:p>
    <w:p w:rsidR="006D7C9D" w:rsidRDefault="006D7C9D">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其他应当公开的环境信息</w:t>
      </w:r>
    </w:p>
    <w:p w:rsidR="00674F05" w:rsidRDefault="00674F05">
      <w:pPr>
        <w:pStyle w:val="a3"/>
        <w:divId w:val="2014406880"/>
        <w:rPr>
          <w:sz w:val="18"/>
          <w:szCs w:val="18"/>
        </w:rPr>
      </w:pPr>
      <w:r>
        <w:rPr>
          <w:rFonts w:hint="eastAsia"/>
          <w:sz w:val="18"/>
          <w:szCs w:val="18"/>
        </w:rPr>
        <w:t>无。</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D7C9D" w:rsidRDefault="006D7C9D">
      <w:pPr>
        <w:spacing w:before="40" w:after="4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p>
    <w:p w:rsidR="00674F05" w:rsidRDefault="00674F05">
      <w:pPr>
        <w:pStyle w:val="a3"/>
        <w:divId w:val="1959215781"/>
        <w:rPr>
          <w:sz w:val="18"/>
          <w:szCs w:val="18"/>
        </w:rPr>
      </w:pPr>
      <w:r>
        <w:rPr>
          <w:rFonts w:hint="eastAsia"/>
          <w:sz w:val="18"/>
          <w:szCs w:val="18"/>
        </w:rPr>
        <w:t>无。</w:t>
      </w:r>
    </w:p>
    <w:p w:rsidR="00B72ACA" w:rsidRDefault="00674F05">
      <w:pPr>
        <w:pStyle w:val="2"/>
        <w:spacing w:before="300" w:after="300" w:line="320" w:lineRule="exact"/>
        <w:rPr>
          <w:rFonts w:ascii="宋体" w:eastAsia="宋体" w:hAnsi="宋体" w:cs="宋体"/>
          <w:b/>
          <w:bCs/>
          <w:sz w:val="24"/>
          <w:szCs w:val="24"/>
        </w:rPr>
      </w:pPr>
      <w:bookmarkStart w:id="48" w:name="_Toc988937"/>
      <w:r>
        <w:rPr>
          <w:rFonts w:ascii="宋体" w:eastAsia="宋体" w:hAnsi="宋体" w:cs="宋体"/>
          <w:b/>
          <w:bCs/>
          <w:sz w:val="24"/>
          <w:szCs w:val="24"/>
        </w:rPr>
        <w:t>二、社会责任情况</w:t>
      </w:r>
      <w:bookmarkEnd w:id="48"/>
    </w:p>
    <w:p w:rsidR="00674F05" w:rsidRDefault="00674F05">
      <w:pPr>
        <w:pStyle w:val="a3"/>
        <w:spacing w:before="40" w:beforeAutospacing="0" w:after="40" w:afterAutospacing="0"/>
        <w:ind w:firstLine="360"/>
        <w:jc w:val="both"/>
        <w:divId w:val="1199859961"/>
      </w:pPr>
      <w:r>
        <w:rPr>
          <w:rFonts w:hint="eastAsia"/>
          <w:sz w:val="18"/>
          <w:szCs w:val="18"/>
        </w:rPr>
        <w:t>报告期内，公司积极履行企业应尽的义务，承担社会责任。公司重视保护股东、债权人和职工的合法权益，诚信对待供应商、客户，践行绿色发展理念，积极参与环境保护等工作，努力实现经济效益、社会效益和环境效益共赢，促进公司与全社会的协调、和谐发展。</w:t>
      </w:r>
    </w:p>
    <w:p w:rsidR="00674F05" w:rsidRDefault="00674F05">
      <w:pPr>
        <w:pStyle w:val="a3"/>
        <w:spacing w:before="40" w:beforeAutospacing="0" w:after="40" w:afterAutospacing="0"/>
        <w:ind w:firstLine="360"/>
        <w:jc w:val="both"/>
        <w:divId w:val="1199859961"/>
      </w:pPr>
      <w:r>
        <w:rPr>
          <w:rFonts w:hint="eastAsia"/>
          <w:sz w:val="18"/>
          <w:szCs w:val="18"/>
        </w:rPr>
        <w:lastRenderedPageBreak/>
        <w:t>（1）股东及债权人权益保护：公司始终坚持将保护股东作为一切经营管理活动的前提，重视股东特别是中小股东的利益，维护债权人的合法权益。公司不断完善治理体系，已建立了较为完善的内控体系，形成了以股东大会、董事会、监事会及管理层为主体结构的决策与经营体系，规范公司运作，履行信息披露义务，确保信息披露的真实、准确、及时、完整和公平，确保公司所有股东能够以平等的机会获得公司信息，保障全体股东的合法权益。同时，公司通过投资者电话和互动易平台等多种方式与投资者进行沟通交流，提高了公司的透明度和诚信度。报告期内，公司财务政策稳健，资产、资金安全，维护股东利益的同时兼顾了债权人的利益。</w:t>
      </w:r>
    </w:p>
    <w:p w:rsidR="00674F05" w:rsidRDefault="00674F05">
      <w:pPr>
        <w:pStyle w:val="a3"/>
        <w:spacing w:before="40" w:beforeAutospacing="0" w:after="40" w:afterAutospacing="0"/>
        <w:ind w:firstLine="360"/>
        <w:jc w:val="both"/>
        <w:divId w:val="1199859961"/>
      </w:pPr>
      <w:r>
        <w:rPr>
          <w:rFonts w:hint="eastAsia"/>
          <w:sz w:val="18"/>
          <w:szCs w:val="18"/>
        </w:rPr>
        <w:t>（2）职工权益保护：公司严格遵守《劳动法》等相关法律法规的要求，充分保障职工合法权益，劳资关系和谐稳定。公司为职工提供健康、安全的工作环境和生活环境，依法安排职工参加各项社会保险，在劳动安全卫生制度、社会保障等方面严格执行国家规定和标准。公司围绕落实安全生产责任制，强化安全生产管理，切实落实安全生产工作的各项要求，保障了生产的良好运行。</w:t>
      </w:r>
    </w:p>
    <w:p w:rsidR="00674F05" w:rsidRDefault="00674F05">
      <w:pPr>
        <w:pStyle w:val="a3"/>
        <w:spacing w:before="40" w:beforeAutospacing="0" w:after="40" w:afterAutospacing="0"/>
        <w:ind w:firstLine="360"/>
        <w:jc w:val="both"/>
        <w:divId w:val="1199859961"/>
      </w:pPr>
      <w:r>
        <w:rPr>
          <w:rFonts w:hint="eastAsia"/>
          <w:sz w:val="18"/>
          <w:szCs w:val="18"/>
        </w:rPr>
        <w:t>（3）供应商、客户权益保护：公司重视企业内部控制，加强对采购、销售等重点环节的监督检查，通过建立健全内部审计制度、采购管理制度等，防范商业贿赂与不正当交易，保护供应商与客户的合法权益。</w:t>
      </w:r>
    </w:p>
    <w:p w:rsidR="00674F05" w:rsidRDefault="00674F05">
      <w:pPr>
        <w:pStyle w:val="a3"/>
        <w:spacing w:before="40" w:beforeAutospacing="0" w:after="40" w:afterAutospacing="0"/>
        <w:ind w:firstLine="360"/>
        <w:jc w:val="both"/>
        <w:divId w:val="1199859961"/>
      </w:pPr>
      <w:r>
        <w:rPr>
          <w:rFonts w:hint="eastAsia"/>
          <w:sz w:val="18"/>
          <w:szCs w:val="18"/>
        </w:rPr>
        <w:t>（4）环境保护与可持续性发展：开展环境保护与可持续发展活动，不仅是公司履行社会责任的具体行动，更是公司降低生产成本的重要途径。公司持续强化绿色生产，加强能源降耗管理，在环境保护与成本节约等方面均取得了良好效果。</w:t>
      </w:r>
    </w:p>
    <w:p w:rsidR="00674F05" w:rsidRDefault="00674F05">
      <w:pPr>
        <w:pStyle w:val="a3"/>
        <w:spacing w:before="40" w:beforeAutospacing="0" w:after="40" w:afterAutospacing="0"/>
        <w:ind w:firstLine="360"/>
        <w:jc w:val="both"/>
        <w:divId w:val="1199859961"/>
      </w:pPr>
      <w:r>
        <w:rPr>
          <w:rFonts w:hint="eastAsia"/>
          <w:sz w:val="18"/>
          <w:szCs w:val="18"/>
        </w:rPr>
        <w:t>公司报告期内暂未开展脱贫攻坚、乡村振兴等方面的工作。</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49" w:name="_Toc988938"/>
      <w:r>
        <w:rPr>
          <w:rFonts w:ascii="宋体" w:eastAsia="宋体" w:hAnsi="宋体" w:cs="宋体"/>
          <w:b/>
          <w:bCs/>
          <w:sz w:val="32"/>
          <w:szCs w:val="32"/>
        </w:rPr>
        <w:lastRenderedPageBreak/>
        <w:t>第六节 重要事项</w:t>
      </w:r>
      <w:bookmarkEnd w:id="49"/>
    </w:p>
    <w:p w:rsidR="00B72ACA" w:rsidRDefault="00674F05">
      <w:pPr>
        <w:pStyle w:val="2"/>
        <w:spacing w:before="300" w:after="300" w:line="320" w:lineRule="exact"/>
        <w:rPr>
          <w:rFonts w:ascii="宋体" w:eastAsia="宋体" w:hAnsi="宋体" w:cs="宋体"/>
          <w:b/>
          <w:bCs/>
          <w:sz w:val="24"/>
          <w:szCs w:val="24"/>
        </w:rPr>
      </w:pPr>
      <w:bookmarkStart w:id="50" w:name="_Toc988939"/>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50"/>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rsidR="00B72ACA" w:rsidRDefault="00674F05">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t>二、控股股东及其他关联方对上市公司的非经营性占用资金情况</w:t>
      </w:r>
      <w:bookmarkEnd w:id="51"/>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B72ACA" w:rsidRDefault="00674F05">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三、违规对外担保情况</w:t>
      </w:r>
      <w:bookmarkEnd w:id="52"/>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B72ACA" w:rsidRDefault="00674F05">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四、聘任、解聘会计师事务所情况</w:t>
      </w:r>
      <w:bookmarkEnd w:id="53"/>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半年度财务报告是否已经审计</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公司半年度报告未经审计。</w:t>
      </w:r>
    </w:p>
    <w:p w:rsidR="00B72ACA" w:rsidRDefault="00674F05">
      <w:pPr>
        <w:pStyle w:val="2"/>
        <w:spacing w:before="300" w:after="300" w:line="320" w:lineRule="exact"/>
        <w:rPr>
          <w:rFonts w:ascii="宋体" w:eastAsia="宋体" w:hAnsi="宋体" w:cs="宋体"/>
          <w:b/>
          <w:bCs/>
          <w:sz w:val="24"/>
          <w:szCs w:val="24"/>
        </w:rPr>
      </w:pPr>
      <w:bookmarkStart w:id="54" w:name="_Toc988943"/>
      <w:r>
        <w:rPr>
          <w:rFonts w:ascii="宋体" w:eastAsia="宋体" w:hAnsi="宋体" w:cs="宋体"/>
          <w:b/>
          <w:bCs/>
          <w:sz w:val="24"/>
          <w:szCs w:val="24"/>
        </w:rPr>
        <w:t>五、董事会、监事会对会计师事务所本报告期“非标准审计报告”的说明</w:t>
      </w:r>
      <w:bookmarkEnd w:id="54"/>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t>六、董事会对上年度“非标准审计报告”相关情况的说明</w:t>
      </w:r>
      <w:bookmarkEnd w:id="55"/>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t>七、破产重整相关事项</w:t>
      </w:r>
      <w:bookmarkEnd w:id="56"/>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B72ACA" w:rsidRDefault="00674F05">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八、诉讼事项</w:t>
      </w:r>
      <w:bookmarkEnd w:id="57"/>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重大诉讼仲裁事项</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其他诉讼事项</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58" w:name="_Toc988947"/>
      <w:r>
        <w:rPr>
          <w:rFonts w:ascii="宋体" w:eastAsia="宋体" w:hAnsi="宋体" w:cs="宋体"/>
          <w:b/>
          <w:bCs/>
          <w:sz w:val="24"/>
          <w:szCs w:val="24"/>
        </w:rPr>
        <w:lastRenderedPageBreak/>
        <w:t>九、处罚及整改情况</w:t>
      </w:r>
      <w:bookmarkEnd w:id="58"/>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59" w:name="_Toc988948"/>
      <w:r>
        <w:rPr>
          <w:rFonts w:ascii="宋体" w:eastAsia="宋体" w:hAnsi="宋体" w:cs="宋体"/>
          <w:b/>
          <w:bCs/>
          <w:sz w:val="24"/>
          <w:szCs w:val="24"/>
        </w:rPr>
        <w:t>十、公司及其控股股东、实际控制人的诚信状况</w:t>
      </w:r>
      <w:bookmarkEnd w:id="59"/>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60" w:name="_Toc988949"/>
      <w:r>
        <w:rPr>
          <w:rFonts w:ascii="宋体" w:eastAsia="宋体" w:hAnsi="宋体" w:cs="宋体"/>
          <w:b/>
          <w:bCs/>
          <w:sz w:val="24"/>
          <w:szCs w:val="24"/>
        </w:rPr>
        <w:t>十一、重大关联交易</w:t>
      </w:r>
      <w:bookmarkEnd w:id="60"/>
    </w:p>
    <w:p w:rsidR="00B72ACA" w:rsidRDefault="00674F05">
      <w:pPr>
        <w:pStyle w:val="3"/>
        <w:spacing w:line="280" w:lineRule="exact"/>
        <w:jc w:val="left"/>
        <w:rPr>
          <w:rFonts w:ascii="宋体" w:hAnsi="宋体" w:cs="宋体"/>
          <w:b/>
          <w:bCs/>
        </w:rPr>
      </w:pPr>
      <w:bookmarkStart w:id="61" w:name="_Toc988950"/>
      <w:r>
        <w:rPr>
          <w:rFonts w:ascii="宋体" w:hAnsi="宋体" w:cs="宋体"/>
          <w:b/>
          <w:bCs/>
        </w:rPr>
        <w:t>1、与日常经营相关的关联交易</w:t>
      </w:r>
      <w:bookmarkEnd w:id="61"/>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w:t>
      </w:r>
      <w:r w:rsidR="00CA1AAF">
        <w:rPr>
          <w:rFonts w:ascii="宋体" w:eastAsia="宋体" w:hAnsi="宋体" w:cs="宋体"/>
          <w:sz w:val="18"/>
          <w:szCs w:val="18"/>
        </w:rPr>
        <w:t>重大</w:t>
      </w:r>
      <w:r>
        <w:rPr>
          <w:rFonts w:ascii="宋体" w:eastAsia="宋体" w:hAnsi="宋体" w:cs="宋体"/>
          <w:sz w:val="18"/>
          <w:szCs w:val="18"/>
        </w:rPr>
        <w:t>关联交易。</w:t>
      </w:r>
    </w:p>
    <w:p w:rsidR="00B72ACA" w:rsidRDefault="00674F05">
      <w:pPr>
        <w:pStyle w:val="3"/>
        <w:spacing w:line="280" w:lineRule="exact"/>
        <w:jc w:val="left"/>
        <w:rPr>
          <w:rFonts w:ascii="宋体" w:hAnsi="宋体" w:cs="宋体"/>
          <w:b/>
          <w:bCs/>
        </w:rPr>
      </w:pPr>
      <w:bookmarkStart w:id="62" w:name="_Toc988951"/>
      <w:r>
        <w:rPr>
          <w:rFonts w:ascii="宋体" w:hAnsi="宋体" w:cs="宋体"/>
          <w:b/>
          <w:bCs/>
        </w:rPr>
        <w:t>2、资产或股权收购、出售发生的关联交易</w:t>
      </w:r>
      <w:bookmarkEnd w:id="62"/>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B72ACA" w:rsidRDefault="00674F05">
      <w:pPr>
        <w:pStyle w:val="3"/>
        <w:spacing w:line="280" w:lineRule="exact"/>
        <w:jc w:val="left"/>
        <w:rPr>
          <w:rFonts w:ascii="宋体" w:hAnsi="宋体" w:cs="宋体"/>
          <w:b/>
          <w:bCs/>
        </w:rPr>
      </w:pPr>
      <w:bookmarkStart w:id="63" w:name="_Toc988952"/>
      <w:r>
        <w:rPr>
          <w:rFonts w:ascii="宋体" w:hAnsi="宋体" w:cs="宋体"/>
          <w:b/>
          <w:bCs/>
        </w:rPr>
        <w:t>3、共同对外投资的关联交易</w:t>
      </w:r>
      <w:bookmarkEnd w:id="63"/>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B72ACA" w:rsidRDefault="00674F05">
      <w:pPr>
        <w:pStyle w:val="3"/>
        <w:spacing w:line="280" w:lineRule="exact"/>
        <w:jc w:val="left"/>
        <w:rPr>
          <w:rFonts w:ascii="宋体" w:hAnsi="宋体" w:cs="宋体"/>
          <w:b/>
          <w:bCs/>
        </w:rPr>
      </w:pPr>
      <w:bookmarkStart w:id="64" w:name="_Toc988953"/>
      <w:r>
        <w:rPr>
          <w:rFonts w:ascii="宋体" w:hAnsi="宋体" w:cs="宋体"/>
          <w:b/>
          <w:bCs/>
        </w:rPr>
        <w:t>4、关联债权债务往来</w:t>
      </w:r>
      <w:bookmarkEnd w:id="64"/>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B72ACA" w:rsidRDefault="00674F05">
      <w:pPr>
        <w:pStyle w:val="3"/>
        <w:spacing w:line="280" w:lineRule="exact"/>
        <w:jc w:val="left"/>
        <w:rPr>
          <w:rFonts w:ascii="宋体" w:hAnsi="宋体" w:cs="宋体"/>
          <w:b/>
          <w:bCs/>
        </w:rPr>
      </w:pPr>
      <w:bookmarkStart w:id="65" w:name="_Toc988954"/>
      <w:r>
        <w:rPr>
          <w:rFonts w:ascii="宋体" w:hAnsi="宋体" w:cs="宋体"/>
          <w:b/>
          <w:bCs/>
        </w:rPr>
        <w:t>5、与存在关联关系的财务公司的往来情况</w:t>
      </w:r>
      <w:bookmarkEnd w:id="65"/>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B72ACA">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存款利率范围</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期初余额（万元）</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期末余额（万元）</w:t>
            </w:r>
          </w:p>
        </w:tc>
      </w:tr>
      <w:tr w:rsidR="00B72ACA">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同一母公司</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rsidP="00187B62">
            <w:pPr>
              <w:spacing w:line="240" w:lineRule="exact"/>
              <w:rPr>
                <w:rFonts w:ascii="宋体" w:eastAsia="宋体" w:hAnsi="宋体" w:cs="宋体"/>
                <w:sz w:val="18"/>
                <w:szCs w:val="18"/>
              </w:rPr>
            </w:pPr>
            <w:r>
              <w:rPr>
                <w:rFonts w:ascii="宋体" w:eastAsia="宋体" w:hAnsi="宋体" w:cs="宋体"/>
                <w:sz w:val="18"/>
                <w:szCs w:val="18"/>
              </w:rPr>
              <w:t>0.35%-1.15%</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113,423.61</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113,423.61</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B72ACA" w:rsidRDefault="00674F05">
      <w:pPr>
        <w:pStyle w:val="3"/>
        <w:spacing w:line="280" w:lineRule="exact"/>
        <w:jc w:val="left"/>
        <w:rPr>
          <w:rFonts w:ascii="宋体" w:hAnsi="宋体" w:cs="宋体"/>
          <w:b/>
          <w:bCs/>
        </w:rPr>
      </w:pPr>
      <w:bookmarkStart w:id="66" w:name="_Toc988955"/>
      <w:r>
        <w:rPr>
          <w:rFonts w:ascii="宋体" w:hAnsi="宋体" w:cs="宋体"/>
          <w:b/>
          <w:bCs/>
        </w:rPr>
        <w:t>6、公司控股的财务公司与关联方的往来情况</w:t>
      </w:r>
      <w:bookmarkEnd w:id="66"/>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67" w:name="_Toc988956"/>
      <w:r>
        <w:rPr>
          <w:rFonts w:ascii="宋体" w:hAnsi="宋体" w:cs="宋体"/>
          <w:b/>
          <w:bCs/>
        </w:rPr>
        <w:lastRenderedPageBreak/>
        <w:t>7、其他重大关联交易</w:t>
      </w:r>
      <w:bookmarkEnd w:id="67"/>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674F05" w:rsidRDefault="00674F05">
      <w:pPr>
        <w:pStyle w:val="a3"/>
        <w:divId w:val="873660839"/>
        <w:rPr>
          <w:sz w:val="18"/>
          <w:szCs w:val="18"/>
        </w:rPr>
      </w:pPr>
      <w:r>
        <w:rPr>
          <w:rFonts w:hint="eastAsia"/>
          <w:sz w:val="18"/>
          <w:szCs w:val="18"/>
        </w:rPr>
        <w:t>报告期内，公司与关联方发生的与日常经营相关的关联交易详见“第十节 财务报告”之“十二、关联方及关联交易”。</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关于2023年度日常关联交易预计公告（公告编号：2023-006）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巨潮资讯网</w:t>
            </w:r>
          </w:p>
        </w:tc>
      </w:tr>
    </w:tbl>
    <w:p w:rsidR="00B72ACA" w:rsidRDefault="00674F05">
      <w:pPr>
        <w:pStyle w:val="2"/>
        <w:spacing w:before="300" w:after="300" w:line="320" w:lineRule="exact"/>
        <w:rPr>
          <w:rFonts w:ascii="宋体" w:eastAsia="宋体" w:hAnsi="宋体" w:cs="宋体"/>
          <w:b/>
          <w:bCs/>
          <w:sz w:val="24"/>
          <w:szCs w:val="24"/>
        </w:rPr>
      </w:pPr>
      <w:bookmarkStart w:id="68" w:name="_Toc988957"/>
      <w:r>
        <w:rPr>
          <w:rFonts w:ascii="宋体" w:eastAsia="宋体" w:hAnsi="宋体" w:cs="宋体"/>
          <w:b/>
          <w:bCs/>
          <w:sz w:val="24"/>
          <w:szCs w:val="24"/>
        </w:rPr>
        <w:t>十二、重大合同及其履行情况</w:t>
      </w:r>
      <w:bookmarkEnd w:id="68"/>
    </w:p>
    <w:p w:rsidR="00B72ACA" w:rsidRDefault="00674F05">
      <w:pPr>
        <w:pStyle w:val="3"/>
        <w:spacing w:line="280" w:lineRule="exact"/>
        <w:jc w:val="left"/>
        <w:rPr>
          <w:rFonts w:ascii="宋体" w:hAnsi="宋体" w:cs="宋体"/>
          <w:b/>
          <w:bCs/>
        </w:rPr>
      </w:pPr>
      <w:bookmarkStart w:id="69" w:name="_Toc988958"/>
      <w:r>
        <w:rPr>
          <w:rFonts w:ascii="宋体" w:hAnsi="宋体" w:cs="宋体"/>
          <w:b/>
          <w:bCs/>
        </w:rPr>
        <w:t>1、托管、承包、租赁事项情况</w:t>
      </w:r>
      <w:bookmarkEnd w:id="69"/>
    </w:p>
    <w:p w:rsidR="00B72ACA" w:rsidRDefault="00674F05">
      <w:pPr>
        <w:keepNext/>
        <w:keepLines/>
        <w:spacing w:before="300" w:after="300" w:line="280" w:lineRule="exact"/>
        <w:outlineLvl w:val="3"/>
        <w:rPr>
          <w:rFonts w:ascii="宋体" w:eastAsia="宋体" w:hAnsi="宋体" w:cs="宋体"/>
          <w:b/>
          <w:bCs/>
          <w:sz w:val="18"/>
          <w:szCs w:val="18"/>
        </w:rPr>
      </w:pPr>
      <w:bookmarkStart w:id="70" w:name="_Toc988959"/>
      <w:r>
        <w:rPr>
          <w:rFonts w:ascii="宋体" w:eastAsia="宋体" w:hAnsi="宋体" w:cs="宋体"/>
          <w:b/>
          <w:bCs/>
          <w:sz w:val="18"/>
          <w:szCs w:val="18"/>
        </w:rPr>
        <w:t>（1） 托管情况</w:t>
      </w:r>
      <w:bookmarkEnd w:id="70"/>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B72ACA" w:rsidRDefault="00674F05">
      <w:pPr>
        <w:keepNext/>
        <w:keepLines/>
        <w:spacing w:before="300" w:after="300" w:line="280" w:lineRule="exact"/>
        <w:outlineLvl w:val="3"/>
        <w:rPr>
          <w:rFonts w:ascii="宋体" w:eastAsia="宋体" w:hAnsi="宋体" w:cs="宋体"/>
          <w:b/>
          <w:bCs/>
          <w:sz w:val="18"/>
          <w:szCs w:val="18"/>
        </w:rPr>
      </w:pPr>
      <w:bookmarkStart w:id="71" w:name="_Toc988960"/>
      <w:r>
        <w:rPr>
          <w:rFonts w:ascii="宋体" w:eastAsia="宋体" w:hAnsi="宋体" w:cs="宋体"/>
          <w:b/>
          <w:bCs/>
          <w:sz w:val="18"/>
          <w:szCs w:val="18"/>
        </w:rPr>
        <w:t>（2） 承包情况</w:t>
      </w:r>
      <w:bookmarkEnd w:id="71"/>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B72ACA" w:rsidRDefault="00674F05">
      <w:pPr>
        <w:keepNext/>
        <w:keepLines/>
        <w:spacing w:before="300" w:after="300" w:line="280" w:lineRule="exact"/>
        <w:outlineLvl w:val="3"/>
        <w:rPr>
          <w:rFonts w:ascii="宋体" w:eastAsia="宋体" w:hAnsi="宋体" w:cs="宋体"/>
          <w:b/>
          <w:bCs/>
          <w:sz w:val="18"/>
          <w:szCs w:val="18"/>
        </w:rPr>
      </w:pPr>
      <w:bookmarkStart w:id="72" w:name="_Toc988961"/>
      <w:r>
        <w:rPr>
          <w:rFonts w:ascii="宋体" w:eastAsia="宋体" w:hAnsi="宋体" w:cs="宋体"/>
          <w:b/>
          <w:bCs/>
          <w:sz w:val="18"/>
          <w:szCs w:val="18"/>
        </w:rPr>
        <w:t>（3） 租赁情况</w:t>
      </w:r>
      <w:bookmarkEnd w:id="72"/>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B72ACA" w:rsidRDefault="00674F05">
      <w:pPr>
        <w:pStyle w:val="3"/>
        <w:spacing w:line="280" w:lineRule="exact"/>
        <w:jc w:val="left"/>
        <w:rPr>
          <w:rFonts w:ascii="宋体" w:hAnsi="宋体" w:cs="宋体"/>
          <w:b/>
          <w:bCs/>
        </w:rPr>
      </w:pPr>
      <w:bookmarkStart w:id="73" w:name="_Toc988962"/>
      <w:r>
        <w:rPr>
          <w:rFonts w:ascii="宋体" w:hAnsi="宋体" w:cs="宋体"/>
          <w:b/>
          <w:bCs/>
        </w:rPr>
        <w:t>2、重大担保</w:t>
      </w:r>
      <w:bookmarkEnd w:id="73"/>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B72ACA">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B72ACA" w:rsidTr="006D7C9D">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6D7C9D" w:rsidTr="006D7C9D">
        <w:trPr>
          <w:trHeight w:val="240"/>
        </w:trPr>
        <w:tc>
          <w:tcPr>
            <w:tcW w:w="875" w:type="dxa"/>
            <w:vMerge w:val="restart"/>
            <w:tcBorders>
              <w:top w:val="single" w:sz="2" w:space="0" w:color="auto"/>
              <w:left w:val="single" w:sz="2" w:space="0" w:color="auto"/>
              <w:right w:val="single" w:sz="2" w:space="0" w:color="auto"/>
            </w:tcBorders>
            <w:vAlign w:val="center"/>
          </w:tcPr>
          <w:p w:rsidR="006D7C9D" w:rsidRDefault="006D7C9D" w:rsidP="006D7C9D">
            <w:pPr>
              <w:spacing w:line="240" w:lineRule="exact"/>
              <w:jc w:val="center"/>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6D7C9D" w:rsidRDefault="006D7C9D" w:rsidP="006D7C9D">
            <w:pPr>
              <w:spacing w:line="240" w:lineRule="exact"/>
              <w:jc w:val="center"/>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6D7C9D" w:rsidRDefault="006D7C9D" w:rsidP="006D7C9D">
            <w:pPr>
              <w:spacing w:line="240" w:lineRule="exact"/>
              <w:jc w:val="center"/>
              <w:rPr>
                <w:rFonts w:ascii="宋体" w:eastAsia="宋体" w:hAnsi="宋体" w:cs="宋体"/>
                <w:sz w:val="18"/>
                <w:szCs w:val="18"/>
              </w:rPr>
            </w:pPr>
            <w:r>
              <w:rPr>
                <w:rFonts w:ascii="宋体" w:eastAsia="宋体" w:hAnsi="宋体" w:cs="宋体"/>
                <w:sz w:val="18"/>
                <w:szCs w:val="18"/>
              </w:rPr>
              <w:t>45,000</w:t>
            </w:r>
          </w:p>
          <w:p w:rsidR="006D7C9D" w:rsidRDefault="006D7C9D" w:rsidP="006D7C9D">
            <w:pPr>
              <w:spacing w:line="240" w:lineRule="exact"/>
              <w:jc w:val="center"/>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2022年07月04日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至2023-05-30</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rsidP="002C73E5">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2022年07月05日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至2023-06-01</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2023年05月30日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至2023-11-29</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2023年</w:t>
            </w:r>
            <w:r>
              <w:rPr>
                <w:rFonts w:ascii="宋体" w:eastAsia="宋体" w:hAnsi="宋体" w:cs="宋体"/>
                <w:sz w:val="18"/>
                <w:szCs w:val="18"/>
              </w:rPr>
              <w:lastRenderedPageBreak/>
              <w:t>06月01日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w:t>
            </w:r>
            <w:r>
              <w:rPr>
                <w:rFonts w:ascii="宋体" w:eastAsia="宋体" w:hAnsi="宋体" w:cs="宋体"/>
                <w:sz w:val="18"/>
                <w:szCs w:val="18"/>
              </w:rPr>
              <w:lastRenderedPageBreak/>
              <w:t>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w:t>
            </w:r>
            <w:r>
              <w:rPr>
                <w:rFonts w:ascii="宋体" w:eastAsia="宋体" w:hAnsi="宋体" w:cs="宋体"/>
                <w:sz w:val="18"/>
                <w:szCs w:val="18"/>
              </w:rPr>
              <w:lastRenderedPageBreak/>
              <w:t>2023-11-30</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lastRenderedPageBreak/>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至2023-07-05</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2022年07月07日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至2023-07-06</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2022年07月20日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至2023-07-20</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2022年08月12日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至2023-08-10</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至2023-08-14</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至2023-09-04</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val="restart"/>
            <w:tcBorders>
              <w:top w:val="single" w:sz="2" w:space="0" w:color="auto"/>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2022年10月31日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至2023-10-31</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至2023-09-05</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val="restart"/>
            <w:tcBorders>
              <w:top w:val="single" w:sz="2" w:space="0" w:color="auto"/>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2022年03月22日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至2023-03-21</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bottom w:val="single" w:sz="2" w:space="0" w:color="auto"/>
              <w:right w:val="single" w:sz="2" w:space="0" w:color="auto"/>
            </w:tcBorders>
            <w:vAlign w:val="center"/>
          </w:tcPr>
          <w:p w:rsidR="006D7C9D" w:rsidRDefault="006D7C9D" w:rsidP="006D7C9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至2024-03-20</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val="restart"/>
            <w:tcBorders>
              <w:top w:val="single" w:sz="2" w:space="0" w:color="auto"/>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至2023-11-09</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6D7C9D" w:rsidTr="002C73E5">
        <w:trPr>
          <w:trHeight w:val="240"/>
        </w:trPr>
        <w:tc>
          <w:tcPr>
            <w:tcW w:w="875"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2022年12月02日</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至2023-12-01</w:t>
            </w:r>
          </w:p>
        </w:tc>
        <w:tc>
          <w:tcPr>
            <w:tcW w:w="876"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6D7C9D" w:rsidRDefault="006D7C9D">
            <w:pPr>
              <w:spacing w:line="240" w:lineRule="exact"/>
              <w:rPr>
                <w:rFonts w:ascii="宋体" w:eastAsia="宋体" w:hAnsi="宋体" w:cs="宋体"/>
                <w:sz w:val="18"/>
                <w:szCs w:val="18"/>
              </w:rPr>
            </w:pPr>
            <w:r>
              <w:rPr>
                <w:rFonts w:ascii="宋体" w:eastAsia="宋体" w:hAnsi="宋体" w:cs="宋体"/>
                <w:sz w:val="18"/>
                <w:szCs w:val="18"/>
              </w:rPr>
              <w:t>是</w:t>
            </w:r>
          </w:p>
        </w:tc>
      </w:tr>
      <w:tr w:rsidR="00CA1AAF" w:rsidTr="002C73E5">
        <w:trPr>
          <w:trHeight w:val="240"/>
        </w:trPr>
        <w:tc>
          <w:tcPr>
            <w:tcW w:w="875" w:type="dxa"/>
            <w:vMerge w:val="restart"/>
            <w:tcBorders>
              <w:top w:val="single" w:sz="2" w:space="0" w:color="auto"/>
              <w:left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2022年07月29日</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rsidP="00CA1AAF">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至2023-01-29</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是</w:t>
            </w:r>
          </w:p>
        </w:tc>
      </w:tr>
      <w:tr w:rsidR="00CA1AAF" w:rsidTr="002C73E5">
        <w:trPr>
          <w:trHeight w:val="240"/>
        </w:trPr>
        <w:tc>
          <w:tcPr>
            <w:tcW w:w="875" w:type="dxa"/>
            <w:vMerge/>
            <w:tcBorders>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2023年01月30日</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至2023-07-28</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是</w:t>
            </w:r>
          </w:p>
        </w:tc>
      </w:tr>
      <w:tr w:rsidR="00CA1AAF" w:rsidTr="006D7C9D">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hint="eastAsia"/>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19,500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至2026-03-29</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是</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86,110</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报告期末实际对外担保余额合计（A4）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86,110</w:t>
            </w:r>
          </w:p>
        </w:tc>
      </w:tr>
      <w:tr w:rsidR="00CA1AA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公司对子公司的担保情况</w:t>
            </w:r>
          </w:p>
        </w:tc>
      </w:tr>
      <w:tr w:rsidR="00CA1AAF" w:rsidTr="006D7C9D">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w:t>
            </w:r>
            <w:r>
              <w:rPr>
                <w:rFonts w:ascii="宋体" w:eastAsia="宋体" w:hAnsi="宋体" w:cs="宋体"/>
                <w:sz w:val="18"/>
                <w:szCs w:val="18"/>
              </w:rPr>
              <w:lastRenderedPageBreak/>
              <w:t>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担保额</w:t>
            </w:r>
            <w:r>
              <w:rPr>
                <w:rFonts w:ascii="宋体" w:eastAsia="宋体" w:hAnsi="宋体" w:cs="宋体"/>
                <w:sz w:val="18"/>
                <w:szCs w:val="18"/>
              </w:rPr>
              <w:lastRenderedPageBreak/>
              <w:t>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担保额</w:t>
            </w:r>
            <w:r>
              <w:rPr>
                <w:rFonts w:ascii="宋体" w:eastAsia="宋体" w:hAnsi="宋体" w:cs="宋体"/>
                <w:sz w:val="18"/>
                <w:szCs w:val="18"/>
              </w:rPr>
              <w:lastRenderedPageBreak/>
              <w:t>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实际发</w:t>
            </w:r>
            <w:r>
              <w:rPr>
                <w:rFonts w:ascii="宋体" w:eastAsia="宋体" w:hAnsi="宋体" w:cs="宋体"/>
                <w:sz w:val="18"/>
                <w:szCs w:val="18"/>
              </w:rPr>
              <w:lastRenderedPageBreak/>
              <w:t>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实际担</w:t>
            </w:r>
            <w:r>
              <w:rPr>
                <w:rFonts w:ascii="宋体" w:eastAsia="宋体" w:hAnsi="宋体" w:cs="宋体"/>
                <w:sz w:val="18"/>
                <w:szCs w:val="18"/>
              </w:rPr>
              <w:lastRenderedPageBreak/>
              <w:t>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担保类</w:t>
            </w:r>
            <w:r>
              <w:rPr>
                <w:rFonts w:ascii="宋体" w:eastAsia="宋体" w:hAnsi="宋体" w:cs="宋体"/>
                <w:sz w:val="18"/>
                <w:szCs w:val="18"/>
              </w:rPr>
              <w:lastRenderedPageBreak/>
              <w:t>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担保物</w:t>
            </w:r>
            <w:r>
              <w:rPr>
                <w:rFonts w:ascii="宋体" w:eastAsia="宋体" w:hAnsi="宋体" w:cs="宋体"/>
                <w:sz w:val="18"/>
                <w:szCs w:val="18"/>
              </w:rPr>
              <w:lastRenderedPageBreak/>
              <w:t>（如有）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反担保</w:t>
            </w:r>
            <w:r>
              <w:rPr>
                <w:rFonts w:ascii="宋体" w:eastAsia="宋体" w:hAnsi="宋体" w:cs="宋体"/>
                <w:sz w:val="18"/>
                <w:szCs w:val="18"/>
              </w:rPr>
              <w:lastRenderedPageBreak/>
              <w:t>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w:t>
            </w:r>
            <w:r>
              <w:rPr>
                <w:rFonts w:ascii="宋体" w:eastAsia="宋体" w:hAnsi="宋体" w:cs="宋体"/>
                <w:sz w:val="18"/>
                <w:szCs w:val="18"/>
              </w:rPr>
              <w:lastRenderedPageBreak/>
              <w:t>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是否为</w:t>
            </w:r>
            <w:r>
              <w:rPr>
                <w:rFonts w:ascii="宋体" w:eastAsia="宋体" w:hAnsi="宋体" w:cs="宋体"/>
                <w:sz w:val="18"/>
                <w:szCs w:val="18"/>
              </w:rPr>
              <w:lastRenderedPageBreak/>
              <w:t>关联方担保</w:t>
            </w:r>
          </w:p>
        </w:tc>
      </w:tr>
      <w:tr w:rsidR="00CA1AAF" w:rsidTr="006D7C9D">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CA1AAF" w:rsidRDefault="0030340F">
            <w:pPr>
              <w:spacing w:line="240" w:lineRule="exact"/>
              <w:rPr>
                <w:rFonts w:ascii="宋体" w:eastAsia="宋体" w:hAnsi="宋体" w:cs="宋体"/>
                <w:sz w:val="18"/>
                <w:szCs w:val="18"/>
              </w:rPr>
            </w:pPr>
            <w:r>
              <w:rPr>
                <w:rFonts w:ascii="宋体" w:eastAsia="宋体" w:hAnsi="宋体" w:cs="宋体"/>
                <w:sz w:val="18"/>
                <w:szCs w:val="18"/>
              </w:rPr>
              <w:lastRenderedPageBreak/>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2023年05月16日</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否</w:t>
            </w:r>
          </w:p>
        </w:tc>
      </w:tr>
      <w:tr w:rsidR="00CA1AAF" w:rsidTr="006D7C9D">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2011年06月14日</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否</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A02A11">
            <w:pPr>
              <w:spacing w:line="240" w:lineRule="exact"/>
              <w:jc w:val="right"/>
              <w:rPr>
                <w:rFonts w:ascii="宋体" w:eastAsia="宋体" w:hAnsi="宋体" w:cs="宋体"/>
                <w:sz w:val="18"/>
                <w:szCs w:val="18"/>
              </w:rPr>
            </w:pPr>
            <w:r>
              <w:rPr>
                <w:rFonts w:ascii="宋体" w:eastAsia="宋体" w:hAnsi="宋体" w:cs="宋体" w:hint="eastAsia"/>
                <w:sz w:val="18"/>
                <w:szCs w:val="18"/>
              </w:rPr>
              <w:t>3</w:t>
            </w:r>
            <w:r w:rsidR="00CA1AAF">
              <w:rPr>
                <w:rFonts w:ascii="宋体" w:eastAsia="宋体" w:hAnsi="宋体" w:cs="宋体"/>
                <w:sz w:val="18"/>
                <w:szCs w:val="18"/>
              </w:rPr>
              <w:t>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CA1AA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CA1AAF" w:rsidTr="006D7C9D">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CA1AAF" w:rsidTr="006D7C9D">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CA1AA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86,110</w:t>
            </w:r>
          </w:p>
        </w:tc>
      </w:tr>
      <w:tr w:rsidR="00CA1AAF" w:rsidTr="006D7C9D">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CA1AAF" w:rsidRDefault="00CA1AAF" w:rsidP="00A02A11">
            <w:pPr>
              <w:spacing w:line="240" w:lineRule="exact"/>
              <w:jc w:val="right"/>
              <w:rPr>
                <w:rFonts w:ascii="宋体" w:eastAsia="宋体" w:hAnsi="宋体" w:cs="宋体"/>
                <w:sz w:val="18"/>
                <w:szCs w:val="18"/>
              </w:rPr>
            </w:pPr>
            <w:r>
              <w:rPr>
                <w:rFonts w:ascii="宋体" w:eastAsia="宋体" w:hAnsi="宋体" w:cs="宋体"/>
                <w:sz w:val="18"/>
                <w:szCs w:val="18"/>
              </w:rPr>
              <w:t>1</w:t>
            </w:r>
            <w:r w:rsidR="00A02A11">
              <w:rPr>
                <w:rFonts w:ascii="宋体" w:eastAsia="宋体" w:hAnsi="宋体" w:cs="宋体" w:hint="eastAsia"/>
                <w:sz w:val="18"/>
                <w:szCs w:val="18"/>
              </w:rPr>
              <w:t>6</w:t>
            </w:r>
            <w:r>
              <w:rPr>
                <w:rFonts w:ascii="宋体" w:eastAsia="宋体" w:hAnsi="宋体" w:cs="宋体"/>
                <w:sz w:val="18"/>
                <w:szCs w:val="18"/>
              </w:rPr>
              <w:t>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86,110</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16.93%</w:t>
            </w:r>
          </w:p>
        </w:tc>
      </w:tr>
      <w:tr w:rsidR="00CA1AAF">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86,110</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jc w:val="right"/>
              <w:rPr>
                <w:rFonts w:ascii="宋体" w:eastAsia="宋体" w:hAnsi="宋体" w:cs="宋体"/>
                <w:sz w:val="18"/>
                <w:szCs w:val="18"/>
              </w:rPr>
            </w:pPr>
            <w:r>
              <w:rPr>
                <w:rFonts w:ascii="宋体" w:eastAsia="宋体" w:hAnsi="宋体" w:cs="宋体"/>
                <w:sz w:val="18"/>
                <w:szCs w:val="18"/>
              </w:rPr>
              <w:t>86,110</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无</w:t>
            </w:r>
          </w:p>
        </w:tc>
      </w:tr>
      <w:tr w:rsidR="00CA1AAF">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1AAF" w:rsidRDefault="00CA1AAF">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CA1AAF" w:rsidRDefault="00CA1AAF">
            <w:pPr>
              <w:spacing w:line="240" w:lineRule="exact"/>
              <w:rPr>
                <w:rFonts w:ascii="宋体" w:eastAsia="宋体" w:hAnsi="宋体" w:cs="宋体"/>
                <w:sz w:val="18"/>
                <w:szCs w:val="18"/>
              </w:rPr>
            </w:pPr>
            <w:r>
              <w:rPr>
                <w:rFonts w:ascii="宋体" w:eastAsia="宋体" w:hAnsi="宋体" w:cs="宋体"/>
                <w:sz w:val="18"/>
                <w:szCs w:val="18"/>
              </w:rPr>
              <w:t>无</w:t>
            </w:r>
          </w:p>
        </w:tc>
      </w:tr>
    </w:tbl>
    <w:p w:rsidR="006D7C9D" w:rsidRDefault="006D7C9D">
      <w:pPr>
        <w:spacing w:before="100" w:after="100" w:line="240" w:lineRule="exact"/>
        <w:rPr>
          <w:rFonts w:ascii="宋体" w:eastAsia="宋体" w:hAnsi="宋体" w:cs="宋体"/>
          <w:sz w:val="18"/>
          <w:szCs w:val="18"/>
        </w:rPr>
      </w:pPr>
      <w:r>
        <w:rPr>
          <w:rFonts w:ascii="宋体" w:eastAsia="宋体" w:hAnsi="宋体" w:cs="宋体" w:hint="eastAsia"/>
          <w:sz w:val="18"/>
          <w:szCs w:val="18"/>
        </w:rPr>
        <w:t>注：该项实际担保</w:t>
      </w:r>
      <w:r w:rsidR="002C73E5">
        <w:rPr>
          <w:rFonts w:ascii="宋体" w:eastAsia="宋体" w:hAnsi="宋体" w:cs="宋体" w:hint="eastAsia"/>
          <w:sz w:val="18"/>
          <w:szCs w:val="18"/>
        </w:rPr>
        <w:t>总</w:t>
      </w:r>
      <w:r>
        <w:rPr>
          <w:rFonts w:ascii="宋体" w:eastAsia="宋体" w:hAnsi="宋体" w:cs="宋体" w:hint="eastAsia"/>
          <w:sz w:val="18"/>
          <w:szCs w:val="18"/>
        </w:rPr>
        <w:t>额为45,000万元。</w:t>
      </w:r>
    </w:p>
    <w:p w:rsidR="006D7C9D" w:rsidRDefault="006D7C9D">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674F05" w:rsidRDefault="006D7C9D">
      <w:pPr>
        <w:divId w:val="1944141622"/>
        <w:rPr>
          <w:sz w:val="18"/>
          <w:szCs w:val="18"/>
        </w:rPr>
      </w:pPr>
      <w:r>
        <w:rPr>
          <w:sz w:val="18"/>
          <w:szCs w:val="18"/>
        </w:rPr>
        <w:t>无。</w:t>
      </w:r>
    </w:p>
    <w:p w:rsidR="00B72ACA" w:rsidRDefault="00674F05">
      <w:pPr>
        <w:pStyle w:val="3"/>
        <w:spacing w:line="280" w:lineRule="exact"/>
        <w:jc w:val="left"/>
        <w:rPr>
          <w:rFonts w:ascii="宋体" w:hAnsi="宋体" w:cs="宋体"/>
          <w:b/>
          <w:bCs/>
        </w:rPr>
      </w:pPr>
      <w:bookmarkStart w:id="74" w:name="_Toc988963"/>
      <w:r>
        <w:rPr>
          <w:rFonts w:ascii="宋体" w:hAnsi="宋体" w:cs="宋体"/>
          <w:b/>
          <w:bCs/>
        </w:rPr>
        <w:t>3、委托理财</w:t>
      </w:r>
      <w:bookmarkEnd w:id="74"/>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2,366.5</w:t>
            </w:r>
            <w:r w:rsidR="007923A0">
              <w:rPr>
                <w:rFonts w:ascii="宋体" w:eastAsia="宋体" w:hAnsi="宋体" w:cs="宋体" w:hint="eastAsia"/>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其他类</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8,434.16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8,434.16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72ACA">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10,800.66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8,434.16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75" w:name="_Toc988964"/>
      <w:r>
        <w:rPr>
          <w:rFonts w:ascii="宋体" w:hAnsi="宋体" w:cs="宋体"/>
          <w:b/>
          <w:bCs/>
        </w:rPr>
        <w:t>4、其他重大合同</w:t>
      </w:r>
      <w:bookmarkEnd w:id="75"/>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B72ACA" w:rsidRDefault="00674F05">
      <w:pPr>
        <w:pStyle w:val="2"/>
        <w:spacing w:before="300" w:after="300" w:line="320" w:lineRule="exact"/>
        <w:rPr>
          <w:rFonts w:ascii="宋体" w:eastAsia="宋体" w:hAnsi="宋体" w:cs="宋体"/>
          <w:b/>
          <w:bCs/>
          <w:sz w:val="24"/>
          <w:szCs w:val="24"/>
        </w:rPr>
      </w:pPr>
      <w:bookmarkStart w:id="76" w:name="_Toc988965"/>
      <w:r>
        <w:rPr>
          <w:rFonts w:ascii="宋体" w:eastAsia="宋体" w:hAnsi="宋体" w:cs="宋体"/>
          <w:b/>
          <w:bCs/>
          <w:sz w:val="24"/>
          <w:szCs w:val="24"/>
        </w:rPr>
        <w:t>十三、其他重大事项的说明</w:t>
      </w:r>
      <w:bookmarkEnd w:id="76"/>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674F05" w:rsidRDefault="00674F05">
      <w:pPr>
        <w:pStyle w:val="a3"/>
        <w:divId w:val="84352721"/>
        <w:rPr>
          <w:sz w:val="18"/>
          <w:szCs w:val="18"/>
        </w:rPr>
      </w:pPr>
      <w:r>
        <w:rPr>
          <w:rFonts w:hint="eastAsia"/>
          <w:sz w:val="18"/>
          <w:szCs w:val="18"/>
        </w:rPr>
        <w:t>2023年7月19日，公司实际控制人江阴市华士镇华西新市村村民委员会（以下简称“华西村委会")与江阴联华优化调整产业投资合伙企业（有限合伙）签署了《关于江苏华西集团有限公司的股权转让协议》，华西村委会拟将其持有的华西集团80%的股权转让给江阴联华优化调整产业投资合伙企业(有限合伙)。本次股权转让完成后，华西集团仍为公司控股股东，公司实际控制人将由华西村委会变更为江阴市人民政府国有资产监督管理办公室。截至目前，该股权转让事项尚在进展过程中。</w:t>
      </w:r>
    </w:p>
    <w:p w:rsidR="00B72ACA" w:rsidRDefault="00674F05">
      <w:pPr>
        <w:pStyle w:val="2"/>
        <w:spacing w:before="300" w:after="300" w:line="320" w:lineRule="exact"/>
        <w:rPr>
          <w:rFonts w:ascii="宋体" w:eastAsia="宋体" w:hAnsi="宋体" w:cs="宋体"/>
          <w:b/>
          <w:bCs/>
          <w:sz w:val="24"/>
          <w:szCs w:val="24"/>
        </w:rPr>
      </w:pPr>
      <w:bookmarkStart w:id="77" w:name="_Toc988966"/>
      <w:r>
        <w:rPr>
          <w:rFonts w:ascii="宋体" w:eastAsia="宋体" w:hAnsi="宋体" w:cs="宋体"/>
          <w:b/>
          <w:bCs/>
          <w:sz w:val="24"/>
          <w:szCs w:val="24"/>
        </w:rPr>
        <w:t>十四、公司子公司重大事项</w:t>
      </w:r>
      <w:bookmarkEnd w:id="77"/>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78" w:name="_Toc988967"/>
      <w:r>
        <w:rPr>
          <w:rFonts w:ascii="宋体" w:eastAsia="宋体" w:hAnsi="宋体" w:cs="宋体"/>
          <w:b/>
          <w:bCs/>
          <w:sz w:val="32"/>
          <w:szCs w:val="32"/>
        </w:rPr>
        <w:lastRenderedPageBreak/>
        <w:t>第七节 股份变动及股东情况</w:t>
      </w:r>
      <w:bookmarkEnd w:id="78"/>
    </w:p>
    <w:p w:rsidR="00B72ACA" w:rsidRDefault="00674F05">
      <w:pPr>
        <w:pStyle w:val="2"/>
        <w:spacing w:before="300" w:after="300" w:line="320" w:lineRule="exact"/>
        <w:rPr>
          <w:rFonts w:ascii="宋体" w:eastAsia="宋体" w:hAnsi="宋体" w:cs="宋体"/>
          <w:b/>
          <w:bCs/>
          <w:sz w:val="24"/>
          <w:szCs w:val="24"/>
        </w:rPr>
      </w:pPr>
      <w:bookmarkStart w:id="79" w:name="_Toc988968"/>
      <w:r>
        <w:rPr>
          <w:rFonts w:ascii="宋体" w:eastAsia="宋体" w:hAnsi="宋体" w:cs="宋体"/>
          <w:b/>
          <w:bCs/>
          <w:sz w:val="24"/>
          <w:szCs w:val="24"/>
        </w:rPr>
        <w:t>一、股份变动情况</w:t>
      </w:r>
      <w:bookmarkEnd w:id="79"/>
    </w:p>
    <w:p w:rsidR="00B72ACA" w:rsidRDefault="00674F05">
      <w:pPr>
        <w:pStyle w:val="3"/>
        <w:spacing w:line="280" w:lineRule="exact"/>
        <w:jc w:val="left"/>
        <w:rPr>
          <w:rFonts w:ascii="宋体" w:hAnsi="宋体" w:cs="宋体"/>
          <w:b/>
          <w:bCs/>
        </w:rPr>
      </w:pPr>
      <w:bookmarkStart w:id="80" w:name="_Toc988969"/>
      <w:r>
        <w:rPr>
          <w:rFonts w:ascii="宋体" w:hAnsi="宋体" w:cs="宋体"/>
          <w:b/>
          <w:bCs/>
        </w:rPr>
        <w:t>1、股份变动情况</w:t>
      </w:r>
      <w:bookmarkEnd w:id="8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B72ACA">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B72ACA">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674F05" w:rsidRDefault="00674F05">
      <w:pPr>
        <w:pStyle w:val="a3"/>
        <w:spacing w:before="0" w:beforeAutospacing="0" w:after="0" w:afterAutospacing="0"/>
        <w:divId w:val="1477801917"/>
        <w:rPr>
          <w:rFonts w:ascii="Times New Roman" w:hAnsi="Times New Roman" w:cs="Times New Roman"/>
          <w:sz w:val="18"/>
          <w:szCs w:val="18"/>
        </w:rPr>
      </w:pPr>
      <w:r>
        <w:rPr>
          <w:rFonts w:cs="Times New Roman" w:hint="eastAsia"/>
          <w:sz w:val="18"/>
          <w:szCs w:val="18"/>
        </w:rPr>
        <w:t>离职董事导致的股份变动。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采用集中竞价方式减持回购股份的实施进展情况</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81" w:name="_Toc988970"/>
      <w:r>
        <w:rPr>
          <w:rFonts w:ascii="宋体" w:hAnsi="宋体" w:cs="宋体"/>
          <w:b/>
          <w:bCs/>
        </w:rPr>
        <w:t>2、限售股份变动情况</w:t>
      </w:r>
      <w:bookmarkEnd w:id="81"/>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李满良</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不适用</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王宏宇</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75,000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56,250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离职董事任期内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2024-01-16</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吴文通</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离职董事任期内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2024-01-16</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72ACA" w:rsidRDefault="00674F05">
      <w:pPr>
        <w:pStyle w:val="2"/>
        <w:spacing w:before="300" w:after="300" w:line="320" w:lineRule="exact"/>
        <w:rPr>
          <w:rFonts w:ascii="宋体" w:eastAsia="宋体" w:hAnsi="宋体" w:cs="宋体"/>
          <w:b/>
          <w:bCs/>
          <w:sz w:val="24"/>
          <w:szCs w:val="24"/>
        </w:rPr>
      </w:pPr>
      <w:bookmarkStart w:id="82" w:name="_Toc988971"/>
      <w:r>
        <w:rPr>
          <w:rFonts w:ascii="宋体" w:eastAsia="宋体" w:hAnsi="宋体" w:cs="宋体"/>
          <w:b/>
          <w:bCs/>
          <w:sz w:val="24"/>
          <w:szCs w:val="24"/>
        </w:rPr>
        <w:t>二、证券发行与上市情况</w:t>
      </w:r>
      <w:bookmarkEnd w:id="82"/>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83" w:name="_Toc988972"/>
      <w:r>
        <w:rPr>
          <w:rFonts w:ascii="宋体" w:eastAsia="宋体" w:hAnsi="宋体" w:cs="宋体"/>
          <w:b/>
          <w:bCs/>
          <w:sz w:val="24"/>
          <w:szCs w:val="24"/>
        </w:rPr>
        <w:t>三、公司股东数量及持股情况</w:t>
      </w:r>
      <w:bookmarkEnd w:id="83"/>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61"/>
        <w:gridCol w:w="1010"/>
        <w:gridCol w:w="691"/>
        <w:gridCol w:w="380"/>
        <w:gridCol w:w="1071"/>
      </w:tblGrid>
      <w:tr w:rsidR="00B72ACA">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100,949</w:t>
            </w:r>
          </w:p>
        </w:tc>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rsidP="00DA3112">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72ACA">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持股5%以上的普通股股东或前10名普通股股东持股情况</w:t>
            </w:r>
          </w:p>
        </w:tc>
      </w:tr>
      <w:tr w:rsidR="00B72ACA">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报告期末持有的普通股数量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持有有限售条件的普通股数</w:t>
            </w:r>
            <w:r>
              <w:rPr>
                <w:rFonts w:ascii="宋体" w:eastAsia="宋体" w:hAnsi="宋体" w:cs="宋体"/>
                <w:sz w:val="18"/>
                <w:szCs w:val="18"/>
              </w:rPr>
              <w:lastRenderedPageBreak/>
              <w:t>量</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持有无限售条件的普通股数</w:t>
            </w:r>
            <w:r>
              <w:rPr>
                <w:rFonts w:ascii="宋体" w:eastAsia="宋体" w:hAnsi="宋体" w:cs="宋体"/>
                <w:sz w:val="18"/>
                <w:szCs w:val="18"/>
              </w:rPr>
              <w:lastRenderedPageBreak/>
              <w:t>量</w:t>
            </w:r>
          </w:p>
        </w:tc>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质押、标记或冻结情况</w:t>
            </w:r>
          </w:p>
        </w:tc>
      </w:tr>
      <w:tr w:rsidR="00B72ACA">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-17500000.00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10,696,226.00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10322548.00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10,696,226.00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JPMORGAN CHASE BANK,NATIONAL</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ASSOCIATION</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0.61%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5,408,126.00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5284625.00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5,408,126.00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江苏银行股份有限公司－诺安积极回报灵活配置混合型证券投资基金</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0.52%</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4,630,993.00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4630993.00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4,630,993.00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华泰证券股份有限公司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3,914,779.00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3383625.00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3,914,779.00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国泰君安证券股份有限公司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3,784,222.00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3203062.00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3,784,222.00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张声茂</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0.40%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3,581,719.00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3581719.00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3,581,719.00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李敏</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2,920,188.00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88.00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2,920,188.00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沈加权</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2,509,000.00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24245.00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2,509,000.00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rsidP="00DA3112">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战略投资者或一般法人因配售新股成为前10名普通股股东的情况（如有）</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不适用</w:t>
            </w:r>
          </w:p>
        </w:tc>
      </w:tr>
      <w:tr w:rsidR="00B72ACA">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B72ACA" w:rsidRDefault="00674F05" w:rsidP="009C1D1B">
            <w:pPr>
              <w:spacing w:line="240" w:lineRule="exact"/>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w:t>
            </w:r>
            <w:r w:rsidR="009C1D1B">
              <w:rPr>
                <w:rFonts w:ascii="宋体" w:eastAsia="宋体" w:hAnsi="宋体" w:cs="宋体"/>
                <w:sz w:val="18"/>
                <w:szCs w:val="18"/>
              </w:rPr>
              <w:t>其</w:t>
            </w:r>
            <w:r>
              <w:rPr>
                <w:rFonts w:ascii="宋体" w:eastAsia="宋体" w:hAnsi="宋体" w:cs="宋体"/>
                <w:sz w:val="18"/>
                <w:szCs w:val="18"/>
              </w:rPr>
              <w:t>一致行动</w:t>
            </w:r>
            <w:r w:rsidR="009C1D1B">
              <w:rPr>
                <w:rFonts w:ascii="宋体" w:eastAsia="宋体" w:hAnsi="宋体" w:cs="宋体"/>
                <w:sz w:val="18"/>
                <w:szCs w:val="18"/>
              </w:rPr>
              <w:t>情况</w:t>
            </w:r>
            <w:r>
              <w:rPr>
                <w:rFonts w:ascii="宋体" w:eastAsia="宋体" w:hAnsi="宋体" w:cs="宋体"/>
                <w:sz w:val="18"/>
                <w:szCs w:val="18"/>
              </w:rPr>
              <w:t>。</w:t>
            </w:r>
          </w:p>
        </w:tc>
      </w:tr>
      <w:tr w:rsidR="00B72ACA">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不适用</w:t>
            </w:r>
          </w:p>
        </w:tc>
      </w:tr>
      <w:tr w:rsidR="00B72ACA">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rsidP="00DA3112">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前10名股东中存在回购专户的特别说明（如有）</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不适用</w:t>
            </w:r>
          </w:p>
        </w:tc>
      </w:tr>
      <w:tr w:rsidR="00B72ACA">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前10名无限售条件普通股股东持股情况</w:t>
            </w:r>
          </w:p>
        </w:tc>
      </w:tr>
      <w:tr w:rsidR="00B72ACA" w:rsidTr="002C73E5">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345"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报告期末持有无限售条件普通股股份数量</w:t>
            </w:r>
          </w:p>
        </w:tc>
        <w:tc>
          <w:tcPr>
            <w:tcW w:w="315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B72ACA" w:rsidTr="002C73E5">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4345"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4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82,129,483</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香港中央结算有限公司</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10,696,226.00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10,696,226</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JPMORGAN CHASE BANK,NATIONAL</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ASSOCIATION</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5,408,126.00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5,408,126</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江苏银行股份有限公司－诺安积极回报灵活配置混合型证券投资基金</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4,630,993.00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4,630,993</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华泰证券股份有限公司</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3,914,779.00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3,914,779</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国泰君安证券股份有限公司</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3,784,222.00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3,784,222</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张声茂</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3,581,719.00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3,581,719</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李敏</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2,920,188.00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2,920,188</w:t>
            </w:r>
          </w:p>
        </w:tc>
      </w:tr>
      <w:tr w:rsidR="00B72ACA" w:rsidTr="002C73E5">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沈加权</w:t>
            </w:r>
          </w:p>
        </w:tc>
        <w:tc>
          <w:tcPr>
            <w:tcW w:w="4345" w:type="dxa"/>
            <w:gridSpan w:val="5"/>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2,509,000.00</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2,509,000</w:t>
            </w:r>
          </w:p>
        </w:tc>
      </w:tr>
      <w:tr w:rsidR="009C1D1B">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9C1D1B" w:rsidRDefault="009C1D1B">
            <w:pPr>
              <w:spacing w:before="40" w:after="40" w:line="240" w:lineRule="exact"/>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普通股股东之间，以及前10名无限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普通股股东和前10名普通股股东之间关联关系或一致行动的说明</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9C1D1B" w:rsidRDefault="009C1D1B" w:rsidP="00DE0731">
            <w:pPr>
              <w:spacing w:line="240" w:lineRule="exact"/>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公司控股股东江苏华西集团有限公司与前十名股东之间不存在关联关系，也不属于一致行动人。未知其他股东之间是否存在关联关系，也未知其一致行动情况。</w:t>
            </w:r>
          </w:p>
        </w:tc>
      </w:tr>
      <w:tr w:rsidR="009C1D1B">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9C1D1B" w:rsidRDefault="009C1D1B" w:rsidP="00DA3112">
            <w:pPr>
              <w:spacing w:before="40" w:after="40" w:line="240" w:lineRule="exact"/>
              <w:rPr>
                <w:rFonts w:ascii="宋体" w:eastAsia="宋体" w:hAnsi="宋体" w:cs="宋体"/>
                <w:sz w:val="18"/>
                <w:szCs w:val="18"/>
              </w:rPr>
            </w:pPr>
            <w:r>
              <w:rPr>
                <w:rFonts w:ascii="宋体" w:eastAsia="宋体" w:hAnsi="宋体" w:cs="宋体"/>
                <w:sz w:val="18"/>
                <w:szCs w:val="18"/>
              </w:rPr>
              <w:t>前10名普通股股东参与融资融券业务情况说明（如有）</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9C1D1B" w:rsidRDefault="009C1D1B">
            <w:pPr>
              <w:spacing w:line="240" w:lineRule="exact"/>
              <w:rPr>
                <w:rFonts w:ascii="宋体" w:eastAsia="宋体" w:hAnsi="宋体" w:cs="宋体"/>
                <w:sz w:val="18"/>
                <w:szCs w:val="18"/>
              </w:rPr>
            </w:pPr>
            <w:r>
              <w:rPr>
                <w:rFonts w:ascii="宋体" w:eastAsia="宋体" w:hAnsi="宋体" w:cs="宋体"/>
                <w:sz w:val="18"/>
                <w:szCs w:val="18"/>
              </w:rPr>
              <w:t>股东“张声茂”通过信用交易担保证券账户持有公司股票3,581,719股。</w:t>
            </w:r>
          </w:p>
          <w:p w:rsidR="009C1D1B" w:rsidRDefault="009C1D1B" w:rsidP="00DA3112">
            <w:pPr>
              <w:spacing w:line="240" w:lineRule="exact"/>
              <w:jc w:val="both"/>
              <w:rPr>
                <w:rFonts w:ascii="宋体" w:eastAsia="宋体" w:hAnsi="宋体" w:cs="宋体"/>
                <w:sz w:val="18"/>
                <w:szCs w:val="18"/>
              </w:rPr>
            </w:pPr>
            <w:r>
              <w:rPr>
                <w:rFonts w:ascii="宋体" w:eastAsia="宋体" w:hAnsi="宋体" w:cs="宋体"/>
                <w:sz w:val="18"/>
                <w:szCs w:val="18"/>
              </w:rPr>
              <w:t>股东“李敏”通过普通账户持有公司股票65,100股，通过信用交易担保证券账户持有公司股票2,855,088股。</w:t>
            </w:r>
          </w:p>
          <w:p w:rsidR="009C1D1B" w:rsidRDefault="009C1D1B" w:rsidP="00DA3112">
            <w:pPr>
              <w:spacing w:line="240" w:lineRule="exact"/>
              <w:jc w:val="both"/>
              <w:rPr>
                <w:rFonts w:ascii="宋体" w:eastAsia="宋体" w:hAnsi="宋体" w:cs="宋体"/>
                <w:sz w:val="18"/>
                <w:szCs w:val="18"/>
              </w:rPr>
            </w:pPr>
            <w:r>
              <w:rPr>
                <w:rFonts w:ascii="宋体" w:eastAsia="宋体" w:hAnsi="宋体" w:cs="宋体"/>
                <w:sz w:val="18"/>
                <w:szCs w:val="18"/>
              </w:rPr>
              <w:t>股东“沈加权”通过普通账户持有公司股票4,000股，通过信用交易担保证券账户持有公司股票2,505,000股。</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普通股股东在报告期内是否进行约定购回交易</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B72ACA" w:rsidRDefault="00674F05">
      <w:pPr>
        <w:pStyle w:val="2"/>
        <w:spacing w:before="300" w:after="300" w:line="320" w:lineRule="exact"/>
        <w:rPr>
          <w:rFonts w:ascii="宋体" w:eastAsia="宋体" w:hAnsi="宋体" w:cs="宋体"/>
          <w:b/>
          <w:bCs/>
          <w:sz w:val="24"/>
          <w:szCs w:val="24"/>
        </w:rPr>
      </w:pPr>
      <w:bookmarkStart w:id="84" w:name="_Toc988973"/>
      <w:r>
        <w:rPr>
          <w:rFonts w:ascii="宋体" w:eastAsia="宋体" w:hAnsi="宋体" w:cs="宋体"/>
          <w:b/>
          <w:bCs/>
          <w:sz w:val="24"/>
          <w:szCs w:val="24"/>
        </w:rPr>
        <w:t>四、董事、监事和高级管理人员持股变动</w:t>
      </w:r>
      <w:bookmarkEnd w:id="84"/>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公司董事、监事和高级管理人员在报告期持股情况没有发生变动，具体可参见2022年年报。</w:t>
      </w:r>
    </w:p>
    <w:p w:rsidR="00B72ACA" w:rsidRDefault="00674F05">
      <w:pPr>
        <w:pStyle w:val="2"/>
        <w:spacing w:before="300" w:after="300" w:line="320" w:lineRule="exact"/>
        <w:rPr>
          <w:rFonts w:ascii="宋体" w:eastAsia="宋体" w:hAnsi="宋体" w:cs="宋体"/>
          <w:b/>
          <w:bCs/>
          <w:sz w:val="24"/>
          <w:szCs w:val="24"/>
        </w:rPr>
      </w:pPr>
      <w:bookmarkStart w:id="85" w:name="_Toc988974"/>
      <w:r>
        <w:rPr>
          <w:rFonts w:ascii="宋体" w:eastAsia="宋体" w:hAnsi="宋体" w:cs="宋体"/>
          <w:b/>
          <w:bCs/>
          <w:sz w:val="24"/>
          <w:szCs w:val="24"/>
        </w:rPr>
        <w:t>五、控股股东或实际控制人变更情况</w:t>
      </w:r>
      <w:bookmarkEnd w:id="85"/>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86" w:name="_Toc988975"/>
      <w:r>
        <w:rPr>
          <w:rFonts w:ascii="宋体" w:eastAsia="宋体" w:hAnsi="宋体" w:cs="宋体"/>
          <w:b/>
          <w:bCs/>
          <w:sz w:val="32"/>
          <w:szCs w:val="32"/>
        </w:rPr>
        <w:lastRenderedPageBreak/>
        <w:t>第八节 优先股相关情况</w:t>
      </w:r>
      <w:bookmarkEnd w:id="86"/>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报告期公司不存在优先股。</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87" w:name="_Toc988976"/>
      <w:r>
        <w:rPr>
          <w:rFonts w:ascii="宋体" w:eastAsia="宋体" w:hAnsi="宋体" w:cs="宋体"/>
          <w:b/>
          <w:bCs/>
          <w:sz w:val="32"/>
          <w:szCs w:val="32"/>
        </w:rPr>
        <w:lastRenderedPageBreak/>
        <w:t>第九节 债券相关情况</w:t>
      </w:r>
      <w:bookmarkEnd w:id="87"/>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r>
        <w:br w:type="page"/>
      </w:r>
    </w:p>
    <w:p w:rsidR="00B72ACA" w:rsidRDefault="00674F05">
      <w:pPr>
        <w:pStyle w:val="headingh1"/>
        <w:spacing w:before="340" w:after="330" w:line="773" w:lineRule="exact"/>
        <w:jc w:val="center"/>
        <w:rPr>
          <w:rFonts w:ascii="宋体" w:eastAsia="宋体" w:hAnsi="宋体" w:cs="宋体"/>
          <w:b/>
          <w:bCs/>
          <w:sz w:val="32"/>
          <w:szCs w:val="32"/>
        </w:rPr>
      </w:pPr>
      <w:bookmarkStart w:id="88" w:name="_Toc988977"/>
      <w:r>
        <w:rPr>
          <w:rFonts w:ascii="宋体" w:eastAsia="宋体" w:hAnsi="宋体" w:cs="宋体"/>
          <w:b/>
          <w:bCs/>
          <w:sz w:val="32"/>
          <w:szCs w:val="32"/>
        </w:rPr>
        <w:lastRenderedPageBreak/>
        <w:t>第十节 财务报告</w:t>
      </w:r>
      <w:bookmarkEnd w:id="88"/>
    </w:p>
    <w:p w:rsidR="00B72ACA" w:rsidRDefault="00674F05">
      <w:pPr>
        <w:pStyle w:val="2"/>
        <w:spacing w:before="300" w:after="300" w:line="320" w:lineRule="exact"/>
        <w:rPr>
          <w:rFonts w:ascii="宋体" w:eastAsia="宋体" w:hAnsi="宋体" w:cs="宋体"/>
          <w:b/>
          <w:bCs/>
          <w:sz w:val="24"/>
          <w:szCs w:val="24"/>
        </w:rPr>
      </w:pPr>
      <w:bookmarkStart w:id="89" w:name="_Toc988978"/>
      <w:r>
        <w:rPr>
          <w:rFonts w:ascii="宋体" w:eastAsia="宋体" w:hAnsi="宋体" w:cs="宋体"/>
          <w:b/>
          <w:bCs/>
          <w:sz w:val="24"/>
          <w:szCs w:val="24"/>
        </w:rPr>
        <w:t>一、审计报告</w:t>
      </w:r>
      <w:bookmarkEnd w:id="89"/>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B72ACA" w:rsidRDefault="00674F05">
      <w:pPr>
        <w:pStyle w:val="2"/>
        <w:spacing w:before="300" w:after="300" w:line="320" w:lineRule="exact"/>
        <w:rPr>
          <w:rFonts w:ascii="宋体" w:eastAsia="宋体" w:hAnsi="宋体" w:cs="宋体"/>
          <w:b/>
          <w:bCs/>
          <w:sz w:val="24"/>
          <w:szCs w:val="24"/>
        </w:rPr>
      </w:pPr>
      <w:bookmarkStart w:id="90" w:name="_Toc988979"/>
      <w:r>
        <w:rPr>
          <w:rFonts w:ascii="宋体" w:eastAsia="宋体" w:hAnsi="宋体" w:cs="宋体"/>
          <w:b/>
          <w:bCs/>
          <w:sz w:val="24"/>
          <w:szCs w:val="24"/>
        </w:rPr>
        <w:t>二、财务报表</w:t>
      </w:r>
      <w:bookmarkEnd w:id="90"/>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B72ACA" w:rsidRDefault="00674F05">
      <w:pPr>
        <w:pStyle w:val="3"/>
        <w:spacing w:line="280" w:lineRule="exact"/>
        <w:jc w:val="left"/>
        <w:rPr>
          <w:rFonts w:ascii="宋体" w:hAnsi="宋体" w:cs="宋体"/>
          <w:b/>
          <w:bCs/>
        </w:rPr>
      </w:pPr>
      <w:bookmarkStart w:id="91" w:name="_Toc988980"/>
      <w:r>
        <w:rPr>
          <w:rFonts w:ascii="宋体" w:hAnsi="宋体" w:cs="宋体"/>
          <w:b/>
          <w:bCs/>
        </w:rPr>
        <w:t>1、合并资产负债表</w:t>
      </w:r>
      <w:bookmarkEnd w:id="91"/>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2023年06月30日</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815,861,025.64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650,764,185.67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79,377,015.60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136,579,021.81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43,128,293.03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37,970,428.60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33,710,737.35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153,520,232.23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152,270,183.80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3,955,411.91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6,763,090.09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1,832,444,745.93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1,585,675,704.56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3,577,456,166.52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3,604,952,680.26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468,731,318.41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14,287,520.67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20,486,832.44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24,205,829.26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23,706,890.01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4,942,377.30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2,884,184.60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4,767,519,754.91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4,802,259,124.05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6,599,964,500.84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6,387,934,828.61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1,241,216,960.91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1,068,847,034.62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71,505,618.20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80,278,576.73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2,693,118.27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7,642,658.11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63,939,458.94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21,531,794.68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34,857,559.22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18,724,722.59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20,495,012.58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18,804,067.81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691,494.78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37,635,429.75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34,280,837.68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1,480,137,536.71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1,297,851,999.28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34,370,095.12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34,370,095.12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1,514,507,631.83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1,339,908,435.68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390,007,370.37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391,063,918.14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-8,971,411.64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-20,801,622.91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3,393,070,316.85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3,366,413,504.27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5,085,456,869.01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5,085,456,869.01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6,599,964,500.84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6,387,934,828.61</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585905">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585905">
        <w:rPr>
          <w:rFonts w:ascii="宋体" w:eastAsia="宋体" w:hAnsi="宋体" w:cs="宋体" w:hint="eastAsia"/>
          <w:sz w:val="18"/>
          <w:szCs w:val="18"/>
        </w:rPr>
        <w:t xml:space="preserve"> </w:t>
      </w:r>
      <w:r>
        <w:rPr>
          <w:rFonts w:ascii="宋体" w:eastAsia="宋体" w:hAnsi="宋体" w:cs="宋体"/>
          <w:sz w:val="18"/>
          <w:szCs w:val="18"/>
        </w:rPr>
        <w:t xml:space="preserve">  </w:t>
      </w:r>
      <w:r w:rsidR="00585905">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B72ACA" w:rsidRDefault="00674F05">
      <w:pPr>
        <w:pStyle w:val="3"/>
        <w:spacing w:line="320" w:lineRule="exact"/>
        <w:jc w:val="left"/>
        <w:rPr>
          <w:rFonts w:ascii="宋体" w:hAnsi="宋体" w:cs="宋体"/>
          <w:b/>
          <w:bCs/>
          <w:sz w:val="24"/>
          <w:szCs w:val="24"/>
        </w:rPr>
      </w:pPr>
      <w:bookmarkStart w:id="92" w:name="_Toc988981"/>
      <w:r>
        <w:rPr>
          <w:rFonts w:ascii="宋体" w:hAnsi="宋体" w:cs="宋体"/>
          <w:b/>
          <w:bCs/>
          <w:sz w:val="24"/>
          <w:szCs w:val="24"/>
        </w:rPr>
        <w:t>2、母公司资产负债表</w:t>
      </w:r>
      <w:bookmarkEnd w:id="9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726,363,774.73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446,231,166.83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403,089,403.41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400,538,138.95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76,907,015.60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51,339,125.46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123,685,646.86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152,972,055.56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151,107,822.74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24,801,768.28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39,519,020.14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33,414,899.13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2,332,702.75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152,536,699.62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151,355,859.31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3,869,805.33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5,411,613.32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1,697,641,068.52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1,356,468,859.42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4,712,024,022.29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4,724,163,813.03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88,848,846.14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88,848,846.14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374,247,402.05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387,465,431.76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13,428,141.79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4,983,933.11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126,000.00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370,727.00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5,188,674,412.27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5,205,832,751.04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6,886,315,480.79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6,562,301,610.46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969,245,275.00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846,659,159.72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341,266,297.22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298,153,653.92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61,263,370.83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47,420,839.68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14,581,376.50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24,106,829.89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10,679,619.58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11,822,919.83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611,688,167.55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462,219,834.59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36,006,726.62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29,916,469.52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2,048,817,198.86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1,720,299,707.15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5,101,329.69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12,775,734.84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5,101,329.69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12,775,734.84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2,053,918,528.55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1,733,075,441.99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528,607,655.43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529,664,203.20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-5,275,059.65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-17,566,066.91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456,011,827.28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2,967,039,642.18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2,975,103,317.90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4,832,396,952.24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6,886,315,480.79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6,562,301,610.46</w:t>
            </w:r>
          </w:p>
        </w:tc>
      </w:tr>
    </w:tbl>
    <w:p w:rsidR="00B72ACA" w:rsidRDefault="00674F05">
      <w:pPr>
        <w:pStyle w:val="3"/>
        <w:spacing w:line="280" w:lineRule="exact"/>
        <w:jc w:val="left"/>
        <w:rPr>
          <w:rFonts w:ascii="宋体" w:hAnsi="宋体" w:cs="宋体"/>
          <w:b/>
          <w:bCs/>
        </w:rPr>
      </w:pPr>
      <w:bookmarkStart w:id="93" w:name="_Toc988982"/>
      <w:r>
        <w:rPr>
          <w:rFonts w:ascii="宋体" w:hAnsi="宋体" w:cs="宋体"/>
          <w:b/>
          <w:bCs/>
        </w:rPr>
        <w:t>3、合并利润表</w:t>
      </w:r>
      <w:bookmarkEnd w:id="9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1,477,391,014.14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1,477,391,014.14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1,290,865,781.51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1,418,433,965.11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1,247,952,427.96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1,368,836,046.51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4,098,152.19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4,187,514.30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1,897,076.49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1,664,466.44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24,004,176.28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27,431,689.66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4,892,838.35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4,752,549.66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8,021,110.24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11,561,698.54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18,706,193.02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23,741,751.29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3,937,658.03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2,232,665.77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1,639,178.75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1,295,131.16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10,648,315.76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80,904,546.22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-4,810,851.14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36,101,101.16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6,748,211.48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-7,728,357.75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-883,681.54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-3,529,971.10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-57,593.64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60,633,897.08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129,840,803.92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1,447,161.87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226,700.00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357,802.09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626,133.88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61,723,256.86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129,441,370.04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17,346,186.54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18,443,589.12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110,997,780.92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110,997,780.92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w:t>
            </w:r>
            <w:r>
              <w:rPr>
                <w:rFonts w:ascii="宋体" w:eastAsia="宋体" w:hAnsi="宋体" w:cs="宋体"/>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98,728,051.07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12,269,729.85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8,260,411.24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8,260,411.24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8,260,411.24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8,260,411.24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56,207,281.59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119,258,192.16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56,207,281.59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106,988,462.31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12,269,729.85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0.11</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585905">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585905">
        <w:rPr>
          <w:rFonts w:ascii="宋体" w:eastAsia="宋体" w:hAnsi="宋体" w:cs="宋体" w:hint="eastAsia"/>
          <w:sz w:val="18"/>
          <w:szCs w:val="18"/>
        </w:rPr>
        <w:t xml:space="preserve">           </w:t>
      </w:r>
      <w:r>
        <w:rPr>
          <w:rFonts w:ascii="宋体" w:eastAsia="宋体" w:hAnsi="宋体" w:cs="宋体"/>
          <w:sz w:val="18"/>
          <w:szCs w:val="18"/>
        </w:rPr>
        <w:t xml:space="preserve">   会计机构负责人：徐建蓉</w:t>
      </w:r>
    </w:p>
    <w:p w:rsidR="00B72ACA" w:rsidRDefault="00674F05">
      <w:pPr>
        <w:pStyle w:val="3"/>
        <w:spacing w:line="280" w:lineRule="exact"/>
        <w:jc w:val="left"/>
        <w:rPr>
          <w:rFonts w:ascii="宋体" w:hAnsi="宋体" w:cs="宋体"/>
          <w:b/>
          <w:bCs/>
        </w:rPr>
      </w:pPr>
      <w:bookmarkStart w:id="94" w:name="_Toc988983"/>
      <w:r>
        <w:rPr>
          <w:rFonts w:ascii="宋体" w:hAnsi="宋体" w:cs="宋体"/>
          <w:b/>
          <w:bCs/>
        </w:rPr>
        <w:t>4、母公司利润表</w:t>
      </w:r>
      <w:bookmarkEnd w:id="9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1,369,755,128.71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1,226,638,713.95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1,346,107,435.43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3,273,062.13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3,099,506.84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1,897,076.49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1,662,677.45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16,503,457.54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19,576,880.12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1,110,000.00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1,110,000.00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207,559.08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6,511,724.96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10,272,793.33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17,671,617.98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3,412,029.53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1,160,969.94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414,753.71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418,517.37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22,664,409.21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52,284,973.85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9,365,075.87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20,855,480.64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6,554,876.74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-7,573,282.60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-762,837.47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-3,262,053.29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-363,504.46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9,978,823.14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33,555,059.24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1,412,721.87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2,607.38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516,000.00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11,388,937.63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33,039,059.24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1,732,355.61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-142,253.95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9,656,582.02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33,181,313.19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9,656,582.02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33,181,313.19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1,394,308.52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1,394,308.52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1,394,308.52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21,947,589.28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34,575,621.71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0.04</w:t>
            </w:r>
          </w:p>
        </w:tc>
      </w:tr>
    </w:tbl>
    <w:p w:rsidR="00B72ACA" w:rsidRDefault="00674F05">
      <w:pPr>
        <w:pStyle w:val="3"/>
        <w:spacing w:line="280" w:lineRule="exact"/>
        <w:jc w:val="left"/>
        <w:rPr>
          <w:rFonts w:ascii="宋体" w:hAnsi="宋体" w:cs="宋体"/>
          <w:b/>
          <w:bCs/>
        </w:rPr>
      </w:pPr>
      <w:bookmarkStart w:id="95" w:name="_Toc988984"/>
      <w:r>
        <w:rPr>
          <w:rFonts w:ascii="宋体" w:hAnsi="宋体" w:cs="宋体"/>
          <w:b/>
          <w:bCs/>
        </w:rPr>
        <w:t>5、合并现金流量表</w:t>
      </w:r>
      <w:bookmarkEnd w:id="9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2023年半年度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1,438,950,871.13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1,610,985,748.55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23,875,082.51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24,812,078.39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84,537,468.21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36,678,525.34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1,547,363,421.85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1,672,476,352.28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1,358,849,213.62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1,409,464,885.54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67,345,226.75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65,593,765.95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44,292,823.31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243,139,846.92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93,297,638.24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46,728,720.70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1,563,784,901.92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1,764,927,219.11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-92,450,866.83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100,204,960.91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597,313,621.08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10,856,035.54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15,754,661.32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18,052.00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111,079,048.45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638,088,282.40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w:t>
            </w:r>
            <w:r>
              <w:rPr>
                <w:rFonts w:ascii="宋体" w:eastAsia="宋体" w:hAnsi="宋体" w:cs="宋体"/>
                <w:sz w:val="18"/>
                <w:szCs w:val="18"/>
              </w:rPr>
              <w:lastRenderedPageBreak/>
              <w:t>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12,583,645.56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23,947,535.24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85,683,431.04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243,540,446.26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98,267,076.60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267,487,981.50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12,811,971.85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370,600,300.90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964,720,000.00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979,000,000.00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964,720,000.00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979,000,000.00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792,000,000.00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988,075,139.41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19,056,266.73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24,178,651.04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121,118,352.00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129,500,000.00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932,174,618.73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1,141,753,790.45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32,545,381.27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-162,753,790.45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5,080,055.02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6,956,008.04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34,015,928.07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122,351,651.66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456,570,478.55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648,130,822.13</w:t>
            </w:r>
          </w:p>
        </w:tc>
      </w:tr>
    </w:tbl>
    <w:p w:rsidR="00B72ACA" w:rsidRDefault="00674F05">
      <w:pPr>
        <w:pStyle w:val="3"/>
        <w:spacing w:line="280" w:lineRule="exact"/>
        <w:jc w:val="left"/>
        <w:rPr>
          <w:rFonts w:ascii="宋体" w:hAnsi="宋体" w:cs="宋体"/>
          <w:b/>
          <w:bCs/>
        </w:rPr>
      </w:pPr>
      <w:bookmarkStart w:id="96" w:name="_Toc988985"/>
      <w:r>
        <w:rPr>
          <w:rFonts w:ascii="宋体" w:hAnsi="宋体" w:cs="宋体"/>
          <w:b/>
          <w:bCs/>
        </w:rPr>
        <w:t>6、母公司现金流量表</w:t>
      </w:r>
      <w:bookmarkEnd w:id="96"/>
    </w:p>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2023年半年度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1,338,483,663.79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1,502,553,570.07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23,875,082.51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24,812,078.39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2,029,714,166.69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2,503,482,028.16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3,392,072,912.99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4,030,847,676.62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1,281,428,101.47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1,290,172,849.43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45,766,149.97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44,861,561.09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21,172,513.42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216,969,444.75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1,904,339,179.39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2,383,539,387.90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3,252,705,944.25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3,935,543,243.17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139,366,968.74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95,304,433.45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99,188,415.40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451,827,399.49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7,899,888.23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14,717,861.32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107,088,303.63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491,545,260.81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8,737,641.97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16,013,605.57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84,717,364.00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210,849,342.29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93,455,005.97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226,862,947.86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13,633,297.66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264,682,312.95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800,720,000.00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674,000,000.00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800,720,000.00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674,000,000.00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678,000,000.00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890,575,139.41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10,622,867.04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18,108,517.73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121,118,352.00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809,741,219.04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908,683,657.14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-9,021,219.04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-234,683,657.14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5,072,648.64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6,944,414.05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149,051,696.00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132,247,503.31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218,021,531.64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347,586,374.74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367,073,227.64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479,833,878.05</w:t>
            </w:r>
          </w:p>
        </w:tc>
      </w:tr>
    </w:tbl>
    <w:p w:rsidR="00B72ACA" w:rsidRDefault="00674F05">
      <w:pPr>
        <w:pStyle w:val="3"/>
        <w:spacing w:line="280" w:lineRule="exact"/>
        <w:jc w:val="left"/>
        <w:rPr>
          <w:rFonts w:ascii="宋体" w:hAnsi="宋体" w:cs="宋体"/>
          <w:b/>
          <w:bCs/>
        </w:rPr>
      </w:pPr>
      <w:bookmarkStart w:id="97" w:name="_Toc988986"/>
      <w:r>
        <w:rPr>
          <w:rFonts w:ascii="宋体" w:hAnsi="宋体" w:cs="宋体"/>
          <w:b/>
          <w:bCs/>
        </w:rPr>
        <w:t>7、合并所有者权益变动表</w:t>
      </w:r>
      <w:bookmarkEnd w:id="97"/>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B72ACA">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391,063,918.14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3,366,413,504.27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w:t>
            </w:r>
            <w:r>
              <w:rPr>
                <w:rFonts w:ascii="宋体" w:eastAsia="宋体" w:hAnsi="宋体" w:cs="宋体"/>
                <w:sz w:val="18"/>
                <w:szCs w:val="18"/>
              </w:rPr>
              <w:lastRenderedPageBreak/>
              <w:t>87.00</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391,063,9</w:t>
            </w:r>
            <w:r>
              <w:rPr>
                <w:rFonts w:ascii="宋体" w:eastAsia="宋体" w:hAnsi="宋体" w:cs="宋体"/>
                <w:sz w:val="18"/>
                <w:szCs w:val="18"/>
              </w:rPr>
              <w:lastRenderedPageBreak/>
              <w:t>18.14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w:t>
            </w:r>
            <w:r>
              <w:rPr>
                <w:rFonts w:ascii="宋体" w:eastAsia="宋体" w:hAnsi="宋体" w:cs="宋体"/>
                <w:sz w:val="18"/>
                <w:szCs w:val="18"/>
              </w:rPr>
              <w:lastRenderedPageBreak/>
              <w:t>,622.91</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w:t>
            </w:r>
            <w:r>
              <w:rPr>
                <w:rFonts w:ascii="宋体" w:eastAsia="宋体" w:hAnsi="宋体" w:cs="宋体"/>
                <w:sz w:val="18"/>
                <w:szCs w:val="18"/>
              </w:rPr>
              <w:lastRenderedPageBreak/>
              <w:t>06.43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3,366,413</w:t>
            </w:r>
            <w:r>
              <w:rPr>
                <w:rFonts w:ascii="宋体" w:eastAsia="宋体" w:hAnsi="宋体" w:cs="宋体"/>
                <w:sz w:val="18"/>
                <w:szCs w:val="18"/>
              </w:rPr>
              <w:lastRenderedPageBreak/>
              <w:t>,504.27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w:t>
            </w:r>
            <w:r>
              <w:rPr>
                <w:rFonts w:ascii="宋体" w:eastAsia="宋体" w:hAnsi="宋体" w:cs="宋体"/>
                <w:sz w:val="18"/>
                <w:szCs w:val="18"/>
              </w:rPr>
              <w:lastRenderedPageBreak/>
              <w:t>,392.93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5,048,026</w:t>
            </w:r>
            <w:r>
              <w:rPr>
                <w:rFonts w:ascii="宋体" w:eastAsia="宋体" w:hAnsi="宋体" w:cs="宋体"/>
                <w:sz w:val="18"/>
                <w:szCs w:val="18"/>
              </w:rPr>
              <w:lastRenderedPageBreak/>
              <w:t>,392.93</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26,656,812.58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37,430,476.08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37,430,476.08</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56,207,281.59</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56,207,281.59</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390,007,370.37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-8,971,411.64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3,393,070,316.85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5,085,456,869.01</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5,085,456,869.01</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B72ACA">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w:t>
            </w:r>
            <w:r>
              <w:rPr>
                <w:rFonts w:ascii="宋体" w:eastAsia="宋体" w:hAnsi="宋体" w:cs="宋体"/>
                <w:sz w:val="18"/>
                <w:szCs w:val="18"/>
              </w:rPr>
              <w:lastRenderedPageBreak/>
              <w:t>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54,427,406.72</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67,366,964.34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79,636,694.19</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106,988,462.31</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119,258,192.16</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w:t>
            </w:r>
            <w:r>
              <w:rPr>
                <w:rFonts w:ascii="宋体" w:eastAsia="宋体" w:hAnsi="宋体" w:cs="宋体"/>
                <w:sz w:val="18"/>
                <w:szCs w:val="18"/>
              </w:rPr>
              <w:lastRenderedPageBreak/>
              <w:t>（或股本）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4,679,146.38</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498,278,521.16</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8,031,032.65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3,268,290,976.15</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5,073,810,659.81</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135,883,581.33</w:t>
            </w:r>
          </w:p>
        </w:tc>
        <w:tc>
          <w:tcPr>
            <w:tcW w:w="56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5,209,694,241.14</w:t>
            </w:r>
          </w:p>
        </w:tc>
      </w:tr>
    </w:tbl>
    <w:p w:rsidR="00B72ACA" w:rsidRDefault="00674F05">
      <w:pPr>
        <w:pStyle w:val="3"/>
        <w:spacing w:line="280" w:lineRule="exact"/>
        <w:jc w:val="left"/>
        <w:rPr>
          <w:rFonts w:ascii="宋体" w:hAnsi="宋体" w:cs="宋体"/>
          <w:b/>
          <w:bCs/>
        </w:rPr>
      </w:pPr>
      <w:bookmarkStart w:id="98" w:name="_Toc988987"/>
      <w:r>
        <w:rPr>
          <w:rFonts w:ascii="宋体" w:hAnsi="宋体" w:cs="宋体"/>
          <w:b/>
          <w:bCs/>
        </w:rPr>
        <w:t>8、母公司所有者权益变动表</w:t>
      </w:r>
      <w:bookmarkEnd w:id="98"/>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B72ACA">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二、本年期</w:t>
            </w:r>
            <w:r>
              <w:rPr>
                <w:rFonts w:ascii="宋体" w:eastAsia="宋体" w:hAnsi="宋体" w:cs="宋体"/>
                <w:sz w:val="18"/>
                <w:szCs w:val="18"/>
              </w:rPr>
              <w:lastRenderedPageBreak/>
              <w:t>初余额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886,0</w:t>
            </w:r>
            <w:r>
              <w:rPr>
                <w:rFonts w:ascii="宋体" w:eastAsia="宋体" w:hAnsi="宋体" w:cs="宋体"/>
                <w:sz w:val="18"/>
                <w:szCs w:val="18"/>
              </w:rPr>
              <w:lastRenderedPageBreak/>
              <w:t>12,887.00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529,6</w:t>
            </w:r>
            <w:r>
              <w:rPr>
                <w:rFonts w:ascii="宋体" w:eastAsia="宋体" w:hAnsi="宋体" w:cs="宋体"/>
                <w:sz w:val="18"/>
                <w:szCs w:val="18"/>
              </w:rPr>
              <w:lastRenderedPageBreak/>
              <w:t>64,203.20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17,566,066.91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456,0</w:t>
            </w:r>
            <w:r>
              <w:rPr>
                <w:rFonts w:ascii="宋体" w:eastAsia="宋体" w:hAnsi="宋体" w:cs="宋体"/>
                <w:sz w:val="18"/>
                <w:szCs w:val="18"/>
              </w:rPr>
              <w:lastRenderedPageBreak/>
              <w:t>11,827.28</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2,975</w:t>
            </w:r>
            <w:r>
              <w:rPr>
                <w:rFonts w:ascii="宋体" w:eastAsia="宋体" w:hAnsi="宋体" w:cs="宋体"/>
                <w:sz w:val="18"/>
                <w:szCs w:val="18"/>
              </w:rPr>
              <w:lastRenderedPageBreak/>
              <w:t>,103,317.90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4,829</w:t>
            </w:r>
            <w:r>
              <w:rPr>
                <w:rFonts w:ascii="宋体" w:eastAsia="宋体" w:hAnsi="宋体" w:cs="宋体"/>
                <w:sz w:val="18"/>
                <w:szCs w:val="18"/>
              </w:rPr>
              <w:lastRenderedPageBreak/>
              <w:t>,226,168.47</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-8,063,675.72</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3,170,783.77</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9,656,582.02</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21,947,589.28</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w:t>
            </w:r>
            <w:r>
              <w:rPr>
                <w:rFonts w:ascii="宋体" w:eastAsia="宋体" w:hAnsi="宋体" w:cs="宋体"/>
                <w:sz w:val="18"/>
                <w:szCs w:val="18"/>
              </w:rPr>
              <w:lastRenderedPageBreak/>
              <w:t>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6．其他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528,607,655.43</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-5,275,059.65</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2,967,039,642.18</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4,832,396,952.24</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B72ACA">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72ACA">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-11,119,331.16</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-9,959,619.55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33,181,313.19</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34,575,621.71</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-234,596.91</w:t>
            </w:r>
          </w:p>
        </w:tc>
      </w:tr>
      <w:tr w:rsidR="00B72ACA">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540,517,679.10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-3,509,729.03</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2,899,020,458.91</w:t>
            </w: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4,765,912,659.68</w:t>
            </w:r>
          </w:p>
        </w:tc>
      </w:tr>
    </w:tbl>
    <w:p w:rsidR="00B72ACA" w:rsidRDefault="00674F05">
      <w:pPr>
        <w:pStyle w:val="2"/>
        <w:spacing w:before="300" w:after="300" w:line="320" w:lineRule="exact"/>
        <w:rPr>
          <w:rFonts w:ascii="宋体" w:eastAsia="宋体" w:hAnsi="宋体" w:cs="宋体"/>
          <w:b/>
          <w:bCs/>
          <w:sz w:val="24"/>
          <w:szCs w:val="24"/>
        </w:rPr>
      </w:pPr>
      <w:bookmarkStart w:id="99" w:name="_Toc988988"/>
      <w:r>
        <w:rPr>
          <w:rFonts w:ascii="宋体" w:eastAsia="宋体" w:hAnsi="宋体" w:cs="宋体"/>
          <w:b/>
          <w:bCs/>
          <w:sz w:val="24"/>
          <w:szCs w:val="24"/>
        </w:rPr>
        <w:lastRenderedPageBreak/>
        <w:t>三、公司基本情况</w:t>
      </w:r>
      <w:bookmarkEnd w:id="99"/>
    </w:p>
    <w:p w:rsidR="00674F05" w:rsidRDefault="00674F05">
      <w:pPr>
        <w:pStyle w:val="a3"/>
        <w:spacing w:before="0" w:beforeAutospacing="0" w:after="0" w:afterAutospacing="0" w:line="400" w:lineRule="atLeast"/>
        <w:ind w:left="426"/>
        <w:jc w:val="both"/>
        <w:divId w:val="779489943"/>
        <w:rPr>
          <w:rFonts w:ascii="仿宋_GB2312" w:eastAsia="仿宋_GB2312"/>
        </w:rPr>
      </w:pPr>
      <w:r>
        <w:rPr>
          <w:rFonts w:hint="eastAsia"/>
          <w:sz w:val="18"/>
          <w:szCs w:val="18"/>
        </w:rPr>
        <w:t>1、公司注册地、组织形式和总部地址</w:t>
      </w:r>
    </w:p>
    <w:p w:rsidR="00674F05" w:rsidRDefault="00674F05">
      <w:pPr>
        <w:pStyle w:val="a3"/>
        <w:spacing w:before="0" w:beforeAutospacing="0" w:after="0" w:afterAutospacing="0" w:line="400" w:lineRule="atLeast"/>
        <w:ind w:firstLine="360"/>
        <w:jc w:val="both"/>
        <w:divId w:val="779489943"/>
        <w:rPr>
          <w:rFonts w:ascii="Times New Roman" w:hAnsi="Times New Roman" w:cs="Times New Roman"/>
          <w:sz w:val="21"/>
          <w:szCs w:val="21"/>
        </w:rPr>
      </w:pPr>
      <w:r>
        <w:rPr>
          <w:rFonts w:cs="Times New Roman" w:hint="eastAsia"/>
          <w:sz w:val="18"/>
          <w:szCs w:val="18"/>
        </w:rPr>
        <w:t>江苏华西村股份有限公司(以下简称“公司”）是经江苏省人民政府苏</w:t>
      </w:r>
      <w:r w:rsidRPr="0030340F">
        <w:rPr>
          <w:rFonts w:cs="Times New Roman" w:hint="eastAsia"/>
          <w:sz w:val="18"/>
          <w:szCs w:val="18"/>
        </w:rPr>
        <w:t>政复（1999）4号文批</w:t>
      </w:r>
      <w:r w:rsidR="0030340F" w:rsidRPr="0030340F">
        <w:rPr>
          <w:rFonts w:cs="Times New Roman" w:hint="eastAsia"/>
          <w:sz w:val="18"/>
          <w:szCs w:val="18"/>
        </w:rPr>
        <w:t>准</w:t>
      </w:r>
      <w:r w:rsidRPr="0030340F">
        <w:rPr>
          <w:rFonts w:cs="Times New Roman" w:hint="eastAsia"/>
          <w:sz w:val="18"/>
          <w:szCs w:val="18"/>
        </w:rPr>
        <w:t>，由江阴</w:t>
      </w:r>
      <w:r>
        <w:rPr>
          <w:rFonts w:cs="Times New Roman" w:hint="eastAsia"/>
          <w:sz w:val="18"/>
          <w:szCs w:val="18"/>
        </w:rPr>
        <w:t>市华西实业有限公司变更设立的股份有限公司。1999年7月13日，经中国证券监督管理委员会证监发行字[1999]81号文批准，公司向社会公开发行人民币普通股3,500万股，发行后注册资本为14,000.00万元人民币。1999年8月10日，公司社会公众股在深圳证券交易所挂牌交易。</w:t>
      </w:r>
    </w:p>
    <w:p w:rsidR="00674F05" w:rsidRDefault="00674F05">
      <w:pPr>
        <w:pStyle w:val="a3"/>
        <w:spacing w:before="0" w:beforeAutospacing="0" w:after="0" w:afterAutospacing="0" w:line="400" w:lineRule="atLeast"/>
        <w:ind w:firstLine="360"/>
        <w:jc w:val="both"/>
        <w:divId w:val="779489943"/>
        <w:rPr>
          <w:rFonts w:ascii="Times New Roman" w:hAnsi="Times New Roman" w:cs="Times New Roman"/>
          <w:sz w:val="21"/>
          <w:szCs w:val="21"/>
        </w:rPr>
      </w:pPr>
      <w:r>
        <w:rPr>
          <w:rFonts w:cs="Times New Roman" w:hint="eastAsia"/>
          <w:sz w:val="18"/>
          <w:szCs w:val="18"/>
        </w:rPr>
        <w:t>经过历年送红股、资本公积转增股本、可转债转股及向社会非公开发行后，截至2023年6月30日止，公司注册资本为886,012,887.00元，实收资本（股本）886,012,887.00元。</w:t>
      </w:r>
    </w:p>
    <w:p w:rsidR="00674F05" w:rsidRDefault="00674F05">
      <w:pPr>
        <w:pStyle w:val="a3"/>
        <w:spacing w:before="0" w:beforeAutospacing="0" w:after="0" w:afterAutospacing="0" w:line="400" w:lineRule="atLeast"/>
        <w:ind w:firstLine="360"/>
        <w:jc w:val="both"/>
        <w:divId w:val="779489943"/>
        <w:rPr>
          <w:rFonts w:ascii="Times New Roman" w:hAnsi="Times New Roman" w:cs="Times New Roman"/>
          <w:sz w:val="21"/>
          <w:szCs w:val="21"/>
        </w:rPr>
      </w:pPr>
      <w:r>
        <w:rPr>
          <w:rFonts w:cs="Times New Roman" w:hint="eastAsia"/>
          <w:sz w:val="18"/>
          <w:szCs w:val="18"/>
        </w:rPr>
        <w:t>公司统一社会信用代码为91320200142273776W。公司注册地址和总部地址均为江阴市华士镇华西村。</w:t>
      </w:r>
    </w:p>
    <w:p w:rsidR="00674F05" w:rsidRDefault="00674F05">
      <w:pPr>
        <w:pStyle w:val="a3"/>
        <w:spacing w:before="0" w:beforeAutospacing="0" w:after="0" w:afterAutospacing="0" w:line="400" w:lineRule="atLeast"/>
        <w:ind w:left="426"/>
        <w:jc w:val="both"/>
        <w:divId w:val="779489943"/>
        <w:rPr>
          <w:rFonts w:ascii="仿宋_GB2312" w:eastAsia="仿宋_GB2312"/>
        </w:rPr>
      </w:pPr>
      <w:r>
        <w:rPr>
          <w:rFonts w:hint="eastAsia"/>
          <w:sz w:val="18"/>
          <w:szCs w:val="18"/>
        </w:rPr>
        <w:t>2、公司的业务性质和主要经营活动</w:t>
      </w:r>
    </w:p>
    <w:p w:rsidR="006E04B7" w:rsidRDefault="006E04B7" w:rsidP="006E04B7">
      <w:pPr>
        <w:pStyle w:val="a3"/>
        <w:spacing w:before="0" w:beforeAutospacing="0" w:after="0" w:afterAutospacing="0" w:line="400" w:lineRule="atLeast"/>
        <w:ind w:firstLine="342"/>
        <w:jc w:val="both"/>
        <w:divId w:val="779489943"/>
        <w:rPr>
          <w:rFonts w:ascii="Times New Roman" w:hAnsi="Times New Roman" w:cs="Times New Roman"/>
          <w:sz w:val="21"/>
          <w:szCs w:val="21"/>
        </w:rPr>
      </w:pPr>
      <w:r>
        <w:rPr>
          <w:rFonts w:cs="Times New Roman" w:hint="eastAsia"/>
          <w:sz w:val="18"/>
          <w:szCs w:val="18"/>
        </w:rPr>
        <w:t>公司业务性质：投资业务，化纤的生产销售和液体化工仓储。</w:t>
      </w:r>
    </w:p>
    <w:p w:rsidR="00674F05" w:rsidRDefault="00674F05">
      <w:pPr>
        <w:pStyle w:val="a3"/>
        <w:spacing w:before="0" w:beforeAutospacing="0" w:after="0" w:afterAutospacing="0" w:line="400" w:lineRule="atLeast"/>
        <w:ind w:firstLine="342"/>
        <w:jc w:val="both"/>
        <w:divId w:val="779489943"/>
        <w:rPr>
          <w:rFonts w:ascii="Times New Roman" w:hAnsi="Times New Roman" w:cs="Times New Roman"/>
          <w:sz w:val="21"/>
          <w:szCs w:val="21"/>
        </w:rPr>
      </w:pPr>
      <w:r>
        <w:rPr>
          <w:rFonts w:cs="Times New Roman" w:hint="eastAsia"/>
          <w:sz w:val="18"/>
          <w:szCs w:val="18"/>
        </w:rPr>
        <w:t>公司经营范围：创业投资；利用自有资产对外投资；化学纤维的制造、加工；国内贸易(不含国家限制及禁止类项目）；自营和代理各类商品及技术的进出口业务（国家限定企业</w:t>
      </w:r>
      <w:r w:rsidRPr="0030340F">
        <w:rPr>
          <w:rFonts w:cs="Times New Roman" w:hint="eastAsia"/>
          <w:sz w:val="18"/>
          <w:szCs w:val="18"/>
        </w:rPr>
        <w:t>经营或</w:t>
      </w:r>
      <w:r w:rsidR="0030340F" w:rsidRPr="0030340F">
        <w:rPr>
          <w:rFonts w:cs="Times New Roman" w:hint="eastAsia"/>
          <w:sz w:val="18"/>
          <w:szCs w:val="18"/>
        </w:rPr>
        <w:t>禁止</w:t>
      </w:r>
      <w:r w:rsidRPr="0030340F">
        <w:rPr>
          <w:rFonts w:cs="Times New Roman" w:hint="eastAsia"/>
          <w:sz w:val="18"/>
          <w:szCs w:val="18"/>
        </w:rPr>
        <w:t>进</w:t>
      </w:r>
      <w:r>
        <w:rPr>
          <w:rFonts w:cs="Times New Roman" w:hint="eastAsia"/>
          <w:sz w:val="18"/>
          <w:szCs w:val="18"/>
        </w:rPr>
        <w:t>出口的商品和技术除外）</w:t>
      </w:r>
      <w:r w:rsidR="00C41607">
        <w:rPr>
          <w:rFonts w:cs="Times New Roman" w:hint="eastAsia"/>
          <w:sz w:val="18"/>
          <w:szCs w:val="18"/>
        </w:rPr>
        <w:t>；</w:t>
      </w:r>
      <w:r>
        <w:rPr>
          <w:rFonts w:cs="Times New Roman" w:hint="eastAsia"/>
          <w:sz w:val="18"/>
          <w:szCs w:val="18"/>
        </w:rPr>
        <w:t>企业管理服务；化学纤维材料的研发、技术咨询、技术服务与技术转让。（依法须经批准的项目，经相关部门批准后方可开展经营活动）</w:t>
      </w:r>
    </w:p>
    <w:p w:rsidR="00371D2C" w:rsidRDefault="00371D2C" w:rsidP="00371D2C">
      <w:pPr>
        <w:pStyle w:val="a3"/>
        <w:spacing w:before="0" w:beforeAutospacing="0" w:after="0" w:afterAutospacing="0" w:line="400" w:lineRule="atLeast"/>
        <w:ind w:firstLine="342"/>
        <w:jc w:val="both"/>
        <w:divId w:val="779489943"/>
        <w:rPr>
          <w:rFonts w:ascii="Times New Roman" w:hAnsi="Times New Roman" w:cs="Times New Roman"/>
          <w:sz w:val="21"/>
          <w:szCs w:val="21"/>
        </w:rPr>
      </w:pPr>
      <w:r>
        <w:rPr>
          <w:rFonts w:cs="Times New Roman" w:hint="eastAsia"/>
          <w:sz w:val="18"/>
          <w:szCs w:val="18"/>
        </w:rPr>
        <w:t>许可项目：港口经营（依法须经批准的项目，经相关部门批准后方可开展经营活动，具体经营项目以审批结果为准）</w:t>
      </w:r>
    </w:p>
    <w:p w:rsidR="00674F05" w:rsidRDefault="00674F05">
      <w:pPr>
        <w:pStyle w:val="a3"/>
        <w:spacing w:before="0" w:beforeAutospacing="0" w:after="0" w:afterAutospacing="0" w:line="400" w:lineRule="atLeast"/>
        <w:ind w:left="426"/>
        <w:jc w:val="both"/>
        <w:divId w:val="779489943"/>
        <w:rPr>
          <w:rFonts w:ascii="仿宋_GB2312" w:eastAsia="仿宋_GB2312"/>
        </w:rPr>
      </w:pPr>
      <w:r>
        <w:rPr>
          <w:rFonts w:hint="eastAsia"/>
          <w:sz w:val="18"/>
          <w:szCs w:val="18"/>
        </w:rPr>
        <w:t>3、财务报告的批准报出</w:t>
      </w:r>
    </w:p>
    <w:p w:rsidR="00674F05" w:rsidRDefault="00674F05">
      <w:pPr>
        <w:pStyle w:val="a3"/>
        <w:spacing w:before="0" w:beforeAutospacing="0" w:after="0" w:afterAutospacing="0" w:line="400" w:lineRule="atLeast"/>
        <w:ind w:firstLine="360"/>
        <w:jc w:val="both"/>
        <w:textAlignment w:val="bottom"/>
        <w:divId w:val="779489943"/>
        <w:rPr>
          <w:rFonts w:ascii="Times New Roman" w:hAnsi="Times New Roman" w:cs="Times New Roman"/>
          <w:sz w:val="21"/>
          <w:szCs w:val="21"/>
        </w:rPr>
      </w:pPr>
      <w:r>
        <w:rPr>
          <w:rFonts w:cs="Times New Roman" w:hint="eastAsia"/>
          <w:sz w:val="18"/>
          <w:szCs w:val="18"/>
        </w:rPr>
        <w:t>本财务报表业经本公司董事会于2023年8月28日决议批准报出。</w:t>
      </w:r>
    </w:p>
    <w:p w:rsidR="00674F05" w:rsidRDefault="00674F05">
      <w:pPr>
        <w:pStyle w:val="a3"/>
        <w:spacing w:before="0" w:beforeAutospacing="0" w:after="0" w:afterAutospacing="0" w:line="400" w:lineRule="atLeast"/>
        <w:ind w:firstLine="360"/>
        <w:jc w:val="both"/>
        <w:divId w:val="1242325778"/>
        <w:rPr>
          <w:rFonts w:ascii="Times New Roman" w:hAnsi="Times New Roman" w:cs="Times New Roman"/>
          <w:sz w:val="21"/>
          <w:szCs w:val="21"/>
        </w:rPr>
      </w:pPr>
      <w:r>
        <w:rPr>
          <w:rFonts w:cs="Times New Roman" w:hint="eastAsia"/>
          <w:sz w:val="18"/>
          <w:szCs w:val="18"/>
        </w:rPr>
        <w:t>本公司2023年半年度纳入合并范围的子公司共5户，结构化会计主体1户，详见本附注九“在其他主体中的权益”。本公司本期合并范围与上期相比未发生变化。</w:t>
      </w:r>
    </w:p>
    <w:p w:rsidR="00B72ACA" w:rsidRDefault="00674F05">
      <w:pPr>
        <w:pStyle w:val="2"/>
        <w:spacing w:before="300" w:after="300" w:line="320" w:lineRule="exact"/>
        <w:rPr>
          <w:rFonts w:ascii="宋体" w:eastAsia="宋体" w:hAnsi="宋体" w:cs="宋体"/>
          <w:b/>
          <w:bCs/>
          <w:sz w:val="24"/>
          <w:szCs w:val="24"/>
        </w:rPr>
      </w:pPr>
      <w:bookmarkStart w:id="100" w:name="_Toc988989"/>
      <w:r>
        <w:rPr>
          <w:rFonts w:ascii="宋体" w:eastAsia="宋体" w:hAnsi="宋体" w:cs="宋体"/>
          <w:b/>
          <w:bCs/>
          <w:sz w:val="24"/>
          <w:szCs w:val="24"/>
        </w:rPr>
        <w:t>四、财务报表的编制基础</w:t>
      </w:r>
      <w:bookmarkEnd w:id="100"/>
    </w:p>
    <w:p w:rsidR="00B72ACA" w:rsidRDefault="00674F05">
      <w:pPr>
        <w:pStyle w:val="3"/>
        <w:spacing w:line="280" w:lineRule="exact"/>
        <w:jc w:val="left"/>
        <w:rPr>
          <w:rFonts w:ascii="宋体" w:hAnsi="宋体" w:cs="宋体"/>
          <w:b/>
          <w:bCs/>
        </w:rPr>
      </w:pPr>
      <w:bookmarkStart w:id="101" w:name="_Toc988990"/>
      <w:r>
        <w:rPr>
          <w:rFonts w:ascii="宋体" w:hAnsi="宋体" w:cs="宋体"/>
          <w:b/>
          <w:bCs/>
        </w:rPr>
        <w:t>1、编制基础</w:t>
      </w:r>
      <w:bookmarkEnd w:id="101"/>
    </w:p>
    <w:p w:rsidR="00674F05" w:rsidRDefault="00674F05">
      <w:pPr>
        <w:pStyle w:val="a3"/>
        <w:spacing w:before="0" w:beforeAutospacing="0" w:after="0" w:afterAutospacing="0" w:line="400" w:lineRule="atLeast"/>
        <w:ind w:firstLine="360"/>
        <w:jc w:val="both"/>
        <w:divId w:val="1168979378"/>
        <w:rPr>
          <w:rFonts w:ascii="Times New Roman" w:hAnsi="Times New Roman" w:cs="Times New Roman"/>
          <w:sz w:val="21"/>
          <w:szCs w:val="21"/>
        </w:rPr>
      </w:pPr>
      <w:r>
        <w:rPr>
          <w:rFonts w:cs="Times New Roman" w:hint="eastAsia"/>
          <w:sz w:val="18"/>
          <w:szCs w:val="18"/>
        </w:rPr>
        <w:t>本公司财务报表以持续经营假设为基础，根据实际发生的交易和事项，按照财政部发布的《企业会计准则——基本准则》（财政部令第33号发布、财政部令第76号修订）、于2006年2月15日及其后颁布和修订的42项具体会计准则、企业会计准则应用指南、企业会计准则解释及其他相关规定（以下合称“企业会计准则”），以及中国证券监督管理委员会《公开发行证券的公司信息披露编报规则第15号——财务报告的一般规定》（2014年修订）的规定编制。</w:t>
      </w:r>
    </w:p>
    <w:p w:rsidR="00674F05" w:rsidRDefault="00674F05">
      <w:pPr>
        <w:pStyle w:val="a3"/>
        <w:spacing w:before="0" w:beforeAutospacing="0" w:after="0" w:afterAutospacing="0" w:line="400" w:lineRule="atLeast"/>
        <w:ind w:firstLine="360"/>
        <w:jc w:val="both"/>
        <w:divId w:val="1168979378"/>
        <w:rPr>
          <w:rFonts w:ascii="Times New Roman" w:hAnsi="Times New Roman" w:cs="Times New Roman"/>
          <w:sz w:val="21"/>
          <w:szCs w:val="21"/>
        </w:rPr>
      </w:pPr>
      <w:r>
        <w:rPr>
          <w:rFonts w:cs="Times New Roman"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B72ACA" w:rsidRDefault="00674F05">
      <w:pPr>
        <w:pStyle w:val="3"/>
        <w:spacing w:line="280" w:lineRule="exact"/>
        <w:jc w:val="left"/>
        <w:rPr>
          <w:rFonts w:ascii="宋体" w:hAnsi="宋体" w:cs="宋体"/>
          <w:b/>
          <w:bCs/>
        </w:rPr>
      </w:pPr>
      <w:bookmarkStart w:id="102" w:name="_Toc988991"/>
      <w:r>
        <w:rPr>
          <w:rFonts w:ascii="宋体" w:hAnsi="宋体" w:cs="宋体"/>
          <w:b/>
          <w:bCs/>
        </w:rPr>
        <w:t>2、持续经营</w:t>
      </w:r>
      <w:bookmarkEnd w:id="102"/>
    </w:p>
    <w:p w:rsidR="00674F05" w:rsidRDefault="00674F05">
      <w:pPr>
        <w:pStyle w:val="a3"/>
        <w:spacing w:before="0" w:beforeAutospacing="0" w:after="0" w:afterAutospacing="0" w:line="400" w:lineRule="atLeast"/>
        <w:ind w:firstLine="360"/>
        <w:jc w:val="both"/>
        <w:divId w:val="381446549"/>
        <w:rPr>
          <w:rFonts w:ascii="Times New Roman" w:hAnsi="Times New Roman" w:cs="Times New Roman"/>
          <w:sz w:val="21"/>
          <w:szCs w:val="21"/>
        </w:rPr>
      </w:pPr>
      <w:r>
        <w:rPr>
          <w:rFonts w:cs="Times New Roman" w:hint="eastAsia"/>
          <w:sz w:val="18"/>
          <w:szCs w:val="18"/>
        </w:rPr>
        <w:t>本财务报表以持续经营为基础列报，本公司自报告期末起至少12个月具有持续经营能力。</w:t>
      </w:r>
    </w:p>
    <w:p w:rsidR="00B72ACA" w:rsidRDefault="00674F05">
      <w:pPr>
        <w:pStyle w:val="2"/>
        <w:spacing w:before="300" w:after="300" w:line="560" w:lineRule="exact"/>
        <w:rPr>
          <w:rFonts w:ascii="宋体" w:eastAsia="宋体" w:hAnsi="宋体" w:cs="宋体"/>
          <w:b/>
          <w:bCs/>
          <w:sz w:val="24"/>
          <w:szCs w:val="24"/>
        </w:rPr>
      </w:pPr>
      <w:bookmarkStart w:id="103" w:name="_Toc988992"/>
      <w:r>
        <w:rPr>
          <w:rFonts w:ascii="宋体" w:eastAsia="宋体" w:hAnsi="宋体" w:cs="宋体"/>
          <w:b/>
          <w:bCs/>
          <w:sz w:val="24"/>
          <w:szCs w:val="24"/>
        </w:rPr>
        <w:lastRenderedPageBreak/>
        <w:t>五、重要会计政策及会计估计</w:t>
      </w:r>
      <w:bookmarkEnd w:id="103"/>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674F05" w:rsidRDefault="00674F05">
      <w:pPr>
        <w:pStyle w:val="a3"/>
        <w:spacing w:before="0" w:beforeAutospacing="0" w:after="0" w:afterAutospacing="0" w:line="400" w:lineRule="atLeast"/>
        <w:ind w:firstLine="360"/>
        <w:jc w:val="both"/>
        <w:divId w:val="345256870"/>
        <w:rPr>
          <w:rFonts w:ascii="Times New Roman" w:hAnsi="Times New Roman" w:cs="Times New Roman"/>
          <w:sz w:val="21"/>
          <w:szCs w:val="21"/>
        </w:rPr>
      </w:pPr>
      <w:r>
        <w:rPr>
          <w:rFonts w:cs="Times New Roman" w:hint="eastAsia"/>
          <w:sz w:val="18"/>
          <w:szCs w:val="18"/>
        </w:rPr>
        <w:t>本公司及各子公司根据实际生产经营特点，依据相关企业会计准则的规定，对收入确认等交易和事项制定了若干项具体会计政策和会计估计，详见本附注五、29“收入”。</w:t>
      </w:r>
    </w:p>
    <w:p w:rsidR="00B72ACA" w:rsidRDefault="00674F05">
      <w:pPr>
        <w:pStyle w:val="3"/>
        <w:spacing w:line="280" w:lineRule="exact"/>
        <w:jc w:val="left"/>
        <w:rPr>
          <w:rFonts w:ascii="宋体" w:hAnsi="宋体" w:cs="宋体"/>
          <w:b/>
          <w:bCs/>
        </w:rPr>
      </w:pPr>
      <w:bookmarkStart w:id="104" w:name="_Toc988993"/>
      <w:r>
        <w:rPr>
          <w:rFonts w:ascii="宋体" w:hAnsi="宋体" w:cs="宋体"/>
          <w:b/>
          <w:bCs/>
        </w:rPr>
        <w:t>1、遵循企业会计准则的声明</w:t>
      </w:r>
      <w:bookmarkEnd w:id="104"/>
    </w:p>
    <w:p w:rsidR="00674F05" w:rsidRDefault="00674F05">
      <w:pPr>
        <w:pStyle w:val="a3"/>
        <w:spacing w:before="0" w:beforeAutospacing="0" w:after="0" w:afterAutospacing="0" w:line="400" w:lineRule="atLeast"/>
        <w:ind w:firstLine="360"/>
        <w:jc w:val="both"/>
        <w:divId w:val="161284267"/>
        <w:rPr>
          <w:rFonts w:ascii="Times New Roman" w:hAnsi="Times New Roman" w:cs="Times New Roman"/>
          <w:sz w:val="21"/>
          <w:szCs w:val="21"/>
        </w:rPr>
      </w:pPr>
      <w:r>
        <w:rPr>
          <w:rFonts w:cs="Times New Roman" w:hint="eastAsia"/>
          <w:sz w:val="18"/>
          <w:szCs w:val="18"/>
        </w:rPr>
        <w:t>本公司编制的财务报表符合企业会计准则的要求，真实、完整地反映了本公司2023年6月30日的合并及母公司财务状况及2023半年度的合并及母公司经营成果和合并及母公司现金流量等有关信息。此外，本公司的财务报表在所有重大方面符合中国证券监督管理委员会2014年修订的《公开发行证券的公司信息披露编报规则第15号－财务报告的一般规定》有关财务报表及其附注的披露要求。</w:t>
      </w:r>
    </w:p>
    <w:p w:rsidR="00B72ACA" w:rsidRDefault="00674F05">
      <w:pPr>
        <w:pStyle w:val="3"/>
        <w:spacing w:line="280" w:lineRule="exact"/>
        <w:jc w:val="left"/>
        <w:rPr>
          <w:rFonts w:ascii="宋体" w:hAnsi="宋体" w:cs="宋体"/>
          <w:b/>
          <w:bCs/>
        </w:rPr>
      </w:pPr>
      <w:bookmarkStart w:id="105" w:name="_Toc988994"/>
      <w:r>
        <w:rPr>
          <w:rFonts w:ascii="宋体" w:hAnsi="宋体" w:cs="宋体"/>
          <w:b/>
          <w:bCs/>
        </w:rPr>
        <w:t>2、会计期间</w:t>
      </w:r>
      <w:bookmarkEnd w:id="105"/>
    </w:p>
    <w:p w:rsidR="00674F05" w:rsidRDefault="00674F05">
      <w:pPr>
        <w:pStyle w:val="a3"/>
        <w:spacing w:before="0" w:beforeAutospacing="0" w:after="0" w:afterAutospacing="0" w:line="400" w:lineRule="atLeast"/>
        <w:ind w:firstLine="360"/>
        <w:jc w:val="both"/>
        <w:divId w:val="791674990"/>
        <w:rPr>
          <w:rFonts w:ascii="Times New Roman" w:hAnsi="Times New Roman" w:cs="Times New Roman"/>
          <w:sz w:val="21"/>
          <w:szCs w:val="21"/>
        </w:rPr>
      </w:pPr>
      <w:r>
        <w:rPr>
          <w:rFonts w:cs="Times New Roman" w:hint="eastAsia"/>
          <w:sz w:val="18"/>
          <w:szCs w:val="18"/>
        </w:rPr>
        <w:t>本公司的会计期间分为年度和中期，会计中期指短于一个完整的会计年度的报告期间。本公司会计年度采用公历年度，即每年自1月1日起至12月31日止。</w:t>
      </w:r>
    </w:p>
    <w:p w:rsidR="00B72ACA" w:rsidRDefault="00674F05">
      <w:pPr>
        <w:pStyle w:val="3"/>
        <w:spacing w:line="280" w:lineRule="exact"/>
        <w:jc w:val="left"/>
        <w:rPr>
          <w:rFonts w:ascii="宋体" w:hAnsi="宋体" w:cs="宋体"/>
          <w:b/>
          <w:bCs/>
        </w:rPr>
      </w:pPr>
      <w:bookmarkStart w:id="106" w:name="_Toc988995"/>
      <w:r>
        <w:rPr>
          <w:rFonts w:ascii="宋体" w:hAnsi="宋体" w:cs="宋体"/>
          <w:b/>
          <w:bCs/>
        </w:rPr>
        <w:t>3、营业周期</w:t>
      </w:r>
      <w:bookmarkEnd w:id="106"/>
    </w:p>
    <w:p w:rsidR="00674F05" w:rsidRDefault="00674F05">
      <w:pPr>
        <w:pStyle w:val="a3"/>
        <w:divId w:val="2121294121"/>
        <w:rPr>
          <w:sz w:val="18"/>
          <w:szCs w:val="18"/>
        </w:rPr>
      </w:pPr>
      <w:r>
        <w:rPr>
          <w:rFonts w:hint="eastAsia"/>
          <w:sz w:val="18"/>
          <w:szCs w:val="18"/>
        </w:rPr>
        <w:t>正常营业周期是指本公司从购买用于加工的资产起至实现现金或现金等价物的期间。本公司以12个月作为一个营业周期，并以其作为资产和负债的流动性划分标准。</w:t>
      </w:r>
    </w:p>
    <w:p w:rsidR="00B72ACA" w:rsidRDefault="00674F05">
      <w:pPr>
        <w:pStyle w:val="3"/>
        <w:spacing w:line="280" w:lineRule="exact"/>
        <w:jc w:val="left"/>
        <w:rPr>
          <w:rFonts w:ascii="宋体" w:hAnsi="宋体" w:cs="宋体"/>
          <w:b/>
          <w:bCs/>
        </w:rPr>
      </w:pPr>
      <w:bookmarkStart w:id="107" w:name="_Toc988996"/>
      <w:r>
        <w:rPr>
          <w:rFonts w:ascii="宋体" w:hAnsi="宋体" w:cs="宋体"/>
          <w:b/>
          <w:bCs/>
        </w:rPr>
        <w:t>4、记账本位币</w:t>
      </w:r>
      <w:bookmarkEnd w:id="107"/>
    </w:p>
    <w:p w:rsidR="00674F05" w:rsidRDefault="00674F05" w:rsidP="00D12436">
      <w:pPr>
        <w:pStyle w:val="a3"/>
        <w:spacing w:before="0" w:beforeAutospacing="0" w:after="0" w:afterAutospacing="0" w:line="400" w:lineRule="atLeast"/>
        <w:ind w:firstLine="360"/>
        <w:jc w:val="both"/>
        <w:divId w:val="137575523"/>
        <w:rPr>
          <w:rFonts w:ascii="Times New Roman" w:hAnsi="Times New Roman" w:cs="Times New Roman"/>
          <w:sz w:val="21"/>
          <w:szCs w:val="21"/>
        </w:rPr>
      </w:pPr>
      <w:r>
        <w:rPr>
          <w:rFonts w:cs="Times New Roman" w:hint="eastAsia"/>
          <w:sz w:val="18"/>
          <w:szCs w:val="18"/>
        </w:rPr>
        <w:t>人民币为本公司及境内子公司经营所处的主要经济环境中的货币，本公司及境内子公司以人民币为记账本位币。本公司之境外子公司根据其经营所处的主要经济环境中的货币确定人民币为其记账本位币。本公司编制本财务报表时所采用的货币为人民币。</w:t>
      </w:r>
    </w:p>
    <w:p w:rsidR="00B72ACA" w:rsidRDefault="00674F05">
      <w:pPr>
        <w:pStyle w:val="3"/>
        <w:spacing w:line="280" w:lineRule="exact"/>
        <w:jc w:val="left"/>
        <w:rPr>
          <w:rFonts w:ascii="宋体" w:hAnsi="宋体" w:cs="宋体"/>
          <w:b/>
          <w:bCs/>
        </w:rPr>
      </w:pPr>
      <w:bookmarkStart w:id="108" w:name="_Toc988997"/>
      <w:r>
        <w:rPr>
          <w:rFonts w:ascii="宋体" w:hAnsi="宋体" w:cs="宋体"/>
          <w:b/>
          <w:bCs/>
        </w:rPr>
        <w:t>5、同一控制下和非同一控制下企业合并的会计处理方法</w:t>
      </w:r>
      <w:bookmarkEnd w:id="108"/>
    </w:p>
    <w:p w:rsidR="00674F05" w:rsidRDefault="00674F05" w:rsidP="00D12436">
      <w:pPr>
        <w:pStyle w:val="a3"/>
        <w:spacing w:before="0" w:beforeAutospacing="0" w:after="0" w:afterAutospacing="0" w:line="400" w:lineRule="atLeast"/>
        <w:ind w:left="3" w:firstLine="360"/>
        <w:jc w:val="both"/>
        <w:divId w:val="756024124"/>
        <w:rPr>
          <w:rFonts w:ascii="Times New Roman" w:hAnsi="Times New Roman" w:cs="Times New Roman"/>
          <w:sz w:val="21"/>
          <w:szCs w:val="21"/>
        </w:rPr>
      </w:pPr>
      <w:r>
        <w:rPr>
          <w:rFonts w:cs="Times New Roman" w:hint="eastAsia"/>
          <w:sz w:val="18"/>
          <w:szCs w:val="18"/>
        </w:rPr>
        <w:t>企业合并，是指将两个或两个以上单独的企业合并形成一个报告主体的交易或事项。企业合并分为同一控制下企业合并和非同一控制下企业合并。</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（1）同一控制下企业合并</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lastRenderedPageBreak/>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合并方为进行企业合并发生的各项直接费用，于发生时计入当期损益。</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（2）非同一控制下企业合并</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通过多次交易分步实现的非同一控制下企业合并，根据《财政部关于印发企业会计准则解释第5号的通知》（财会〔2012〕19号）和《企业会计准则第33号——合并财务报表》第五十一条关于“一揽子交易”的判断标准（参见本附注五、5（2）），判断该多次交易是否属于“一揽子交易”。属于“一揽子交易”的，参考本部分前面各段描述及本附注五、16“长期股权投资”进行会计处理；不属于“一揽子交易”的，区分个别财务报表和合并财务报表进行相关会计处理：</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674F05" w:rsidRDefault="00674F05" w:rsidP="00D12436">
      <w:pPr>
        <w:pStyle w:val="a3"/>
        <w:spacing w:before="0" w:beforeAutospacing="0" w:after="0" w:afterAutospacing="0" w:line="400" w:lineRule="atLeast"/>
        <w:ind w:firstLine="360"/>
        <w:jc w:val="both"/>
        <w:divId w:val="756024124"/>
        <w:rPr>
          <w:rFonts w:ascii="Times New Roman" w:hAnsi="Times New Roman" w:cs="Times New Roman"/>
          <w:sz w:val="21"/>
          <w:szCs w:val="21"/>
        </w:rPr>
      </w:pPr>
      <w:r>
        <w:rPr>
          <w:rFonts w:cs="Times New Roman"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B72ACA" w:rsidRDefault="00674F05" w:rsidP="00D12436">
      <w:pPr>
        <w:pStyle w:val="3"/>
        <w:spacing w:line="280" w:lineRule="exact"/>
        <w:rPr>
          <w:rFonts w:ascii="宋体" w:hAnsi="宋体" w:cs="宋体"/>
          <w:b/>
          <w:bCs/>
        </w:rPr>
      </w:pPr>
      <w:bookmarkStart w:id="109" w:name="_Toc988998"/>
      <w:r>
        <w:rPr>
          <w:rFonts w:ascii="宋体" w:hAnsi="宋体" w:cs="宋体"/>
          <w:b/>
          <w:bCs/>
        </w:rPr>
        <w:lastRenderedPageBreak/>
        <w:t>6、合并财务报表的编制方法</w:t>
      </w:r>
      <w:bookmarkEnd w:id="109"/>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（1）合并财务报表范围的确定原则</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子公司，是指被本公司控制的主体。</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一旦相关事实和情况的变化导致上述控制定义涉及的相关要素发生了变化，本公司将进行重新评估。</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（2）合并财务报表编制的方法</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公司内所有重大往来余额、交易及未实现利润在合并财务报表编制时予以抵销。</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2号——长期股权投资》或《企业会计准则第22号——金融工具确认和计量》等相关规定进行后续计量，详见本附注五、16“长期股权投资”或本附注五、10“金融工具”。</w:t>
      </w:r>
    </w:p>
    <w:p w:rsidR="00674F05" w:rsidRDefault="00674F05" w:rsidP="00D12436">
      <w:pPr>
        <w:pStyle w:val="a3"/>
        <w:spacing w:before="0" w:beforeAutospacing="0" w:after="0" w:afterAutospacing="0" w:line="400" w:lineRule="atLeast"/>
        <w:ind w:firstLine="360"/>
        <w:jc w:val="both"/>
        <w:divId w:val="781144911"/>
        <w:rPr>
          <w:rFonts w:ascii="Times New Roman" w:hAnsi="Times New Roman" w:cs="Times New Roman"/>
          <w:sz w:val="21"/>
          <w:szCs w:val="21"/>
        </w:rPr>
      </w:pPr>
      <w:r>
        <w:rPr>
          <w:rFonts w:cs="Times New Roman"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附注五、16、（2）④）和“因处置部分股权投资</w:t>
      </w:r>
      <w:r>
        <w:rPr>
          <w:rFonts w:cs="Times New Roman" w:hint="eastAsia"/>
          <w:sz w:val="18"/>
          <w:szCs w:val="18"/>
        </w:rPr>
        <w:lastRenderedPageBreak/>
        <w:t>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B72ACA" w:rsidRDefault="00674F05">
      <w:pPr>
        <w:pStyle w:val="3"/>
        <w:spacing w:line="280" w:lineRule="exact"/>
        <w:jc w:val="left"/>
        <w:rPr>
          <w:rFonts w:ascii="宋体" w:hAnsi="宋体" w:cs="宋体"/>
          <w:b/>
          <w:bCs/>
        </w:rPr>
      </w:pPr>
      <w:bookmarkStart w:id="110" w:name="_Toc988999"/>
      <w:r>
        <w:rPr>
          <w:rFonts w:ascii="宋体" w:hAnsi="宋体" w:cs="宋体"/>
          <w:b/>
          <w:bCs/>
        </w:rPr>
        <w:t>7、合营安排分类及共同经营会计处理方法</w:t>
      </w:r>
      <w:bookmarkEnd w:id="110"/>
    </w:p>
    <w:p w:rsidR="00674F05" w:rsidRDefault="00674F05" w:rsidP="00D12436">
      <w:pPr>
        <w:pStyle w:val="a3"/>
        <w:spacing w:before="0" w:beforeAutospacing="0" w:after="0" w:afterAutospacing="0" w:line="400" w:lineRule="atLeast"/>
        <w:ind w:firstLine="360"/>
        <w:jc w:val="both"/>
        <w:divId w:val="593898089"/>
        <w:rPr>
          <w:rFonts w:ascii="Times New Roman" w:hAnsi="Times New Roman" w:cs="Times New Roman"/>
          <w:sz w:val="21"/>
          <w:szCs w:val="21"/>
        </w:rPr>
      </w:pPr>
      <w:r>
        <w:rPr>
          <w:rFonts w:cs="Times New Roman"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674F05" w:rsidRDefault="00674F05" w:rsidP="00D12436">
      <w:pPr>
        <w:pStyle w:val="a3"/>
        <w:spacing w:before="0" w:beforeAutospacing="0" w:after="0" w:afterAutospacing="0" w:line="400" w:lineRule="atLeast"/>
        <w:ind w:firstLine="360"/>
        <w:jc w:val="both"/>
        <w:divId w:val="593898089"/>
        <w:rPr>
          <w:rFonts w:ascii="Times New Roman" w:hAnsi="Times New Roman" w:cs="Times New Roman"/>
          <w:sz w:val="21"/>
          <w:szCs w:val="21"/>
        </w:rPr>
      </w:pPr>
      <w:r>
        <w:rPr>
          <w:rFonts w:cs="Times New Roman" w:hint="eastAsia"/>
          <w:sz w:val="18"/>
          <w:szCs w:val="18"/>
        </w:rPr>
        <w:t>本公司对合营企业的投资采用权益法核算，按照本附注五、16（2）②“权益法核算的长期股权投资”中所述的会计政策处理。</w:t>
      </w:r>
    </w:p>
    <w:p w:rsidR="00674F05" w:rsidRDefault="00674F05" w:rsidP="00D12436">
      <w:pPr>
        <w:pStyle w:val="a3"/>
        <w:spacing w:before="0" w:beforeAutospacing="0" w:after="0" w:afterAutospacing="0" w:line="400" w:lineRule="atLeast"/>
        <w:ind w:firstLine="360"/>
        <w:jc w:val="both"/>
        <w:divId w:val="593898089"/>
        <w:rPr>
          <w:rFonts w:ascii="Times New Roman" w:hAnsi="Times New Roman" w:cs="Times New Roman"/>
          <w:sz w:val="21"/>
          <w:szCs w:val="21"/>
        </w:rPr>
      </w:pPr>
      <w:r>
        <w:rPr>
          <w:rFonts w:cs="Times New Roman"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674F05" w:rsidRDefault="00674F05" w:rsidP="00D12436">
      <w:pPr>
        <w:pStyle w:val="a3"/>
        <w:spacing w:before="0" w:beforeAutospacing="0" w:after="0" w:afterAutospacing="0" w:line="400" w:lineRule="atLeast"/>
        <w:ind w:firstLine="360"/>
        <w:jc w:val="both"/>
        <w:divId w:val="593898089"/>
        <w:rPr>
          <w:rFonts w:ascii="Times New Roman" w:hAnsi="Times New Roman" w:cs="Times New Roman"/>
          <w:sz w:val="21"/>
          <w:szCs w:val="21"/>
        </w:rPr>
      </w:pPr>
      <w:r>
        <w:rPr>
          <w:rFonts w:cs="Times New Roman"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8号——资产减值》等规定的资产减值损失的，对于由本公司向共同经营投出或出售资产的情况，本公司全额确认该损失；对于本公司自共同经营购买资产的情况，本公司按承担的份额确认该损失。</w:t>
      </w:r>
    </w:p>
    <w:p w:rsidR="00B72ACA" w:rsidRDefault="00674F05">
      <w:pPr>
        <w:pStyle w:val="3"/>
        <w:spacing w:line="280" w:lineRule="exact"/>
        <w:jc w:val="left"/>
        <w:rPr>
          <w:rFonts w:ascii="宋体" w:hAnsi="宋体" w:cs="宋体"/>
          <w:b/>
          <w:bCs/>
        </w:rPr>
      </w:pPr>
      <w:bookmarkStart w:id="111" w:name="_Toc989000"/>
      <w:r>
        <w:rPr>
          <w:rFonts w:ascii="宋体" w:hAnsi="宋体" w:cs="宋体"/>
          <w:b/>
          <w:bCs/>
        </w:rPr>
        <w:t>8、现金及现金等价物的确定标准</w:t>
      </w:r>
      <w:bookmarkEnd w:id="111"/>
    </w:p>
    <w:p w:rsidR="00674F05" w:rsidRDefault="00674F05">
      <w:pPr>
        <w:pStyle w:val="a3"/>
        <w:spacing w:before="0" w:beforeAutospacing="0" w:after="0" w:afterAutospacing="0" w:line="400" w:lineRule="atLeast"/>
        <w:ind w:firstLine="360"/>
        <w:jc w:val="both"/>
        <w:divId w:val="574559774"/>
        <w:rPr>
          <w:rFonts w:ascii="Times New Roman" w:hAnsi="Times New Roman" w:cs="Times New Roman"/>
          <w:sz w:val="21"/>
          <w:szCs w:val="21"/>
        </w:rPr>
      </w:pPr>
      <w:r>
        <w:rPr>
          <w:rFonts w:cs="Times New Roman"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B72ACA" w:rsidRDefault="00674F05">
      <w:pPr>
        <w:pStyle w:val="3"/>
        <w:spacing w:line="280" w:lineRule="exact"/>
        <w:jc w:val="left"/>
        <w:rPr>
          <w:rFonts w:ascii="宋体" w:hAnsi="宋体" w:cs="宋体"/>
          <w:b/>
          <w:bCs/>
        </w:rPr>
      </w:pPr>
      <w:bookmarkStart w:id="112" w:name="_Toc989001"/>
      <w:r>
        <w:rPr>
          <w:rFonts w:ascii="宋体" w:hAnsi="宋体" w:cs="宋体"/>
          <w:b/>
          <w:bCs/>
        </w:rPr>
        <w:t>9、外币业务和外币报表折算</w:t>
      </w:r>
      <w:bookmarkEnd w:id="112"/>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（1）外币交易的折算方法</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（2）对于外币货币性项目和外币非货币性项目的折算方法</w:t>
      </w:r>
    </w:p>
    <w:p w:rsidR="00674F05" w:rsidRDefault="00674F05">
      <w:pPr>
        <w:pStyle w:val="a3"/>
        <w:spacing w:before="0" w:beforeAutospacing="0" w:after="0" w:afterAutospacing="0" w:line="400" w:lineRule="atLeast"/>
        <w:ind w:firstLine="360"/>
        <w:jc w:val="both"/>
        <w:divId w:val="40830694"/>
        <w:rPr>
          <w:rFonts w:ascii="Times New Roman" w:hAnsi="Times New Roman" w:cs="Times New Roman"/>
          <w:sz w:val="21"/>
          <w:szCs w:val="21"/>
        </w:rPr>
      </w:pPr>
      <w:r>
        <w:rPr>
          <w:rFonts w:cs="Times New Roman"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除摊余成本之外的其他账面余额变动产生的汇兑差额计入其他综合收益之外，均计入当期损益。</w:t>
      </w:r>
    </w:p>
    <w:p w:rsidR="00674F05" w:rsidRDefault="00674F05">
      <w:pPr>
        <w:pStyle w:val="a3"/>
        <w:spacing w:before="0" w:beforeAutospacing="0" w:after="0" w:afterAutospacing="0" w:line="400" w:lineRule="atLeast"/>
        <w:ind w:firstLine="360"/>
        <w:jc w:val="both"/>
        <w:divId w:val="40830694"/>
        <w:rPr>
          <w:rFonts w:ascii="Times New Roman" w:hAnsi="Times New Roman" w:cs="Times New Roman"/>
          <w:sz w:val="21"/>
          <w:szCs w:val="21"/>
        </w:rPr>
      </w:pPr>
      <w:r>
        <w:rPr>
          <w:rFonts w:cs="Times New Roman"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674F05" w:rsidRDefault="00674F05">
      <w:pPr>
        <w:pStyle w:val="a3"/>
        <w:spacing w:before="0" w:beforeAutospacing="0" w:after="0" w:afterAutospacing="0" w:line="400" w:lineRule="atLeast"/>
        <w:ind w:firstLine="360"/>
        <w:jc w:val="both"/>
        <w:divId w:val="40830694"/>
        <w:rPr>
          <w:rFonts w:ascii="Times New Roman" w:hAnsi="Times New Roman" w:cs="Times New Roman"/>
          <w:sz w:val="21"/>
          <w:szCs w:val="21"/>
        </w:rPr>
      </w:pPr>
      <w:r>
        <w:rPr>
          <w:rFonts w:cs="Times New Roman" w:hint="eastAsia"/>
          <w:sz w:val="18"/>
          <w:szCs w:val="18"/>
        </w:rPr>
        <w:lastRenderedPageBreak/>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（3）外币财务报表的折算方法</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编制合并财务报表涉及境外经营的，如有实质上构成对境外经营净投资的外币货币性项目，因汇率变动而产生的汇兑差额，作为“外币报表折算差额”确认为其他综合收益；处置境外经营时，计入处置当期损益。</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上年年末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外币现金流量，采用现金流量发生日的即期汇率折算。汇率变动对现金的影响额作为调节项目，在现金流量表中单独列报。</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上年年末数和上年实际数按照上年财务报表折算后的数额列示。</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674F05" w:rsidRDefault="00674F05">
      <w:pPr>
        <w:pStyle w:val="a3"/>
        <w:spacing w:before="0" w:beforeAutospacing="0" w:after="0" w:afterAutospacing="0" w:line="400" w:lineRule="atLeast"/>
        <w:ind w:firstLine="360"/>
        <w:jc w:val="both"/>
        <w:divId w:val="40830694"/>
        <w:rPr>
          <w:sz w:val="21"/>
          <w:szCs w:val="21"/>
        </w:rPr>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B72ACA" w:rsidRDefault="00674F05">
      <w:pPr>
        <w:pStyle w:val="3"/>
        <w:spacing w:line="280" w:lineRule="exact"/>
        <w:jc w:val="left"/>
        <w:rPr>
          <w:rFonts w:ascii="宋体" w:hAnsi="宋体" w:cs="宋体"/>
          <w:b/>
          <w:bCs/>
        </w:rPr>
      </w:pPr>
      <w:bookmarkStart w:id="113" w:name="_Toc989002"/>
      <w:r>
        <w:rPr>
          <w:rFonts w:ascii="宋体" w:hAnsi="宋体" w:cs="宋体"/>
          <w:b/>
          <w:bCs/>
        </w:rPr>
        <w:t>10、金融工具</w:t>
      </w:r>
      <w:bookmarkEnd w:id="113"/>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在本公司成为金融工具合同的一方时确认一项金融资产或金融负债。</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（1）金融资产的分类、确认和计量</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①以摊余成本计量的金融资产</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w:t>
      </w:r>
      <w:r>
        <w:rPr>
          <w:rFonts w:cs="Times New Roman" w:hint="eastAsia"/>
          <w:sz w:val="18"/>
          <w:szCs w:val="18"/>
        </w:rPr>
        <w:lastRenderedPageBreak/>
        <w:t>公司对于此类金融资产，采用实际利率法，按照摊余成本进行后续计量，其摊销或减值产生的利得或损失，计入当期损益。</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②以公允价值计量且其变动计入其他综合收益的金融资产</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③以公允价值计量且其变动计入当期损益的金融资产</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（2）金融负债的分类、确认和计量</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①以公允价值计量且其变动计入当期损益的金融负债</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交易性金融负债（含属于金融负债的衍生工具），按照公允价值进行后续计量，除与套期会计有关外，公允价值变动计入当期损益。</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②其他金融负债</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（3）金融资产转移的确认依据和计量方法</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lastRenderedPageBreak/>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（4）金融负债的终止确认</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金融负债（或其一部分）终止确认的，本公司将其账面价值与支付的对价（包括转出的非现金资产或承担的负债）之间的差额，计入当期损益。</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（5）金融资产和金融负债的抵销</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（6）金融资产和金融负债的公允价值确定方法</w:t>
      </w:r>
    </w:p>
    <w:p w:rsidR="00674F05" w:rsidRDefault="00674F05">
      <w:pPr>
        <w:pStyle w:val="a3"/>
        <w:spacing w:before="0" w:beforeAutospacing="0" w:after="0" w:afterAutospacing="0" w:line="400" w:lineRule="atLeast"/>
        <w:ind w:firstLine="360"/>
        <w:jc w:val="both"/>
        <w:divId w:val="808211164"/>
        <w:rPr>
          <w:rFonts w:ascii="Times New Roman" w:hAnsi="Times New Roman" w:cs="Times New Roman"/>
          <w:sz w:val="21"/>
          <w:szCs w:val="21"/>
        </w:rPr>
      </w:pPr>
      <w:r>
        <w:rPr>
          <w:rFonts w:cs="Times New Roman"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w:t>
      </w:r>
      <w:r>
        <w:rPr>
          <w:rFonts w:cs="Times New Roman" w:hint="eastAsia"/>
          <w:sz w:val="18"/>
          <w:szCs w:val="18"/>
        </w:rPr>
        <w:lastRenderedPageBreak/>
        <w:t>中所考虑的资产或负债特征相一致的输入值，并尽可能优先使用相关可观察输入值。在相关可观察输入值无法取得或取得不切实可行的情况下，使用不可输入值。</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（7）权益工具</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674F05" w:rsidRDefault="00674F05">
      <w:pPr>
        <w:pStyle w:val="a3"/>
        <w:spacing w:before="0" w:beforeAutospacing="0" w:after="0" w:afterAutospacing="0" w:line="400" w:lineRule="atLeast"/>
        <w:ind w:firstLine="360"/>
        <w:divId w:val="808211164"/>
        <w:rPr>
          <w:rFonts w:ascii="Times New Roman" w:hAnsi="Times New Roman" w:cs="Times New Roman"/>
          <w:sz w:val="21"/>
          <w:szCs w:val="21"/>
        </w:rPr>
      </w:pPr>
      <w:r>
        <w:rPr>
          <w:rFonts w:cs="Times New Roman" w:hint="eastAsia"/>
          <w:sz w:val="18"/>
          <w:szCs w:val="18"/>
        </w:rPr>
        <w:t>本公司权益工具在存续期间分派股利（含分类为权益工具的工具所产生的“利息”）的，作为利润分配处理。</w:t>
      </w:r>
    </w:p>
    <w:p w:rsidR="00B72ACA" w:rsidRDefault="00674F05">
      <w:pPr>
        <w:pStyle w:val="3"/>
        <w:spacing w:line="280" w:lineRule="exact"/>
        <w:jc w:val="left"/>
        <w:rPr>
          <w:rFonts w:ascii="宋体" w:hAnsi="宋体" w:cs="宋体"/>
          <w:b/>
          <w:bCs/>
        </w:rPr>
      </w:pPr>
      <w:bookmarkStart w:id="114" w:name="_Toc989003"/>
      <w:r>
        <w:rPr>
          <w:rFonts w:ascii="宋体" w:hAnsi="宋体" w:cs="宋体"/>
          <w:b/>
          <w:bCs/>
        </w:rPr>
        <w:t>11、金融资产减值</w:t>
      </w:r>
      <w:bookmarkEnd w:id="114"/>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本公司需确认减值损失的金融资产系以摊余成本计量的金融资产、以公允价值计量且其变动计入其他综合收益的债务工具投资，主要包括应收票据、应收账款、其他应收款、债权投资、其他债权投资、长期应收款等。此外，对部分财务担保合同，也按照本部分所述会计政策计提减值准备和确认信用减值损失。</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（1）减值准备的确认方法</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本公司以预期信用损失为基础，对上述各项目按照其适用的预期信用损失计量方法（一般方法或简化方法）计提减值准备并确认信用减值损失。</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12个月内预期信用损失的金额计量损失准备。本公司在评估预期信用损失时，考虑所有合理且有依据的信息，包括前瞻性信息。</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对于在资产负债表日具有较低信用风险的金融工具，本公司假设其信用风险自初始确认后并未显著增加，选择按照未来 12 个月内的预期信用损失计量损失准备，依据其信用风险自初始确认后是否已显著增加，而采用未来12月内或者整个存续期内预期信用损失金额为基础计量损失准备。</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（2）信用风险自初始确认后是否显著增加的判断标准</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如果某项金融资产在资产负债表日确定的预计存续期内的违约概率显著高于在初始确认时确定的预计存续期内的违约概率，则表明该项金融资产的信用风险显著增加。</w:t>
      </w:r>
    </w:p>
    <w:p w:rsidR="00674F05" w:rsidRDefault="00674F05">
      <w:pPr>
        <w:pStyle w:val="a3"/>
        <w:spacing w:before="0" w:beforeAutospacing="0" w:after="0" w:afterAutospacing="0" w:line="400" w:lineRule="atLeast"/>
        <w:ind w:firstLine="360"/>
        <w:divId w:val="283538835"/>
        <w:rPr>
          <w:rFonts w:ascii="Times New Roman" w:eastAsia="仿宋" w:hAnsi="Times New Roman" w:cs="Times New Roman"/>
          <w:sz w:val="21"/>
          <w:szCs w:val="21"/>
        </w:rPr>
      </w:pPr>
      <w:r>
        <w:rPr>
          <w:rFonts w:cs="Times New Roman" w:hint="eastAsia"/>
          <w:sz w:val="18"/>
          <w:szCs w:val="18"/>
        </w:rPr>
        <w:t>（3）金融资产减值的会计处理方法</w:t>
      </w:r>
    </w:p>
    <w:p w:rsidR="00674F05" w:rsidRDefault="00674F05">
      <w:pPr>
        <w:pStyle w:val="a3"/>
        <w:spacing w:before="0" w:beforeAutospacing="0" w:after="0" w:afterAutospacing="0" w:line="400" w:lineRule="atLeast"/>
        <w:ind w:firstLine="360"/>
        <w:divId w:val="283538835"/>
        <w:rPr>
          <w:rFonts w:ascii="Times New Roman" w:eastAsia="仿宋" w:hAnsi="Times New Roman" w:cs="Times New Roman"/>
          <w:sz w:val="21"/>
          <w:szCs w:val="21"/>
        </w:rPr>
      </w:pPr>
      <w:r>
        <w:rPr>
          <w:rFonts w:cs="Times New Roman"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674F05" w:rsidRDefault="00674F05">
      <w:pPr>
        <w:pStyle w:val="a3"/>
        <w:spacing w:before="0" w:beforeAutospacing="0" w:after="0" w:afterAutospacing="0" w:line="400" w:lineRule="atLeast"/>
        <w:ind w:firstLine="360"/>
        <w:divId w:val="283538835"/>
        <w:rPr>
          <w:rFonts w:ascii="Times New Roman" w:eastAsia="仿宋" w:hAnsi="Times New Roman" w:cs="Times New Roman"/>
          <w:sz w:val="21"/>
          <w:szCs w:val="21"/>
        </w:rPr>
      </w:pPr>
      <w:r>
        <w:rPr>
          <w:rFonts w:cs="Times New Roman" w:hint="eastAsia"/>
          <w:sz w:val="18"/>
          <w:szCs w:val="18"/>
        </w:rPr>
        <w:t>（4）各类金融资产信用损失的确定方法</w:t>
      </w:r>
    </w:p>
    <w:p w:rsidR="00674F05" w:rsidRDefault="00674F05">
      <w:pPr>
        <w:pStyle w:val="a3"/>
        <w:spacing w:before="0" w:beforeAutospacing="0" w:after="0" w:afterAutospacing="0" w:line="400" w:lineRule="atLeast"/>
        <w:ind w:firstLine="360"/>
        <w:divId w:val="283538835"/>
        <w:rPr>
          <w:rFonts w:ascii="Times New Roman" w:eastAsia="仿宋" w:hAnsi="Times New Roman" w:cs="Times New Roman"/>
          <w:sz w:val="21"/>
          <w:szCs w:val="21"/>
        </w:rPr>
      </w:pPr>
      <w:r>
        <w:rPr>
          <w:rFonts w:cs="Times New Roman" w:hint="eastAsia"/>
          <w:sz w:val="18"/>
          <w:szCs w:val="18"/>
        </w:rPr>
        <w:t>①应收票据</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lastRenderedPageBreak/>
        <w:t>本公司对于应收票据按照相当于整个存续期内的预期信用损失金额计量损失准备。基于应收票据的信用风险特征，将其划分为不同组合：</w:t>
      </w:r>
    </w:p>
    <w:tbl>
      <w:tblPr>
        <w:tblW w:w="9072" w:type="dxa"/>
        <w:tblCellMar>
          <w:left w:w="0" w:type="dxa"/>
          <w:right w:w="0" w:type="dxa"/>
        </w:tblCellMar>
        <w:tblLook w:val="04A0" w:firstRow="1" w:lastRow="0" w:firstColumn="1" w:lastColumn="0" w:noHBand="0" w:noVBand="1"/>
      </w:tblPr>
      <w:tblGrid>
        <w:gridCol w:w="3057"/>
        <w:gridCol w:w="6015"/>
      </w:tblGrid>
      <w:tr w:rsidR="00674F05">
        <w:trPr>
          <w:divId w:val="283538835"/>
          <w:trHeight w:val="378"/>
          <w:tblHeader/>
        </w:trPr>
        <w:tc>
          <w:tcPr>
            <w:tcW w:w="3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rsidP="00DF089E">
            <w:pPr>
              <w:pStyle w:val="a3"/>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674F05">
        <w:trPr>
          <w:divId w:val="283538835"/>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r w:rsidR="00674F05">
        <w:trPr>
          <w:divId w:val="283538835"/>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商业承兑汇票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bl>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②应收账款及合同资产</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对于不含重大融资成分的应收款项和合同资产，本公司按照相当于整个存续期内的预期信用损失金额计量损失准备。</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对于包含重大融资成分的应收款项、合同资产，本公司选择始终按照相当于存续期内预期信用损失的金额计量损失准备。</w:t>
      </w:r>
    </w:p>
    <w:p w:rsidR="00674F05" w:rsidRDefault="00674F05">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除了单项评估信用风险的应收账款外，基于其信用风险特征，将其划分为不同组合：</w:t>
      </w:r>
    </w:p>
    <w:tbl>
      <w:tblPr>
        <w:tblW w:w="9072" w:type="dxa"/>
        <w:tblCellMar>
          <w:left w:w="0" w:type="dxa"/>
          <w:right w:w="0" w:type="dxa"/>
        </w:tblCellMar>
        <w:tblLook w:val="04A0" w:firstRow="1" w:lastRow="0" w:firstColumn="1" w:lastColumn="0" w:noHBand="0" w:noVBand="1"/>
      </w:tblPr>
      <w:tblGrid>
        <w:gridCol w:w="3057"/>
        <w:gridCol w:w="6015"/>
      </w:tblGrid>
      <w:tr w:rsidR="00674F05">
        <w:trPr>
          <w:divId w:val="283538835"/>
          <w:trHeight w:val="378"/>
          <w:tblHeader/>
        </w:trPr>
        <w:tc>
          <w:tcPr>
            <w:tcW w:w="3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rsidP="00DF089E">
            <w:pPr>
              <w:pStyle w:val="a3"/>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674F05">
        <w:trPr>
          <w:divId w:val="283538835"/>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账龄组合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参考历史信用损失经验，结合当前状况以及对未来经济账龄组合</w:t>
            </w:r>
          </w:p>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本组合以应收款项的账龄作为信用风险特征状况的预测，编制应收款项账龄与预期信用损失率对照表，计算预期信用损失。</w:t>
            </w:r>
          </w:p>
        </w:tc>
      </w:tr>
      <w:tr w:rsidR="00674F05">
        <w:trPr>
          <w:divId w:val="283538835"/>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合并范围内关联方组合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参考历史信用损失经验，结合当前状况及未来经济状况的预测，通过违约风险敞口和未来12个月或整个存续期内关联方公司款项预期信用损失率，计算预期信用损失。此类款项发生坏账损失的可能性极小。</w:t>
            </w:r>
          </w:p>
        </w:tc>
      </w:tr>
    </w:tbl>
    <w:p w:rsidR="00674F05" w:rsidRDefault="00674F05">
      <w:pPr>
        <w:pStyle w:val="a3"/>
        <w:spacing w:before="0" w:beforeAutospacing="0" w:after="0" w:afterAutospacing="0" w:line="400" w:lineRule="atLeast"/>
        <w:ind w:firstLine="360"/>
        <w:divId w:val="283538835"/>
        <w:rPr>
          <w:rFonts w:ascii="Times New Roman" w:eastAsia="仿宋" w:hAnsi="Times New Roman" w:cs="Times New Roman"/>
          <w:sz w:val="21"/>
          <w:szCs w:val="21"/>
        </w:rPr>
      </w:pPr>
      <w:r>
        <w:rPr>
          <w:rFonts w:cs="Times New Roman" w:hint="eastAsia"/>
          <w:sz w:val="18"/>
          <w:szCs w:val="18"/>
        </w:rPr>
        <w:t>③其他应收款</w:t>
      </w:r>
    </w:p>
    <w:p w:rsidR="00674F05" w:rsidRDefault="00674F05" w:rsidP="00D12436">
      <w:pPr>
        <w:pStyle w:val="a3"/>
        <w:spacing w:before="0" w:beforeAutospacing="0" w:after="0" w:afterAutospacing="0" w:line="400" w:lineRule="atLeast"/>
        <w:ind w:firstLine="360"/>
        <w:jc w:val="both"/>
        <w:divId w:val="283538835"/>
        <w:rPr>
          <w:rFonts w:ascii="Times New Roman" w:eastAsia="仿宋" w:hAnsi="Times New Roman" w:cs="Times New Roman"/>
          <w:sz w:val="21"/>
          <w:szCs w:val="21"/>
        </w:rPr>
      </w:pPr>
      <w:r>
        <w:rPr>
          <w:rFonts w:cs="Times New Roman" w:hint="eastAsia"/>
          <w:sz w:val="18"/>
          <w:szCs w:val="18"/>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W w:w="9072" w:type="dxa"/>
        <w:tblCellMar>
          <w:left w:w="0" w:type="dxa"/>
          <w:right w:w="0" w:type="dxa"/>
        </w:tblCellMar>
        <w:tblLook w:val="04A0" w:firstRow="1" w:lastRow="0" w:firstColumn="1" w:lastColumn="0" w:noHBand="0" w:noVBand="1"/>
      </w:tblPr>
      <w:tblGrid>
        <w:gridCol w:w="2127"/>
        <w:gridCol w:w="6945"/>
      </w:tblGrid>
      <w:tr w:rsidR="00674F05">
        <w:trPr>
          <w:divId w:val="283538835"/>
          <w:trHeight w:val="378"/>
          <w:tblHeader/>
        </w:trPr>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rsidP="00DF089E">
            <w:pPr>
              <w:pStyle w:val="a3"/>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674F05">
        <w:trPr>
          <w:divId w:val="283538835"/>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押金及保证金</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本组合为日常经常活动中应收取的各类押金、代垫款、质保金等应收款项。</w:t>
            </w:r>
          </w:p>
        </w:tc>
      </w:tr>
      <w:tr w:rsidR="00674F05">
        <w:trPr>
          <w:divId w:val="283538835"/>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备用金</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本组合为日常经常活动中支付给员工的备用金</w:t>
            </w:r>
          </w:p>
        </w:tc>
      </w:tr>
      <w:tr w:rsidR="00674F05">
        <w:trPr>
          <w:divId w:val="283538835"/>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往来款</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其他往来款项</w:t>
            </w:r>
          </w:p>
        </w:tc>
      </w:tr>
    </w:tbl>
    <w:p w:rsidR="00B72ACA" w:rsidRDefault="00674F05">
      <w:pPr>
        <w:pStyle w:val="3"/>
        <w:spacing w:line="280" w:lineRule="exact"/>
        <w:jc w:val="left"/>
        <w:rPr>
          <w:rFonts w:ascii="宋体" w:hAnsi="宋体" w:cs="宋体"/>
          <w:b/>
          <w:bCs/>
        </w:rPr>
      </w:pPr>
      <w:bookmarkStart w:id="115" w:name="_Toc989004"/>
      <w:r>
        <w:rPr>
          <w:rFonts w:ascii="宋体" w:hAnsi="宋体" w:cs="宋体"/>
          <w:b/>
          <w:bCs/>
        </w:rPr>
        <w:t>12、应收款项融资</w:t>
      </w:r>
      <w:bookmarkEnd w:id="115"/>
    </w:p>
    <w:p w:rsidR="00674F05" w:rsidRDefault="00674F05" w:rsidP="00D12436">
      <w:pPr>
        <w:pStyle w:val="a3"/>
        <w:spacing w:before="0" w:beforeAutospacing="0" w:after="0" w:afterAutospacing="0" w:line="400" w:lineRule="atLeast"/>
        <w:ind w:firstLine="360"/>
        <w:jc w:val="both"/>
        <w:divId w:val="622346445"/>
        <w:rPr>
          <w:rFonts w:ascii="Times New Roman" w:hAnsi="Times New Roman" w:cs="Times New Roman"/>
          <w:sz w:val="21"/>
          <w:szCs w:val="21"/>
        </w:rPr>
      </w:pPr>
      <w:r>
        <w:rPr>
          <w:rFonts w:cs="Times New Roman" w:hint="eastAsia"/>
          <w:sz w:val="18"/>
          <w:szCs w:val="18"/>
        </w:rPr>
        <w:t>分类为以公允价值计量且其变动计入其他综合收益的应收票据和应收账款，自取得起期限在一年内（含一年）的部分，列示为应收款项融资；自取得起期限在一年以上的，列示为其他债权投资。其相关会计政策参见本附注五、10“金融工具”及附注五、11“金融资产减值”。</w:t>
      </w:r>
    </w:p>
    <w:p w:rsidR="00B72ACA" w:rsidRDefault="00674F05" w:rsidP="00D12436">
      <w:pPr>
        <w:pStyle w:val="3"/>
        <w:spacing w:line="280" w:lineRule="exact"/>
        <w:rPr>
          <w:rFonts w:ascii="宋体" w:hAnsi="宋体" w:cs="宋体"/>
          <w:b/>
          <w:bCs/>
        </w:rPr>
      </w:pPr>
      <w:bookmarkStart w:id="116" w:name="_Toc989005"/>
      <w:r>
        <w:rPr>
          <w:rFonts w:ascii="宋体" w:hAnsi="宋体" w:cs="宋体"/>
          <w:b/>
          <w:bCs/>
        </w:rPr>
        <w:t>13、存货</w:t>
      </w:r>
      <w:bookmarkEnd w:id="116"/>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t>（1）存货的分类</w:t>
      </w:r>
    </w:p>
    <w:p w:rsidR="00674F05" w:rsidRDefault="00674F05" w:rsidP="00D12436">
      <w:pPr>
        <w:pStyle w:val="a3"/>
        <w:spacing w:before="0" w:beforeAutospacing="0" w:after="0" w:afterAutospacing="0" w:line="400" w:lineRule="atLeast"/>
        <w:ind w:firstLine="360"/>
        <w:jc w:val="both"/>
        <w:divId w:val="445929887"/>
        <w:rPr>
          <w:rFonts w:ascii="楷体_GB2312" w:eastAsia="楷体_GB2312"/>
          <w:sz w:val="28"/>
          <w:szCs w:val="28"/>
        </w:rPr>
      </w:pPr>
      <w:r>
        <w:rPr>
          <w:rFonts w:hint="eastAsia"/>
          <w:sz w:val="18"/>
          <w:szCs w:val="18"/>
        </w:rPr>
        <w:t>存货主要包括原材料、在产品、周转材料、库存商品等。</w:t>
      </w:r>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lastRenderedPageBreak/>
        <w:t>（2）存货取得和发出的计价方法</w:t>
      </w:r>
    </w:p>
    <w:p w:rsidR="00674F05" w:rsidRDefault="00674F05" w:rsidP="00D12436">
      <w:pPr>
        <w:pStyle w:val="a3"/>
        <w:spacing w:before="0" w:beforeAutospacing="0" w:after="0" w:afterAutospacing="0" w:line="400" w:lineRule="atLeast"/>
        <w:ind w:firstLine="360"/>
        <w:jc w:val="both"/>
        <w:divId w:val="445929887"/>
        <w:rPr>
          <w:rFonts w:ascii="仿宋_GB2312" w:eastAsia="仿宋_GB2312"/>
        </w:rPr>
      </w:pPr>
      <w:r>
        <w:rPr>
          <w:rFonts w:hint="eastAsia"/>
          <w:sz w:val="18"/>
          <w:szCs w:val="18"/>
        </w:rPr>
        <w:t>存货在取得时按实际成本计价，存货成本包括采购成本、加工成本和其他成本。领用和发出时按加权平均法计价。</w:t>
      </w:r>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t>（3）存货可变现净值的确认和跌价准备的计提方法</w:t>
      </w:r>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t>在资产负债表日，存货按照成本与可变现净值孰低计量。当其可变现净值低于成本时，提取存货跌价准备。存货跌价准备按单个存货项目的成本高于其可变现净值的差额提取。</w:t>
      </w:r>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t>计提存货跌价准备后，如果以前减记存货价值的影响因素已经消失，导致存货的可变现净值高于其账面价值的，在原已计提的存货跌价准备金额内予以转回，转回的金额计入当期损益。</w:t>
      </w:r>
    </w:p>
    <w:p w:rsidR="00674F05" w:rsidRDefault="00674F05" w:rsidP="00D12436">
      <w:pPr>
        <w:pStyle w:val="a3"/>
        <w:spacing w:before="0" w:beforeAutospacing="0" w:after="0" w:afterAutospacing="0" w:line="400" w:lineRule="atLeast"/>
        <w:ind w:firstLine="360"/>
        <w:jc w:val="both"/>
        <w:divId w:val="445929887"/>
        <w:rPr>
          <w:rFonts w:ascii="仿宋_GB2312" w:eastAsia="仿宋_GB2312"/>
          <w:sz w:val="28"/>
          <w:szCs w:val="28"/>
        </w:rPr>
      </w:pPr>
      <w:r>
        <w:rPr>
          <w:rFonts w:hint="eastAsia"/>
          <w:sz w:val="18"/>
          <w:szCs w:val="18"/>
        </w:rPr>
        <w:t>（4）存货的盘存制度为永续盘存制。</w:t>
      </w:r>
    </w:p>
    <w:p w:rsidR="00674F05" w:rsidRDefault="00674F05" w:rsidP="00D12436">
      <w:pPr>
        <w:pStyle w:val="a3"/>
        <w:spacing w:before="0" w:beforeAutospacing="0" w:after="0" w:afterAutospacing="0" w:line="400" w:lineRule="atLeast"/>
        <w:ind w:firstLine="360"/>
        <w:jc w:val="both"/>
        <w:divId w:val="445929887"/>
        <w:rPr>
          <w:rFonts w:ascii="Times New Roman" w:hAnsi="Times New Roman" w:cs="Times New Roman"/>
          <w:sz w:val="21"/>
          <w:szCs w:val="21"/>
        </w:rPr>
      </w:pPr>
      <w:r>
        <w:rPr>
          <w:rFonts w:cs="Times New Roman" w:hint="eastAsia"/>
          <w:sz w:val="18"/>
          <w:szCs w:val="18"/>
        </w:rPr>
        <w:t>（5）低值易耗品和包装物的摊销方法。</w:t>
      </w:r>
    </w:p>
    <w:p w:rsidR="00674F05" w:rsidRDefault="00674F05" w:rsidP="00D12436">
      <w:pPr>
        <w:pStyle w:val="a3"/>
        <w:spacing w:before="0" w:beforeAutospacing="0" w:after="0" w:afterAutospacing="0" w:line="400" w:lineRule="atLeast"/>
        <w:ind w:right="147" w:firstLine="360"/>
        <w:jc w:val="both"/>
        <w:divId w:val="445929887"/>
        <w:rPr>
          <w:rFonts w:ascii="仿宋_GB2312" w:eastAsia="仿宋_GB2312"/>
          <w:sz w:val="28"/>
          <w:szCs w:val="28"/>
        </w:rPr>
      </w:pPr>
      <w:r>
        <w:rPr>
          <w:rFonts w:hint="eastAsia"/>
          <w:sz w:val="18"/>
          <w:szCs w:val="18"/>
        </w:rPr>
        <w:t>低值易耗品于领用时按一次摊销法摊销；包装物于领用时按一次摊销法摊销。</w:t>
      </w:r>
    </w:p>
    <w:p w:rsidR="00B72ACA" w:rsidRDefault="00674F05" w:rsidP="00D12436">
      <w:pPr>
        <w:pStyle w:val="3"/>
        <w:spacing w:line="280" w:lineRule="exact"/>
        <w:rPr>
          <w:rFonts w:ascii="宋体" w:hAnsi="宋体" w:cs="宋体"/>
          <w:b/>
          <w:bCs/>
        </w:rPr>
      </w:pPr>
      <w:bookmarkStart w:id="117" w:name="_Toc989006"/>
      <w:r>
        <w:rPr>
          <w:rFonts w:ascii="宋体" w:hAnsi="宋体" w:cs="宋体"/>
          <w:b/>
          <w:bCs/>
        </w:rPr>
        <w:t>14、合同资产</w:t>
      </w:r>
      <w:bookmarkEnd w:id="117"/>
    </w:p>
    <w:p w:rsidR="00674F05" w:rsidRDefault="00674F05" w:rsidP="00D12436">
      <w:pPr>
        <w:pStyle w:val="a3"/>
        <w:spacing w:before="0" w:beforeAutospacing="0" w:after="0" w:afterAutospacing="0" w:line="400" w:lineRule="atLeast"/>
        <w:ind w:firstLine="360"/>
        <w:jc w:val="both"/>
        <w:divId w:val="1108282818"/>
        <w:rPr>
          <w:rFonts w:ascii="Times New Roman" w:hAnsi="Times New Roman" w:cs="Times New Roman"/>
          <w:sz w:val="21"/>
          <w:szCs w:val="21"/>
        </w:rPr>
      </w:pPr>
      <w:r>
        <w:rPr>
          <w:rFonts w:cs="Times New Roman" w:hint="eastAsia"/>
          <w:sz w:val="18"/>
          <w:szCs w:val="18"/>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rsidR="00674F05" w:rsidRDefault="00674F05" w:rsidP="00D12436">
      <w:pPr>
        <w:pStyle w:val="a3"/>
        <w:spacing w:before="0" w:beforeAutospacing="0" w:after="0" w:afterAutospacing="0" w:line="400" w:lineRule="atLeast"/>
        <w:ind w:firstLine="360"/>
        <w:jc w:val="both"/>
        <w:divId w:val="1108282818"/>
        <w:rPr>
          <w:rFonts w:ascii="Times New Roman" w:hAnsi="Times New Roman" w:cs="Times New Roman"/>
          <w:sz w:val="21"/>
          <w:szCs w:val="21"/>
        </w:rPr>
      </w:pPr>
      <w:r>
        <w:rPr>
          <w:rFonts w:cs="Times New Roman" w:hint="eastAsia"/>
          <w:sz w:val="18"/>
          <w:szCs w:val="18"/>
        </w:rPr>
        <w:t>合同资产预期信用损失的确定方法和会计处理方法参见附注五、11、金融资产减值。</w:t>
      </w:r>
    </w:p>
    <w:p w:rsidR="00B72ACA" w:rsidRDefault="00674F05" w:rsidP="00D12436">
      <w:pPr>
        <w:pStyle w:val="3"/>
        <w:spacing w:line="280" w:lineRule="exact"/>
        <w:rPr>
          <w:rFonts w:ascii="宋体" w:hAnsi="宋体" w:cs="宋体"/>
          <w:b/>
          <w:bCs/>
        </w:rPr>
      </w:pPr>
      <w:bookmarkStart w:id="118" w:name="_Toc989007"/>
      <w:r>
        <w:rPr>
          <w:rFonts w:ascii="宋体" w:hAnsi="宋体" w:cs="宋体"/>
          <w:b/>
          <w:bCs/>
        </w:rPr>
        <w:t>15、合同成本</w:t>
      </w:r>
      <w:bookmarkEnd w:id="118"/>
    </w:p>
    <w:p w:rsidR="00674F05" w:rsidRDefault="00674F05" w:rsidP="00D12436">
      <w:pPr>
        <w:pStyle w:val="a3"/>
        <w:spacing w:before="0" w:beforeAutospacing="0" w:after="0" w:afterAutospacing="0" w:line="400" w:lineRule="atLeast"/>
        <w:ind w:firstLine="360"/>
        <w:jc w:val="both"/>
        <w:divId w:val="1359434158"/>
        <w:rPr>
          <w:rFonts w:ascii="Times New Roman" w:hAnsi="Times New Roman" w:cs="Times New Roman"/>
          <w:sz w:val="21"/>
          <w:szCs w:val="21"/>
        </w:rPr>
      </w:pPr>
      <w:r>
        <w:rPr>
          <w:rFonts w:cs="Times New Roman" w:hint="eastAsia"/>
          <w:sz w:val="18"/>
          <w:szCs w:val="18"/>
        </w:rPr>
        <w:t>本集团为取得合同发生的增量成本预期能够收回的，作为合同取得成本确认为一项资产。但是，如果该资产的摊销期限不超过一年，则在发生时计入当期损益。</w:t>
      </w:r>
    </w:p>
    <w:p w:rsidR="00674F05" w:rsidRDefault="00674F05" w:rsidP="00D12436">
      <w:pPr>
        <w:pStyle w:val="a3"/>
        <w:spacing w:before="0" w:beforeAutospacing="0" w:after="0" w:afterAutospacing="0" w:line="400" w:lineRule="atLeast"/>
        <w:ind w:firstLine="360"/>
        <w:jc w:val="both"/>
        <w:divId w:val="1359434158"/>
        <w:rPr>
          <w:rFonts w:ascii="Times New Roman" w:hAnsi="Times New Roman" w:cs="Times New Roman"/>
          <w:sz w:val="21"/>
          <w:szCs w:val="21"/>
        </w:rPr>
      </w:pPr>
      <w:r>
        <w:rPr>
          <w:rFonts w:cs="Times New Roman" w:hint="eastAsia"/>
          <w:sz w:val="18"/>
          <w:szCs w:val="18"/>
        </w:rPr>
        <w:t>为履行合同发生的成本不属于《企业会计准则第14号——收入（2017年修订）》之外的其他企业会计准则规范范围且同时满足下列条件的，作为合同履约成本确认为一项资产：①该成本与一份当前或预期取得的合同直接相关，包括直接人工、直接材料、制造费用（或类似费用）、明确由客户承担的成本以及仅因该合同而发生的其他成本；②该成本增加了本集团未来用于履行履约义务的资源；③该成本预期能够收回。</w:t>
      </w:r>
    </w:p>
    <w:p w:rsidR="00674F05" w:rsidRDefault="00674F05" w:rsidP="00D12436">
      <w:pPr>
        <w:pStyle w:val="a3"/>
        <w:spacing w:before="0" w:beforeAutospacing="0" w:after="0" w:afterAutospacing="0" w:line="400" w:lineRule="atLeast"/>
        <w:ind w:firstLine="360"/>
        <w:jc w:val="both"/>
        <w:divId w:val="1359434158"/>
        <w:rPr>
          <w:rFonts w:ascii="Times New Roman" w:hAnsi="Times New Roman" w:cs="Times New Roman"/>
          <w:sz w:val="21"/>
          <w:szCs w:val="21"/>
        </w:rPr>
      </w:pPr>
      <w:r>
        <w:rPr>
          <w:rFonts w:cs="Times New Roman" w:hint="eastAsia"/>
          <w:sz w:val="18"/>
          <w:szCs w:val="18"/>
        </w:rPr>
        <w:t>与合同成本有关的资产采用与该资产相关的商品收入确认相同的基础进行摊销，计入当期损益。</w:t>
      </w:r>
    </w:p>
    <w:p w:rsidR="00B72ACA" w:rsidRDefault="00674F05" w:rsidP="00D12436">
      <w:pPr>
        <w:pStyle w:val="3"/>
        <w:spacing w:line="280" w:lineRule="exact"/>
        <w:rPr>
          <w:rFonts w:ascii="宋体" w:hAnsi="宋体" w:cs="宋体"/>
          <w:b/>
          <w:bCs/>
        </w:rPr>
      </w:pPr>
      <w:bookmarkStart w:id="119" w:name="_Toc989008"/>
      <w:r>
        <w:rPr>
          <w:rFonts w:ascii="宋体" w:hAnsi="宋体" w:cs="宋体"/>
          <w:b/>
          <w:bCs/>
        </w:rPr>
        <w:t>16、长期股权投资</w:t>
      </w:r>
      <w:bookmarkEnd w:id="119"/>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附注五、10“金融工具”。</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lastRenderedPageBreak/>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（1）投资成本的确定</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w:t>
      </w:r>
      <w:proofErr w:type="gramStart"/>
      <w:r>
        <w:rPr>
          <w:rFonts w:cs="Times New Roman" w:hint="eastAsia"/>
          <w:sz w:val="18"/>
          <w:szCs w:val="18"/>
        </w:rPr>
        <w:t>性证券</w:t>
      </w:r>
      <w:proofErr w:type="gramEnd"/>
      <w:r>
        <w:rPr>
          <w:rFonts w:cs="Times New Roman" w:hint="eastAsia"/>
          <w:sz w:val="18"/>
          <w:szCs w:val="18"/>
        </w:rPr>
        <w:t>作为合并对价的，在</w:t>
      </w:r>
      <w:proofErr w:type="gramStart"/>
      <w:r>
        <w:rPr>
          <w:rFonts w:cs="Times New Roman" w:hint="eastAsia"/>
          <w:sz w:val="18"/>
          <w:szCs w:val="18"/>
        </w:rPr>
        <w:t>合并日按照</w:t>
      </w:r>
      <w:proofErr w:type="gramEnd"/>
      <w:r>
        <w:rPr>
          <w:rFonts w:cs="Times New Roman" w:hint="eastAsia"/>
          <w:sz w:val="18"/>
          <w:szCs w:val="18"/>
        </w:rPr>
        <w:t>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Pr>
          <w:rFonts w:cs="Times New Roman" w:hint="eastAsia"/>
          <w:sz w:val="18"/>
          <w:szCs w:val="18"/>
        </w:rPr>
        <w:t>积不足</w:t>
      </w:r>
      <w:proofErr w:type="gramEnd"/>
      <w:r>
        <w:rPr>
          <w:rFonts w:cs="Times New Roman" w:hint="eastAsia"/>
          <w:sz w:val="18"/>
          <w:szCs w:val="18"/>
        </w:rPr>
        <w:t>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对于非同</w:t>
      </w:r>
      <w:proofErr w:type="gramStart"/>
      <w:r>
        <w:rPr>
          <w:rFonts w:cs="Times New Roman" w:hint="eastAsia"/>
          <w:sz w:val="18"/>
          <w:szCs w:val="18"/>
        </w:rPr>
        <w:t>一控制</w:t>
      </w:r>
      <w:proofErr w:type="gramEnd"/>
      <w:r>
        <w:rPr>
          <w:rFonts w:cs="Times New Roman" w:hint="eastAsia"/>
          <w:sz w:val="18"/>
          <w:szCs w:val="18"/>
        </w:rPr>
        <w:t>下的企业合并取得的长期股权投资，在购买</w:t>
      </w:r>
      <w:proofErr w:type="gramStart"/>
      <w:r>
        <w:rPr>
          <w:rFonts w:cs="Times New Roman" w:hint="eastAsia"/>
          <w:sz w:val="18"/>
          <w:szCs w:val="18"/>
        </w:rPr>
        <w:t>日按照</w:t>
      </w:r>
      <w:proofErr w:type="gramEnd"/>
      <w:r>
        <w:rPr>
          <w:rFonts w:cs="Times New Roman" w:hint="eastAsia"/>
          <w:sz w:val="18"/>
          <w:szCs w:val="18"/>
        </w:rPr>
        <w:t>合并成本作为长期股权投资的初始投资成本，合并成本包括购买方付出的资产、发生或承担的负债、发行的权益</w:t>
      </w:r>
      <w:proofErr w:type="gramStart"/>
      <w:r>
        <w:rPr>
          <w:rFonts w:cs="Times New Roman" w:hint="eastAsia"/>
          <w:sz w:val="18"/>
          <w:szCs w:val="18"/>
        </w:rPr>
        <w:t>性证券</w:t>
      </w:r>
      <w:proofErr w:type="gramEnd"/>
      <w:r>
        <w:rPr>
          <w:rFonts w:cs="Times New Roman" w:hint="eastAsia"/>
          <w:sz w:val="18"/>
          <w:szCs w:val="18"/>
        </w:rPr>
        <w:t>的公允价值之</w:t>
      </w:r>
      <w:proofErr w:type="gramStart"/>
      <w:r>
        <w:rPr>
          <w:rFonts w:cs="Times New Roman" w:hint="eastAsia"/>
          <w:sz w:val="18"/>
          <w:szCs w:val="18"/>
        </w:rPr>
        <w:t>和</w:t>
      </w:r>
      <w:proofErr w:type="gramEnd"/>
      <w:r>
        <w:rPr>
          <w:rFonts w:cs="Times New Roman" w:hint="eastAsia"/>
          <w:sz w:val="18"/>
          <w:szCs w:val="18"/>
        </w:rPr>
        <w:t>。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合并方或购买方为企业合并发生的审计、法律服务、评估咨询等中介费用以及其他相关管理费用，于发生时计入当期损益。</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除企业合并形成的长期股权投资外的其他股权投资，按成本进行初始计量，</w:t>
      </w:r>
      <w:proofErr w:type="gramStart"/>
      <w:r>
        <w:rPr>
          <w:rFonts w:cs="Times New Roman" w:hint="eastAsia"/>
          <w:sz w:val="18"/>
          <w:szCs w:val="18"/>
        </w:rPr>
        <w:t>该成本视长期</w:t>
      </w:r>
      <w:proofErr w:type="gramEnd"/>
      <w:r>
        <w:rPr>
          <w:rFonts w:cs="Times New Roman" w:hint="eastAsia"/>
          <w:sz w:val="18"/>
          <w:szCs w:val="18"/>
        </w:rPr>
        <w:t>股权投资取得方式的不同，分别按照本公司实际支付的现金购买价款、本公司发行的权益</w:t>
      </w:r>
      <w:proofErr w:type="gramStart"/>
      <w:r>
        <w:rPr>
          <w:rFonts w:cs="Times New Roman" w:hint="eastAsia"/>
          <w:sz w:val="18"/>
          <w:szCs w:val="18"/>
        </w:rPr>
        <w:t>性证券</w:t>
      </w:r>
      <w:proofErr w:type="gramEnd"/>
      <w:r>
        <w:rPr>
          <w:rFonts w:cs="Times New Roman" w:hint="eastAsia"/>
          <w:sz w:val="18"/>
          <w:szCs w:val="18"/>
        </w:rPr>
        <w:t>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22号——金融工具确认和计量》确定的原持有股权投资的公允价值加上新增投资成本之和。</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（2）后续计量及损益确认方法</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①成本法核算的长期股权投资</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lastRenderedPageBreak/>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②权益法核算的长期股权投资</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20号——企业合并》的规定进行会计处理，全额确认与交易相关的利得或损失。</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在确认应分担被投资单位发生的净亏损时，以长期股权投资的账面价值和其他实质上构成对被投资单位净投资的长期权益</w:t>
      </w:r>
      <w:proofErr w:type="gramStart"/>
      <w:r>
        <w:rPr>
          <w:rFonts w:cs="Times New Roman" w:hint="eastAsia"/>
          <w:sz w:val="18"/>
          <w:szCs w:val="18"/>
        </w:rPr>
        <w:t>减记至</w:t>
      </w:r>
      <w:proofErr w:type="gramEnd"/>
      <w:r>
        <w:rPr>
          <w:rFonts w:cs="Times New Roman" w:hint="eastAsia"/>
          <w:sz w:val="18"/>
          <w:szCs w:val="18"/>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③收购少数股权</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④处置长期股权投资</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6、（2）“合并财务报表编制的方法”中所述的相关会计政策处理。</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其他情形下的长期股权投资处置，对于处置的股权，其账面价值与实际取得价款的差额，计入当期损益。</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lastRenderedPageBreak/>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w:t>
      </w:r>
      <w:proofErr w:type="gramStart"/>
      <w:r>
        <w:rPr>
          <w:rFonts w:cs="Times New Roman" w:hint="eastAsia"/>
          <w:sz w:val="18"/>
          <w:szCs w:val="18"/>
        </w:rPr>
        <w:t>变动按</w:t>
      </w:r>
      <w:proofErr w:type="gramEnd"/>
      <w:r>
        <w:rPr>
          <w:rFonts w:cs="Times New Roman" w:hint="eastAsia"/>
          <w:sz w:val="18"/>
          <w:szCs w:val="18"/>
        </w:rPr>
        <w:t>比例结转当期损益。</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674F05" w:rsidRDefault="00674F05" w:rsidP="00D12436">
      <w:pPr>
        <w:pStyle w:val="a3"/>
        <w:spacing w:before="0" w:beforeAutospacing="0" w:after="0" w:afterAutospacing="0" w:line="400" w:lineRule="atLeast"/>
        <w:ind w:firstLine="360"/>
        <w:jc w:val="both"/>
        <w:divId w:val="714355568"/>
        <w:rPr>
          <w:rFonts w:ascii="Times New Roman" w:hAnsi="Times New Roman" w:cs="Times New Roman"/>
          <w:sz w:val="21"/>
          <w:szCs w:val="21"/>
        </w:rPr>
      </w:pPr>
      <w:r>
        <w:rPr>
          <w:rFonts w:cs="Times New Roman" w:hint="eastAsia"/>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B72ACA" w:rsidRDefault="00674F05" w:rsidP="00D12436">
      <w:pPr>
        <w:pStyle w:val="3"/>
        <w:spacing w:line="280" w:lineRule="exact"/>
        <w:rPr>
          <w:rFonts w:ascii="宋体" w:hAnsi="宋体" w:cs="宋体"/>
          <w:b/>
          <w:bCs/>
        </w:rPr>
      </w:pPr>
      <w:bookmarkStart w:id="120" w:name="_Toc989009"/>
      <w:r>
        <w:rPr>
          <w:rFonts w:ascii="宋体" w:hAnsi="宋体" w:cs="宋体"/>
          <w:b/>
          <w:bCs/>
        </w:rPr>
        <w:t>17、投资性房地产</w:t>
      </w:r>
      <w:bookmarkEnd w:id="120"/>
    </w:p>
    <w:p w:rsidR="00164B18" w:rsidRDefault="00164B18" w:rsidP="00164B18">
      <w:pPr>
        <w:spacing w:before="40" w:after="40" w:line="240" w:lineRule="exact"/>
        <w:jc w:val="both"/>
        <w:divId w:val="1811744688"/>
        <w:rPr>
          <w:rFonts w:ascii="宋体" w:eastAsia="宋体" w:hAnsi="宋体" w:cs="宋体"/>
          <w:sz w:val="18"/>
          <w:szCs w:val="18"/>
        </w:rPr>
      </w:pPr>
      <w:r>
        <w:rPr>
          <w:rFonts w:ascii="宋体" w:eastAsia="宋体" w:hAnsi="宋体" w:cs="宋体"/>
          <w:sz w:val="18"/>
          <w:szCs w:val="18"/>
        </w:rPr>
        <w:t>投资性房地产计量模式</w:t>
      </w:r>
    </w:p>
    <w:p w:rsidR="00164B18" w:rsidRDefault="00164B18" w:rsidP="00164B18">
      <w:pPr>
        <w:spacing w:line="240" w:lineRule="exact"/>
        <w:jc w:val="both"/>
        <w:divId w:val="1811744688"/>
        <w:rPr>
          <w:rFonts w:ascii="宋体" w:eastAsia="宋体" w:hAnsi="宋体" w:cs="宋体"/>
          <w:sz w:val="18"/>
          <w:szCs w:val="18"/>
        </w:rPr>
      </w:pPr>
      <w:r>
        <w:rPr>
          <w:rFonts w:ascii="宋体" w:eastAsia="宋体" w:hAnsi="宋体" w:cs="宋体"/>
          <w:sz w:val="18"/>
          <w:szCs w:val="18"/>
        </w:rPr>
        <w:t>成本法计量</w:t>
      </w:r>
    </w:p>
    <w:p w:rsidR="00164B18" w:rsidRDefault="00164B18" w:rsidP="00164B18">
      <w:pPr>
        <w:spacing w:before="100" w:after="100" w:line="240" w:lineRule="exact"/>
        <w:jc w:val="both"/>
        <w:divId w:val="1811744688"/>
        <w:rPr>
          <w:rFonts w:ascii="宋体" w:eastAsia="宋体" w:hAnsi="宋体" w:cs="宋体"/>
          <w:sz w:val="18"/>
          <w:szCs w:val="18"/>
        </w:rPr>
      </w:pPr>
      <w:r>
        <w:rPr>
          <w:rFonts w:ascii="宋体" w:eastAsia="宋体" w:hAnsi="宋体" w:cs="宋体"/>
          <w:sz w:val="18"/>
          <w:szCs w:val="18"/>
        </w:rPr>
        <w:t>折旧或摊</w:t>
      </w:r>
      <w:r>
        <w:rPr>
          <w:rFonts w:ascii="宋体" w:eastAsia="宋体" w:hAnsi="宋体" w:cs="宋体" w:hint="eastAsia"/>
          <w:sz w:val="18"/>
          <w:szCs w:val="18"/>
        </w:rPr>
        <w:t>销方法</w:t>
      </w:r>
    </w:p>
    <w:p w:rsidR="00674F05" w:rsidRDefault="00674F05" w:rsidP="00D12436">
      <w:pPr>
        <w:pStyle w:val="a3"/>
        <w:spacing w:before="0" w:beforeAutospacing="0" w:after="0" w:afterAutospacing="0" w:line="400" w:lineRule="atLeast"/>
        <w:ind w:firstLine="360"/>
        <w:jc w:val="both"/>
        <w:divId w:val="1811744688"/>
        <w:rPr>
          <w:rFonts w:ascii="Times New Roman" w:hAnsi="Times New Roman" w:cs="Times New Roman"/>
          <w:sz w:val="21"/>
          <w:szCs w:val="21"/>
        </w:rPr>
      </w:pPr>
      <w:r>
        <w:rPr>
          <w:rFonts w:cs="Times New Roman" w:hint="eastAsia"/>
          <w:sz w:val="18"/>
          <w:szCs w:val="18"/>
        </w:rPr>
        <w:t>投资性房地产是指为赚取租金或资本增值，或两者兼有而持有的房地产。包括已出租的土地使用权、持有并</w:t>
      </w:r>
      <w:proofErr w:type="gramStart"/>
      <w:r>
        <w:rPr>
          <w:rFonts w:cs="Times New Roman" w:hint="eastAsia"/>
          <w:sz w:val="18"/>
          <w:szCs w:val="18"/>
        </w:rPr>
        <w:t>准备增值</w:t>
      </w:r>
      <w:proofErr w:type="gramEnd"/>
      <w:r>
        <w:rPr>
          <w:rFonts w:cs="Times New Roman" w:hint="eastAsia"/>
          <w:sz w:val="18"/>
          <w:szCs w:val="18"/>
        </w:rPr>
        <w:t>后转让的土地使用权、已出租的建筑物等。此外，对于本公司持有以备经营出租的空置建筑物，若董事会（或类似机构）作出书面决议，明确表示将其用于经营出租且持有意图短期内不再发生变化的，也作为投资性房地产列报。</w:t>
      </w:r>
    </w:p>
    <w:p w:rsidR="00674F05" w:rsidRDefault="00674F05" w:rsidP="00D12436">
      <w:pPr>
        <w:pStyle w:val="a3"/>
        <w:spacing w:before="0" w:beforeAutospacing="0" w:after="0" w:afterAutospacing="0" w:line="400" w:lineRule="atLeast"/>
        <w:ind w:firstLine="360"/>
        <w:jc w:val="both"/>
        <w:divId w:val="1811744688"/>
        <w:rPr>
          <w:rFonts w:ascii="Times New Roman" w:hAnsi="Times New Roman" w:cs="Times New Roman"/>
          <w:sz w:val="21"/>
          <w:szCs w:val="21"/>
        </w:rPr>
      </w:pPr>
      <w:r>
        <w:rPr>
          <w:rFonts w:cs="Times New Roman" w:hint="eastAsia"/>
          <w:sz w:val="18"/>
          <w:szCs w:val="18"/>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674F05" w:rsidRDefault="00674F05" w:rsidP="00D12436">
      <w:pPr>
        <w:pStyle w:val="a3"/>
        <w:spacing w:before="0" w:beforeAutospacing="0" w:after="0" w:afterAutospacing="0" w:line="400" w:lineRule="atLeast"/>
        <w:ind w:firstLine="360"/>
        <w:jc w:val="both"/>
        <w:divId w:val="1811744688"/>
        <w:rPr>
          <w:rFonts w:ascii="Times New Roman" w:hAnsi="Times New Roman" w:cs="Times New Roman"/>
          <w:sz w:val="21"/>
          <w:szCs w:val="21"/>
        </w:rPr>
      </w:pPr>
      <w:r>
        <w:rPr>
          <w:rFonts w:cs="Times New Roman" w:hint="eastAsia"/>
          <w:sz w:val="18"/>
          <w:szCs w:val="18"/>
        </w:rPr>
        <w:lastRenderedPageBreak/>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B72ACA" w:rsidRDefault="00674F05">
      <w:pPr>
        <w:pStyle w:val="3"/>
        <w:spacing w:line="280" w:lineRule="exact"/>
        <w:jc w:val="left"/>
        <w:rPr>
          <w:rFonts w:ascii="宋体" w:hAnsi="宋体" w:cs="宋体"/>
          <w:b/>
          <w:bCs/>
        </w:rPr>
      </w:pPr>
      <w:bookmarkStart w:id="121" w:name="_Toc989010"/>
      <w:r>
        <w:rPr>
          <w:rFonts w:ascii="宋体" w:hAnsi="宋体" w:cs="宋体"/>
          <w:b/>
          <w:bCs/>
        </w:rPr>
        <w:t>18、固定资产</w:t>
      </w:r>
      <w:bookmarkEnd w:id="121"/>
    </w:p>
    <w:p w:rsidR="00B72ACA" w:rsidRDefault="00674F05">
      <w:pPr>
        <w:keepNext/>
        <w:keepLines/>
        <w:spacing w:before="300" w:after="300" w:line="280" w:lineRule="exact"/>
        <w:outlineLvl w:val="3"/>
        <w:rPr>
          <w:rFonts w:ascii="宋体" w:eastAsia="宋体" w:hAnsi="宋体" w:cs="宋体"/>
          <w:b/>
          <w:bCs/>
          <w:szCs w:val="21"/>
        </w:rPr>
      </w:pPr>
      <w:bookmarkStart w:id="122" w:name="_Toc989011"/>
      <w:r>
        <w:rPr>
          <w:rFonts w:ascii="宋体" w:eastAsia="宋体" w:hAnsi="宋体" w:cs="宋体"/>
          <w:b/>
          <w:bCs/>
          <w:szCs w:val="21"/>
        </w:rPr>
        <w:t>（1） 确认条件</w:t>
      </w:r>
      <w:bookmarkEnd w:id="122"/>
    </w:p>
    <w:p w:rsidR="00674F05" w:rsidRDefault="00674F05" w:rsidP="00232214">
      <w:pPr>
        <w:pStyle w:val="a3"/>
        <w:spacing w:line="240" w:lineRule="atLeast"/>
        <w:ind w:firstLineChars="200" w:firstLine="360"/>
        <w:divId w:val="1805155979"/>
        <w:rPr>
          <w:sz w:val="18"/>
          <w:szCs w:val="18"/>
        </w:rPr>
      </w:pPr>
      <w:r>
        <w:rPr>
          <w:rFonts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B72ACA" w:rsidRDefault="00674F05">
      <w:pPr>
        <w:keepNext/>
        <w:keepLines/>
        <w:spacing w:before="300" w:after="300" w:line="280" w:lineRule="exact"/>
        <w:outlineLvl w:val="3"/>
        <w:rPr>
          <w:rFonts w:ascii="宋体" w:eastAsia="宋体" w:hAnsi="宋体" w:cs="宋体"/>
          <w:b/>
          <w:bCs/>
          <w:szCs w:val="21"/>
        </w:rPr>
      </w:pPr>
      <w:bookmarkStart w:id="123" w:name="_Toc989012"/>
      <w:r>
        <w:rPr>
          <w:rFonts w:ascii="宋体" w:eastAsia="宋体" w:hAnsi="宋体" w:cs="宋体"/>
          <w:b/>
          <w:bCs/>
          <w:szCs w:val="21"/>
        </w:rPr>
        <w:t>（2） 折旧方法</w:t>
      </w:r>
      <w:bookmarkEnd w:id="12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rsidTr="00D12436">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B72ACA" w:rsidTr="00D12436">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20-30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4.85-3.23</w:t>
            </w:r>
          </w:p>
        </w:tc>
      </w:tr>
      <w:tr w:rsidR="00B72ACA" w:rsidTr="00D12436">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10-12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9.70-8.08</w:t>
            </w:r>
          </w:p>
        </w:tc>
      </w:tr>
      <w:tr w:rsidR="00B72ACA" w:rsidTr="00D12436">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5-8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19.4-12.13</w:t>
            </w:r>
          </w:p>
        </w:tc>
      </w:tr>
      <w:tr w:rsidR="00B72ACA" w:rsidTr="00D12436">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D12436">
            <w:pPr>
              <w:spacing w:line="240" w:lineRule="exact"/>
              <w:jc w:val="center"/>
              <w:rPr>
                <w:rFonts w:ascii="宋体" w:eastAsia="宋体" w:hAnsi="宋体" w:cs="宋体"/>
                <w:sz w:val="18"/>
                <w:szCs w:val="18"/>
              </w:rPr>
            </w:pPr>
            <w:r>
              <w:rPr>
                <w:rFonts w:ascii="宋体" w:eastAsia="宋体" w:hAnsi="宋体" w:cs="宋体"/>
                <w:sz w:val="18"/>
                <w:szCs w:val="18"/>
              </w:rPr>
              <w:t>19.40</w:t>
            </w:r>
          </w:p>
        </w:tc>
      </w:tr>
    </w:tbl>
    <w:p w:rsidR="00674F05" w:rsidRPr="00D12436" w:rsidRDefault="00674F05" w:rsidP="00D12436">
      <w:pPr>
        <w:pStyle w:val="a3"/>
        <w:spacing w:before="0" w:beforeAutospacing="0" w:after="0" w:afterAutospacing="0" w:line="400" w:lineRule="atLeast"/>
        <w:ind w:firstLine="360"/>
        <w:jc w:val="both"/>
        <w:divId w:val="1320771501"/>
        <w:rPr>
          <w:rFonts w:cs="Times New Roman"/>
          <w:sz w:val="18"/>
          <w:szCs w:val="18"/>
        </w:rPr>
      </w:pPr>
      <w:r w:rsidRPr="00D12436">
        <w:rPr>
          <w:rFonts w:cs="Times New Roman" w:hint="eastAsia"/>
          <w:sz w:val="18"/>
          <w:szCs w:val="18"/>
        </w:rPr>
        <w:t>A.固定资产从达到预定可使用状态的次月起，采用年限平均法在使用寿命内计提折旧。</w:t>
      </w:r>
    </w:p>
    <w:p w:rsidR="00674F05" w:rsidRPr="00D12436" w:rsidRDefault="00674F05" w:rsidP="00D12436">
      <w:pPr>
        <w:pStyle w:val="a3"/>
        <w:spacing w:before="0" w:beforeAutospacing="0" w:after="0" w:afterAutospacing="0" w:line="400" w:lineRule="atLeast"/>
        <w:ind w:firstLine="360"/>
        <w:jc w:val="both"/>
        <w:divId w:val="1320771501"/>
        <w:rPr>
          <w:rFonts w:cs="Times New Roman"/>
          <w:sz w:val="18"/>
          <w:szCs w:val="18"/>
        </w:rPr>
      </w:pPr>
      <w:r>
        <w:rPr>
          <w:rFonts w:cs="Times New Roman" w:hint="eastAsia"/>
          <w:sz w:val="18"/>
          <w:szCs w:val="18"/>
        </w:rPr>
        <w:t>B.预计净残值是指假定固定资产预计使用寿命已满并处于使用寿命终了时的预期状态，本公司目前从该项资产处置中获得的扣除预计处置费用后的金额。</w:t>
      </w:r>
    </w:p>
    <w:p w:rsidR="00674F05" w:rsidRDefault="00674F05" w:rsidP="00D12436">
      <w:pPr>
        <w:pStyle w:val="a3"/>
        <w:spacing w:before="0" w:beforeAutospacing="0" w:after="0" w:afterAutospacing="0" w:line="400" w:lineRule="atLeast"/>
        <w:ind w:firstLine="360"/>
        <w:jc w:val="both"/>
        <w:divId w:val="1320771501"/>
        <w:rPr>
          <w:rFonts w:ascii="Times New Roman" w:hAnsi="Times New Roman" w:cs="Times New Roman"/>
          <w:sz w:val="21"/>
          <w:szCs w:val="21"/>
        </w:rPr>
      </w:pPr>
      <w:r>
        <w:rPr>
          <w:rFonts w:cs="Times New Roman" w:hint="eastAsia"/>
          <w:sz w:val="18"/>
          <w:szCs w:val="18"/>
        </w:rPr>
        <w:t>C.固定资产的减值测试方法及减值准备计提方法：</w:t>
      </w:r>
    </w:p>
    <w:p w:rsidR="00674F05" w:rsidRDefault="00674F05" w:rsidP="00D12436">
      <w:pPr>
        <w:pStyle w:val="a3"/>
        <w:spacing w:before="0" w:beforeAutospacing="0" w:after="0" w:afterAutospacing="0" w:line="400" w:lineRule="atLeast"/>
        <w:ind w:firstLine="360"/>
        <w:jc w:val="both"/>
        <w:divId w:val="1320771501"/>
        <w:rPr>
          <w:rFonts w:ascii="Times New Roman" w:hAnsi="Times New Roman" w:cs="Times New Roman"/>
          <w:sz w:val="21"/>
          <w:szCs w:val="21"/>
        </w:rPr>
      </w:pPr>
      <w:r>
        <w:rPr>
          <w:rFonts w:cs="Times New Roman" w:hint="eastAsia"/>
          <w:sz w:val="18"/>
          <w:szCs w:val="18"/>
        </w:rPr>
        <w:t>固定资产的减值测试方法和减值准备计提方法详见附注五、22“长期资产减值”。</w:t>
      </w:r>
    </w:p>
    <w:p w:rsidR="00674F05" w:rsidRDefault="00674F05" w:rsidP="00D12436">
      <w:pPr>
        <w:pStyle w:val="a3"/>
        <w:spacing w:before="0" w:beforeAutospacing="0" w:after="0" w:afterAutospacing="0" w:line="400" w:lineRule="atLeast"/>
        <w:ind w:firstLine="360"/>
        <w:jc w:val="both"/>
        <w:divId w:val="1320771501"/>
        <w:rPr>
          <w:rFonts w:ascii="Times New Roman" w:hAnsi="Times New Roman" w:cs="Times New Roman"/>
          <w:sz w:val="21"/>
          <w:szCs w:val="21"/>
        </w:rPr>
      </w:pPr>
      <w:r>
        <w:rPr>
          <w:rFonts w:cs="Times New Roman" w:hint="eastAsia"/>
          <w:sz w:val="18"/>
          <w:szCs w:val="18"/>
        </w:rPr>
        <w:t>D.其他说明：</w:t>
      </w:r>
    </w:p>
    <w:p w:rsidR="00674F05" w:rsidRDefault="00674F05" w:rsidP="00D12436">
      <w:pPr>
        <w:pStyle w:val="a3"/>
        <w:spacing w:before="0" w:beforeAutospacing="0" w:after="0" w:afterAutospacing="0" w:line="400" w:lineRule="atLeast"/>
        <w:ind w:firstLine="360"/>
        <w:jc w:val="both"/>
        <w:divId w:val="1320771501"/>
        <w:rPr>
          <w:rFonts w:ascii="Times New Roman" w:hAnsi="Times New Roman" w:cs="Times New Roman"/>
          <w:sz w:val="21"/>
          <w:szCs w:val="21"/>
        </w:rPr>
      </w:pPr>
      <w:r>
        <w:rPr>
          <w:rFonts w:cs="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674F05" w:rsidRDefault="00674F05" w:rsidP="00D12436">
      <w:pPr>
        <w:pStyle w:val="a3"/>
        <w:spacing w:before="0" w:beforeAutospacing="0" w:after="0" w:afterAutospacing="0" w:line="400" w:lineRule="atLeast"/>
        <w:ind w:firstLine="360"/>
        <w:jc w:val="both"/>
        <w:divId w:val="1320771501"/>
        <w:rPr>
          <w:rFonts w:ascii="Times New Roman" w:hAnsi="Times New Roman" w:cs="Times New Roman"/>
          <w:sz w:val="21"/>
          <w:szCs w:val="21"/>
        </w:rPr>
      </w:pPr>
      <w:r>
        <w:rPr>
          <w:rFonts w:cs="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674F05" w:rsidRDefault="00674F05" w:rsidP="00D12436">
      <w:pPr>
        <w:pStyle w:val="a3"/>
        <w:spacing w:before="0" w:beforeAutospacing="0" w:after="0" w:afterAutospacing="0" w:line="400" w:lineRule="atLeast"/>
        <w:ind w:firstLine="360"/>
        <w:jc w:val="both"/>
        <w:divId w:val="1320771501"/>
        <w:rPr>
          <w:rFonts w:ascii="Times New Roman" w:hAnsi="Times New Roman" w:cs="Times New Roman"/>
          <w:sz w:val="21"/>
          <w:szCs w:val="21"/>
        </w:rPr>
      </w:pPr>
      <w:r>
        <w:rPr>
          <w:rFonts w:cs="Times New Roman" w:hint="eastAsia"/>
          <w:sz w:val="18"/>
          <w:szCs w:val="18"/>
        </w:rPr>
        <w:t>本公司至少于年度终了对固定资产的使用寿命、预计净残值和折旧方法进行复核，如发生改变则作为会计估计变更处理。</w:t>
      </w:r>
    </w:p>
    <w:p w:rsidR="00B72ACA" w:rsidRDefault="00674F05">
      <w:pPr>
        <w:pStyle w:val="3"/>
        <w:spacing w:line="280" w:lineRule="exact"/>
        <w:jc w:val="left"/>
        <w:rPr>
          <w:rFonts w:ascii="宋体" w:hAnsi="宋体" w:cs="宋体"/>
          <w:b/>
          <w:bCs/>
        </w:rPr>
      </w:pPr>
      <w:bookmarkStart w:id="124" w:name="_Toc989013"/>
      <w:r>
        <w:rPr>
          <w:rFonts w:ascii="宋体" w:hAnsi="宋体" w:cs="宋体"/>
          <w:b/>
          <w:bCs/>
        </w:rPr>
        <w:t>19、在建工程</w:t>
      </w:r>
      <w:bookmarkEnd w:id="124"/>
    </w:p>
    <w:p w:rsidR="00674F05" w:rsidRDefault="00674F05">
      <w:pPr>
        <w:pStyle w:val="a3"/>
        <w:spacing w:before="0" w:beforeAutospacing="0" w:after="0" w:afterAutospacing="0" w:line="400" w:lineRule="atLeast"/>
        <w:ind w:firstLine="360"/>
        <w:divId w:val="1462309941"/>
        <w:rPr>
          <w:rFonts w:ascii="Times New Roman" w:hAnsi="Times New Roman" w:cs="Times New Roman"/>
          <w:sz w:val="21"/>
          <w:szCs w:val="21"/>
        </w:rPr>
      </w:pPr>
      <w:r>
        <w:rPr>
          <w:rFonts w:cs="Times New Roman" w:hint="eastAsia"/>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rsidR="00674F05" w:rsidRDefault="00674F05">
      <w:pPr>
        <w:widowControl/>
        <w:numPr>
          <w:ilvl w:val="0"/>
          <w:numId w:val="1"/>
        </w:numPr>
        <w:spacing w:before="100" w:beforeAutospacing="1" w:after="100" w:afterAutospacing="1"/>
        <w:divId w:val="1462309941"/>
        <w:rPr>
          <w:rFonts w:ascii="宋体" w:hAnsi="宋体" w:cs="宋体"/>
          <w:sz w:val="18"/>
          <w:szCs w:val="18"/>
        </w:rPr>
      </w:pPr>
      <w:r>
        <w:rPr>
          <w:rFonts w:hint="eastAsia"/>
          <w:sz w:val="18"/>
          <w:szCs w:val="18"/>
        </w:rPr>
        <w:t>在建工程的减值测试方法和减值准备计提方法详见附注五、</w:t>
      </w:r>
      <w:r>
        <w:rPr>
          <w:rFonts w:hint="eastAsia"/>
          <w:sz w:val="18"/>
          <w:szCs w:val="18"/>
        </w:rPr>
        <w:t>22</w:t>
      </w:r>
      <w:r>
        <w:rPr>
          <w:rFonts w:hint="eastAsia"/>
          <w:sz w:val="18"/>
          <w:szCs w:val="18"/>
        </w:rPr>
        <w:t>“长期资产减值”。</w:t>
      </w:r>
    </w:p>
    <w:p w:rsidR="00B72ACA" w:rsidRDefault="00674F05">
      <w:pPr>
        <w:pStyle w:val="3"/>
        <w:spacing w:line="280" w:lineRule="exact"/>
        <w:jc w:val="left"/>
        <w:rPr>
          <w:rFonts w:ascii="宋体" w:hAnsi="宋体" w:cs="宋体"/>
          <w:b/>
          <w:bCs/>
        </w:rPr>
      </w:pPr>
      <w:bookmarkStart w:id="125" w:name="_Toc989014"/>
      <w:r>
        <w:rPr>
          <w:rFonts w:ascii="宋体" w:hAnsi="宋体" w:cs="宋体"/>
          <w:b/>
          <w:bCs/>
        </w:rPr>
        <w:lastRenderedPageBreak/>
        <w:t>20、借款费用</w:t>
      </w:r>
      <w:bookmarkEnd w:id="125"/>
    </w:p>
    <w:p w:rsidR="00674F05" w:rsidRDefault="00674F05" w:rsidP="00D12436">
      <w:pPr>
        <w:pStyle w:val="a3"/>
        <w:spacing w:before="0" w:beforeAutospacing="0" w:after="0" w:afterAutospacing="0" w:line="400" w:lineRule="atLeast"/>
        <w:ind w:firstLine="360"/>
        <w:jc w:val="both"/>
        <w:divId w:val="988562117"/>
        <w:rPr>
          <w:rFonts w:ascii="Times New Roman" w:hAnsi="Times New Roman" w:cs="Times New Roman"/>
          <w:sz w:val="21"/>
          <w:szCs w:val="21"/>
        </w:rPr>
      </w:pPr>
      <w:r>
        <w:rPr>
          <w:rFonts w:cs="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674F05" w:rsidRDefault="00674F05" w:rsidP="00D12436">
      <w:pPr>
        <w:pStyle w:val="a3"/>
        <w:spacing w:before="0" w:beforeAutospacing="0" w:after="0" w:afterAutospacing="0" w:line="400" w:lineRule="atLeast"/>
        <w:ind w:firstLine="360"/>
        <w:jc w:val="both"/>
        <w:divId w:val="988562117"/>
        <w:rPr>
          <w:rFonts w:ascii="Times New Roman" w:hAnsi="Times New Roman" w:cs="Times New Roman"/>
          <w:sz w:val="21"/>
          <w:szCs w:val="21"/>
        </w:rPr>
      </w:pPr>
      <w:r>
        <w:rPr>
          <w:rFonts w:cs="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674F05" w:rsidRDefault="00674F05" w:rsidP="00D12436">
      <w:pPr>
        <w:pStyle w:val="a3"/>
        <w:spacing w:before="0" w:beforeAutospacing="0" w:after="0" w:afterAutospacing="0" w:line="400" w:lineRule="atLeast"/>
        <w:ind w:firstLine="360"/>
        <w:jc w:val="both"/>
        <w:divId w:val="988562117"/>
        <w:rPr>
          <w:rFonts w:ascii="Times New Roman" w:hAnsi="Times New Roman" w:cs="Times New Roman"/>
          <w:sz w:val="21"/>
          <w:szCs w:val="21"/>
        </w:rPr>
      </w:pPr>
      <w:r>
        <w:rPr>
          <w:rFonts w:cs="Times New Roman" w:hint="eastAsia"/>
          <w:sz w:val="18"/>
          <w:szCs w:val="18"/>
        </w:rPr>
        <w:t>资本</w:t>
      </w:r>
      <w:proofErr w:type="gramStart"/>
      <w:r>
        <w:rPr>
          <w:rFonts w:cs="Times New Roman" w:hint="eastAsia"/>
          <w:sz w:val="18"/>
          <w:szCs w:val="18"/>
        </w:rPr>
        <w:t>化期间</w:t>
      </w:r>
      <w:proofErr w:type="gramEnd"/>
      <w:r>
        <w:rPr>
          <w:rFonts w:cs="Times New Roman" w:hint="eastAsia"/>
          <w:sz w:val="18"/>
          <w:szCs w:val="18"/>
        </w:rPr>
        <w:t>内，外币专门借款的汇兑差额全部予以资本化；外币一般借款的汇兑差额计入当期损益。</w:t>
      </w:r>
    </w:p>
    <w:p w:rsidR="00674F05" w:rsidRDefault="00674F05" w:rsidP="00D12436">
      <w:pPr>
        <w:pStyle w:val="a3"/>
        <w:spacing w:before="0" w:beforeAutospacing="0" w:after="0" w:afterAutospacing="0" w:line="400" w:lineRule="atLeast"/>
        <w:ind w:firstLine="360"/>
        <w:jc w:val="both"/>
        <w:divId w:val="988562117"/>
        <w:rPr>
          <w:rFonts w:ascii="Times New Roman" w:hAnsi="Times New Roman" w:cs="Times New Roman"/>
          <w:sz w:val="21"/>
          <w:szCs w:val="21"/>
        </w:rPr>
      </w:pPr>
      <w:r>
        <w:rPr>
          <w:rFonts w:cs="Times New Roman" w:hint="eastAsia"/>
          <w:sz w:val="18"/>
          <w:szCs w:val="18"/>
        </w:rPr>
        <w:t>符合资本化条件的资产指需要经过相当长时间的购建或者生产活动才能达到预定可使用或可销售状态的固定资产、投资性房地产和存货等资产。</w:t>
      </w:r>
    </w:p>
    <w:p w:rsidR="00674F05" w:rsidRDefault="00674F05" w:rsidP="00D12436">
      <w:pPr>
        <w:pStyle w:val="a3"/>
        <w:spacing w:before="0" w:beforeAutospacing="0" w:after="0" w:afterAutospacing="0" w:line="400" w:lineRule="atLeast"/>
        <w:ind w:firstLine="360"/>
        <w:jc w:val="both"/>
        <w:divId w:val="988562117"/>
        <w:rPr>
          <w:rFonts w:ascii="Times New Roman" w:hAnsi="Times New Roman" w:cs="Times New Roman"/>
          <w:sz w:val="21"/>
          <w:szCs w:val="21"/>
        </w:rPr>
      </w:pPr>
      <w:r>
        <w:rPr>
          <w:rFonts w:cs="Times New Roman" w:hint="eastAsia"/>
          <w:sz w:val="18"/>
          <w:szCs w:val="18"/>
        </w:rPr>
        <w:t>如果符合资本化条件的资产在购建或生产过程中发生非正常中断、并且中断时间连续超过3个月的，暂停借款费用的资本化，直至资产的购建或生产活动重新开始。</w:t>
      </w:r>
    </w:p>
    <w:p w:rsidR="00B72ACA" w:rsidRDefault="00674F05">
      <w:pPr>
        <w:pStyle w:val="3"/>
        <w:spacing w:line="280" w:lineRule="exact"/>
        <w:jc w:val="left"/>
        <w:rPr>
          <w:rFonts w:ascii="宋体" w:hAnsi="宋体" w:cs="宋体"/>
          <w:b/>
          <w:bCs/>
        </w:rPr>
      </w:pPr>
      <w:bookmarkStart w:id="126" w:name="_Toc989015"/>
      <w:r>
        <w:rPr>
          <w:rFonts w:ascii="宋体" w:hAnsi="宋体" w:cs="宋体"/>
          <w:b/>
          <w:bCs/>
        </w:rPr>
        <w:t>21、无形资产</w:t>
      </w:r>
      <w:bookmarkEnd w:id="126"/>
    </w:p>
    <w:p w:rsidR="00B72ACA" w:rsidRDefault="00674F05">
      <w:pPr>
        <w:keepNext/>
        <w:keepLines/>
        <w:spacing w:before="300" w:after="300" w:line="280" w:lineRule="exact"/>
        <w:outlineLvl w:val="3"/>
        <w:rPr>
          <w:rFonts w:ascii="宋体" w:eastAsia="宋体" w:hAnsi="宋体" w:cs="宋体"/>
          <w:b/>
          <w:bCs/>
          <w:szCs w:val="21"/>
        </w:rPr>
      </w:pPr>
      <w:bookmarkStart w:id="127" w:name="_Toc989016"/>
      <w:r>
        <w:rPr>
          <w:rFonts w:ascii="宋体" w:eastAsia="宋体" w:hAnsi="宋体" w:cs="宋体"/>
          <w:b/>
          <w:bCs/>
          <w:szCs w:val="21"/>
        </w:rPr>
        <w:t>（1） 计价方法、使用寿命、减值测试</w:t>
      </w:r>
      <w:bookmarkEnd w:id="127"/>
    </w:p>
    <w:p w:rsidR="00674F05" w:rsidRDefault="00674F05" w:rsidP="00D12436">
      <w:pPr>
        <w:pStyle w:val="a3"/>
        <w:spacing w:before="0" w:beforeAutospacing="0" w:after="0" w:afterAutospacing="0" w:line="400" w:lineRule="atLeast"/>
        <w:ind w:firstLine="360"/>
        <w:jc w:val="both"/>
        <w:divId w:val="244732002"/>
        <w:rPr>
          <w:rFonts w:ascii="Times New Roman" w:hAnsi="Times New Roman" w:cs="Times New Roman"/>
          <w:sz w:val="21"/>
          <w:szCs w:val="21"/>
        </w:rPr>
      </w:pPr>
      <w:r>
        <w:rPr>
          <w:rFonts w:cs="Times New Roman" w:hint="eastAsia"/>
          <w:sz w:val="18"/>
          <w:szCs w:val="18"/>
        </w:rPr>
        <w:t>（1）无形资产</w:t>
      </w:r>
    </w:p>
    <w:p w:rsidR="00674F05" w:rsidRDefault="00674F05" w:rsidP="00D12436">
      <w:pPr>
        <w:pStyle w:val="a3"/>
        <w:spacing w:before="0" w:beforeAutospacing="0" w:after="0" w:afterAutospacing="0" w:line="400" w:lineRule="atLeast"/>
        <w:ind w:firstLine="360"/>
        <w:jc w:val="both"/>
        <w:divId w:val="244732002"/>
        <w:rPr>
          <w:rFonts w:ascii="Times New Roman" w:hAnsi="Times New Roman" w:cs="Times New Roman"/>
          <w:sz w:val="21"/>
          <w:szCs w:val="21"/>
        </w:rPr>
      </w:pPr>
      <w:r>
        <w:rPr>
          <w:rFonts w:cs="Times New Roman" w:hint="eastAsia"/>
          <w:sz w:val="18"/>
          <w:szCs w:val="18"/>
        </w:rPr>
        <w:t>无形资产是指本公司拥有或者控制的没有实物形态的可</w:t>
      </w:r>
      <w:proofErr w:type="gramStart"/>
      <w:r>
        <w:rPr>
          <w:rFonts w:cs="Times New Roman" w:hint="eastAsia"/>
          <w:sz w:val="18"/>
          <w:szCs w:val="18"/>
        </w:rPr>
        <w:t>辨认非</w:t>
      </w:r>
      <w:proofErr w:type="gramEnd"/>
      <w:r>
        <w:rPr>
          <w:rFonts w:cs="Times New Roman" w:hint="eastAsia"/>
          <w:sz w:val="18"/>
          <w:szCs w:val="18"/>
        </w:rPr>
        <w:t>货币性资产。</w:t>
      </w:r>
    </w:p>
    <w:p w:rsidR="00674F05" w:rsidRDefault="00674F05" w:rsidP="00D12436">
      <w:pPr>
        <w:pStyle w:val="a3"/>
        <w:spacing w:before="0" w:beforeAutospacing="0" w:after="0" w:afterAutospacing="0" w:line="400" w:lineRule="atLeast"/>
        <w:ind w:firstLine="360"/>
        <w:jc w:val="both"/>
        <w:divId w:val="244732002"/>
        <w:rPr>
          <w:rFonts w:ascii="Times New Roman" w:hAnsi="Times New Roman" w:cs="Times New Roman"/>
          <w:sz w:val="21"/>
          <w:szCs w:val="21"/>
        </w:rPr>
      </w:pPr>
      <w:r>
        <w:rPr>
          <w:rFonts w:cs="Times New Roman"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674F05" w:rsidRDefault="00674F05" w:rsidP="00D12436">
      <w:pPr>
        <w:pStyle w:val="a3"/>
        <w:spacing w:before="0" w:beforeAutospacing="0" w:after="0" w:afterAutospacing="0" w:line="400" w:lineRule="atLeast"/>
        <w:ind w:firstLine="360"/>
        <w:jc w:val="both"/>
        <w:divId w:val="244732002"/>
        <w:rPr>
          <w:rFonts w:ascii="Times New Roman" w:hAnsi="Times New Roman" w:cs="Times New Roman"/>
          <w:sz w:val="21"/>
          <w:szCs w:val="21"/>
        </w:rPr>
      </w:pPr>
      <w:r>
        <w:rPr>
          <w:rFonts w:cs="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674F05" w:rsidRDefault="00674F05" w:rsidP="00D12436">
      <w:pPr>
        <w:pStyle w:val="a3"/>
        <w:spacing w:before="0" w:beforeAutospacing="0" w:after="0" w:afterAutospacing="0" w:line="400" w:lineRule="atLeast"/>
        <w:ind w:firstLine="360"/>
        <w:jc w:val="both"/>
        <w:divId w:val="244732002"/>
        <w:rPr>
          <w:rFonts w:ascii="Times New Roman" w:hAnsi="Times New Roman" w:cs="Times New Roman"/>
          <w:sz w:val="21"/>
          <w:szCs w:val="21"/>
        </w:rPr>
      </w:pPr>
      <w:r>
        <w:rPr>
          <w:rFonts w:cs="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tbl>
      <w:tblPr>
        <w:tblW w:w="9216" w:type="dxa"/>
        <w:tblCellMar>
          <w:left w:w="0" w:type="dxa"/>
          <w:right w:w="0" w:type="dxa"/>
        </w:tblCellMar>
        <w:tblLook w:val="04A0" w:firstRow="1" w:lastRow="0" w:firstColumn="1" w:lastColumn="0" w:noHBand="0" w:noVBand="1"/>
      </w:tblPr>
      <w:tblGrid>
        <w:gridCol w:w="1702"/>
        <w:gridCol w:w="4395"/>
        <w:gridCol w:w="3119"/>
      </w:tblGrid>
      <w:tr w:rsidR="00674F05">
        <w:trPr>
          <w:divId w:val="244732002"/>
          <w:trHeight w:val="330"/>
          <w:tblHeader/>
        </w:trPr>
        <w:tc>
          <w:tcPr>
            <w:tcW w:w="170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439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使用寿命</w:t>
            </w:r>
          </w:p>
        </w:tc>
        <w:tc>
          <w:tcPr>
            <w:tcW w:w="31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摊销方法</w:t>
            </w:r>
          </w:p>
        </w:tc>
      </w:tr>
      <w:tr w:rsidR="00674F05">
        <w:trPr>
          <w:divId w:val="244732002"/>
          <w:trHeight w:val="330"/>
        </w:trPr>
        <w:tc>
          <w:tcPr>
            <w:tcW w:w="170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土地使用权</w:t>
            </w:r>
          </w:p>
        </w:tc>
        <w:tc>
          <w:tcPr>
            <w:tcW w:w="43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受益年限</w:t>
            </w:r>
          </w:p>
        </w:tc>
        <w:tc>
          <w:tcPr>
            <w:tcW w:w="311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674F05">
        <w:trPr>
          <w:divId w:val="244732002"/>
          <w:trHeight w:val="330"/>
        </w:trPr>
        <w:tc>
          <w:tcPr>
            <w:tcW w:w="170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软件使用权</w:t>
            </w:r>
          </w:p>
        </w:tc>
        <w:tc>
          <w:tcPr>
            <w:tcW w:w="43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合同规定年限或收益年限（未规定按3或5年）</w:t>
            </w:r>
          </w:p>
        </w:tc>
        <w:tc>
          <w:tcPr>
            <w:tcW w:w="311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674F05">
        <w:trPr>
          <w:divId w:val="244732002"/>
          <w:trHeight w:val="330"/>
        </w:trPr>
        <w:tc>
          <w:tcPr>
            <w:tcW w:w="170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其他无形资产</w:t>
            </w:r>
          </w:p>
        </w:tc>
        <w:tc>
          <w:tcPr>
            <w:tcW w:w="43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合同规定年限或收益年限（未规定按10年）</w:t>
            </w:r>
          </w:p>
        </w:tc>
        <w:tc>
          <w:tcPr>
            <w:tcW w:w="311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bl>
    <w:p w:rsidR="00674F05" w:rsidRDefault="00674F05" w:rsidP="00D12436">
      <w:pPr>
        <w:pStyle w:val="a3"/>
        <w:spacing w:before="0" w:beforeAutospacing="0" w:after="0" w:afterAutospacing="0" w:line="400" w:lineRule="atLeast"/>
        <w:ind w:firstLine="360"/>
        <w:jc w:val="both"/>
        <w:divId w:val="244732002"/>
        <w:rPr>
          <w:rFonts w:ascii="Times New Roman" w:hAnsi="Times New Roman" w:cs="Times New Roman"/>
          <w:sz w:val="21"/>
          <w:szCs w:val="21"/>
        </w:rPr>
      </w:pPr>
      <w:r>
        <w:rPr>
          <w:rFonts w:cs="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B72ACA" w:rsidRDefault="00674F05">
      <w:pPr>
        <w:keepNext/>
        <w:keepLines/>
        <w:spacing w:before="300" w:after="300" w:line="280" w:lineRule="exact"/>
        <w:outlineLvl w:val="3"/>
        <w:rPr>
          <w:rFonts w:ascii="宋体" w:eastAsia="宋体" w:hAnsi="宋体" w:cs="宋体"/>
          <w:b/>
          <w:bCs/>
          <w:szCs w:val="21"/>
        </w:rPr>
      </w:pPr>
      <w:bookmarkStart w:id="128" w:name="_Toc989017"/>
      <w:r>
        <w:rPr>
          <w:rFonts w:ascii="宋体" w:eastAsia="宋体" w:hAnsi="宋体" w:cs="宋体"/>
          <w:b/>
          <w:bCs/>
          <w:szCs w:val="21"/>
        </w:rPr>
        <w:lastRenderedPageBreak/>
        <w:t>（2） 内部研究开发支出会计政策</w:t>
      </w:r>
      <w:bookmarkEnd w:id="128"/>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本公司内部研究开发项目的支出分为研究阶段支出与开发阶段支出。</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研究阶段的支出，于发生时计入当期损益。</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开发阶段的支出同时满足下列条件的，确认为无形资产，不能满足下述条件的开发阶段的支出计入当期损益：</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①完成该无形资产以使其能够使用或出售在技术上具有可行性；</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②具有完成该无形资产并使用或出售的意图；</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③无形资产产生经济利益的方式，包括能够证明运用该无形资产生产的产品存在市场或无形资产自身存在市场，无形资产将在内部使用的，能够证明其有用性；</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④有足够的技术、财务资源和其他资源支持，以完成该无形资产的开发，并有能力使用或出售该无形资产；</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⑤归属于该无形资产开发阶段的支出能够可靠地计量。</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无法区分研究阶段支出和开发阶段支出的，将发生的研发支出全部计入当期损益。</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（3）无形资产的减值测试方法及减值准备计提方法</w:t>
      </w:r>
    </w:p>
    <w:p w:rsidR="00674F05" w:rsidRDefault="00674F05" w:rsidP="00D12436">
      <w:pPr>
        <w:pStyle w:val="a3"/>
        <w:spacing w:before="0" w:beforeAutospacing="0" w:after="0" w:afterAutospacing="0" w:line="400" w:lineRule="atLeast"/>
        <w:ind w:firstLine="360"/>
        <w:jc w:val="both"/>
        <w:divId w:val="1785075632"/>
        <w:rPr>
          <w:rFonts w:ascii="Times New Roman" w:hAnsi="Times New Roman" w:cs="Times New Roman"/>
          <w:sz w:val="21"/>
          <w:szCs w:val="21"/>
        </w:rPr>
      </w:pPr>
      <w:r>
        <w:rPr>
          <w:rFonts w:cs="Times New Roman" w:hint="eastAsia"/>
          <w:sz w:val="18"/>
          <w:szCs w:val="18"/>
        </w:rPr>
        <w:t>无形资产的减值测试方法和减值准备计提方法详见附注五、22“长期资产减值”。</w:t>
      </w:r>
    </w:p>
    <w:p w:rsidR="00B72ACA" w:rsidRDefault="00674F05">
      <w:pPr>
        <w:pStyle w:val="3"/>
        <w:spacing w:line="280" w:lineRule="exact"/>
        <w:jc w:val="left"/>
        <w:rPr>
          <w:rFonts w:ascii="宋体" w:hAnsi="宋体" w:cs="宋体"/>
          <w:b/>
          <w:bCs/>
        </w:rPr>
      </w:pPr>
      <w:bookmarkStart w:id="129" w:name="_Toc989018"/>
      <w:r>
        <w:rPr>
          <w:rFonts w:ascii="宋体" w:hAnsi="宋体" w:cs="宋体"/>
          <w:b/>
          <w:bCs/>
        </w:rPr>
        <w:t>22、长期资产减值</w:t>
      </w:r>
      <w:bookmarkEnd w:id="129"/>
    </w:p>
    <w:p w:rsidR="00674F05" w:rsidRDefault="00674F05" w:rsidP="00D12436">
      <w:pPr>
        <w:pStyle w:val="a3"/>
        <w:spacing w:before="0" w:beforeAutospacing="0" w:after="0" w:afterAutospacing="0" w:line="400" w:lineRule="atLeast"/>
        <w:ind w:firstLine="360"/>
        <w:jc w:val="both"/>
        <w:divId w:val="1294599117"/>
        <w:rPr>
          <w:rFonts w:ascii="Times New Roman" w:hAnsi="Times New Roman" w:cs="Times New Roman"/>
          <w:sz w:val="21"/>
          <w:szCs w:val="21"/>
        </w:rPr>
      </w:pPr>
      <w:r>
        <w:rPr>
          <w:rFonts w:cs="Times New Roman" w:hint="eastAsia"/>
          <w:sz w:val="18"/>
          <w:szCs w:val="18"/>
        </w:rPr>
        <w:t>对于固定资产、在建工程、使用寿命有限的无形资产、使用权资产、以成本模式计量的投资性房地产及对子公司、合营企业、联营企业的长期股权投资等非流动非金融资产，本公司于资产负债表</w:t>
      </w:r>
      <w:proofErr w:type="gramStart"/>
      <w:r>
        <w:rPr>
          <w:rFonts w:cs="Times New Roman" w:hint="eastAsia"/>
          <w:sz w:val="18"/>
          <w:szCs w:val="18"/>
        </w:rPr>
        <w:t>日判断</w:t>
      </w:r>
      <w:proofErr w:type="gramEnd"/>
      <w:r>
        <w:rPr>
          <w:rFonts w:cs="Times New Roman" w:hint="eastAsia"/>
          <w:sz w:val="18"/>
          <w:szCs w:val="18"/>
        </w:rPr>
        <w:t>是否存在减值迹象。如存在减值迹象的，则估计其可收回金额，进行减值测试。商誉、使用寿命不确定的无形资产和尚未达到可使用状态的无形资产，无论是否存在减值迹象，每年均进行减值测试。</w:t>
      </w:r>
    </w:p>
    <w:p w:rsidR="00674F05" w:rsidRDefault="00674F05" w:rsidP="00D12436">
      <w:pPr>
        <w:pStyle w:val="a3"/>
        <w:spacing w:before="0" w:beforeAutospacing="0" w:after="0" w:afterAutospacing="0" w:line="400" w:lineRule="atLeast"/>
        <w:ind w:firstLine="360"/>
        <w:jc w:val="both"/>
        <w:divId w:val="1294599117"/>
        <w:rPr>
          <w:rFonts w:ascii="Times New Roman" w:hAnsi="Times New Roman" w:cs="Times New Roman"/>
          <w:sz w:val="21"/>
          <w:szCs w:val="21"/>
        </w:rPr>
      </w:pPr>
      <w:r>
        <w:rPr>
          <w:rFonts w:cs="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674F05" w:rsidRDefault="00674F05" w:rsidP="00D12436">
      <w:pPr>
        <w:pStyle w:val="a3"/>
        <w:spacing w:before="0" w:beforeAutospacing="0" w:after="0" w:afterAutospacing="0" w:line="400" w:lineRule="atLeast"/>
        <w:ind w:firstLine="360"/>
        <w:jc w:val="both"/>
        <w:divId w:val="1294599117"/>
        <w:rPr>
          <w:rFonts w:ascii="Times New Roman" w:hAnsi="Times New Roman" w:cs="Times New Roman"/>
          <w:sz w:val="21"/>
          <w:szCs w:val="21"/>
        </w:rPr>
      </w:pPr>
      <w:r>
        <w:rPr>
          <w:rFonts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674F05" w:rsidRDefault="00674F05" w:rsidP="00D12436">
      <w:pPr>
        <w:pStyle w:val="a3"/>
        <w:spacing w:before="0" w:beforeAutospacing="0" w:after="0" w:afterAutospacing="0" w:line="400" w:lineRule="atLeast"/>
        <w:ind w:firstLine="360"/>
        <w:jc w:val="both"/>
        <w:divId w:val="1294599117"/>
        <w:rPr>
          <w:rFonts w:ascii="Times New Roman" w:hAnsi="Times New Roman" w:cs="Times New Roman"/>
          <w:sz w:val="21"/>
          <w:szCs w:val="21"/>
        </w:rPr>
      </w:pPr>
      <w:r>
        <w:rPr>
          <w:rFonts w:cs="Times New Roman" w:hint="eastAsia"/>
          <w:sz w:val="18"/>
          <w:szCs w:val="18"/>
        </w:rPr>
        <w:t>上述资产减值损失一经确认，以后期间不予转回价值得以恢复的部分。</w:t>
      </w:r>
    </w:p>
    <w:p w:rsidR="00B72ACA" w:rsidRDefault="00674F05">
      <w:pPr>
        <w:pStyle w:val="3"/>
        <w:spacing w:line="280" w:lineRule="exact"/>
        <w:jc w:val="left"/>
        <w:rPr>
          <w:rFonts w:ascii="宋体" w:hAnsi="宋体" w:cs="宋体"/>
          <w:b/>
          <w:bCs/>
        </w:rPr>
      </w:pPr>
      <w:bookmarkStart w:id="130" w:name="_Toc989019"/>
      <w:r>
        <w:rPr>
          <w:rFonts w:ascii="宋体" w:hAnsi="宋体" w:cs="宋体"/>
          <w:b/>
          <w:bCs/>
        </w:rPr>
        <w:lastRenderedPageBreak/>
        <w:t>23、长期待摊费用</w:t>
      </w:r>
      <w:bookmarkEnd w:id="130"/>
    </w:p>
    <w:p w:rsidR="00674F05" w:rsidRDefault="00674F05" w:rsidP="00D12436">
      <w:pPr>
        <w:pStyle w:val="a3"/>
        <w:spacing w:before="0" w:beforeAutospacing="0" w:after="0" w:afterAutospacing="0" w:line="400" w:lineRule="atLeast"/>
        <w:ind w:firstLine="360"/>
        <w:jc w:val="both"/>
        <w:divId w:val="1542278077"/>
        <w:rPr>
          <w:rFonts w:ascii="Times New Roman" w:hAnsi="Times New Roman" w:cs="Times New Roman"/>
          <w:sz w:val="21"/>
          <w:szCs w:val="21"/>
        </w:rPr>
      </w:pPr>
      <w:r>
        <w:rPr>
          <w:rFonts w:cs="Times New Roman" w:hint="eastAsia"/>
          <w:sz w:val="18"/>
          <w:szCs w:val="18"/>
        </w:rPr>
        <w:t>长期待摊费用为已经发生但应由报告期和以后各期负担的分摊期限在一年以上的各项费用。长期待摊费用在预计受益期间按直线法摊销。</w:t>
      </w:r>
    </w:p>
    <w:p w:rsidR="00B72ACA" w:rsidRDefault="00674F05">
      <w:pPr>
        <w:pStyle w:val="3"/>
        <w:spacing w:line="280" w:lineRule="exact"/>
        <w:jc w:val="left"/>
        <w:rPr>
          <w:rFonts w:ascii="宋体" w:hAnsi="宋体" w:cs="宋体"/>
          <w:b/>
          <w:bCs/>
        </w:rPr>
      </w:pPr>
      <w:bookmarkStart w:id="131" w:name="_Toc989020"/>
      <w:r>
        <w:rPr>
          <w:rFonts w:ascii="宋体" w:hAnsi="宋体" w:cs="宋体"/>
          <w:b/>
          <w:bCs/>
        </w:rPr>
        <w:t>24、合同负债</w:t>
      </w:r>
      <w:bookmarkEnd w:id="131"/>
    </w:p>
    <w:p w:rsidR="00674F05" w:rsidRDefault="00674F05">
      <w:pPr>
        <w:pStyle w:val="a3"/>
        <w:spacing w:before="0" w:beforeAutospacing="0" w:after="0" w:afterAutospacing="0" w:line="400" w:lineRule="atLeast"/>
        <w:ind w:firstLine="360"/>
        <w:jc w:val="both"/>
        <w:divId w:val="557715752"/>
        <w:rPr>
          <w:rFonts w:ascii="Times New Roman" w:hAnsi="Times New Roman" w:cs="Times New Roman"/>
          <w:sz w:val="21"/>
          <w:szCs w:val="21"/>
        </w:rPr>
      </w:pPr>
      <w:r>
        <w:rPr>
          <w:rFonts w:cs="Times New Roman"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Pr>
          <w:rFonts w:cs="Times New Roman" w:hint="eastAsia"/>
          <w:sz w:val="18"/>
          <w:szCs w:val="18"/>
        </w:rPr>
        <w:t>款项孰早时点</w:t>
      </w:r>
      <w:proofErr w:type="gramEnd"/>
      <w:r>
        <w:rPr>
          <w:rFonts w:cs="Times New Roman" w:hint="eastAsia"/>
          <w:sz w:val="18"/>
          <w:szCs w:val="18"/>
        </w:rPr>
        <w:t>，将该已收或应收款项列示为合同负债。同一合同下的合同资产和合同负债以净额列示，不同合同下的合同资产和合同负债不予抵销。</w:t>
      </w:r>
    </w:p>
    <w:p w:rsidR="00B72ACA" w:rsidRDefault="00674F05">
      <w:pPr>
        <w:pStyle w:val="3"/>
        <w:spacing w:line="280" w:lineRule="exact"/>
        <w:jc w:val="left"/>
        <w:rPr>
          <w:rFonts w:ascii="宋体" w:hAnsi="宋体" w:cs="宋体"/>
          <w:b/>
          <w:bCs/>
        </w:rPr>
      </w:pPr>
      <w:bookmarkStart w:id="132" w:name="_Toc989021"/>
      <w:r>
        <w:rPr>
          <w:rFonts w:ascii="宋体" w:hAnsi="宋体" w:cs="宋体"/>
          <w:b/>
          <w:bCs/>
        </w:rPr>
        <w:t>25、职工薪</w:t>
      </w:r>
      <w:proofErr w:type="gramStart"/>
      <w:r>
        <w:rPr>
          <w:rFonts w:ascii="宋体" w:hAnsi="宋体" w:cs="宋体"/>
          <w:b/>
          <w:bCs/>
        </w:rPr>
        <w:t>酬</w:t>
      </w:r>
      <w:bookmarkEnd w:id="132"/>
      <w:proofErr w:type="gramEnd"/>
    </w:p>
    <w:p w:rsidR="00B72ACA" w:rsidRDefault="00674F05">
      <w:pPr>
        <w:keepNext/>
        <w:keepLines/>
        <w:spacing w:before="300" w:after="300" w:line="280" w:lineRule="exact"/>
        <w:outlineLvl w:val="3"/>
        <w:rPr>
          <w:rFonts w:ascii="宋体" w:eastAsia="宋体" w:hAnsi="宋体" w:cs="宋体"/>
          <w:b/>
          <w:bCs/>
          <w:szCs w:val="21"/>
        </w:rPr>
      </w:pPr>
      <w:bookmarkStart w:id="133" w:name="_Toc989022"/>
      <w:r>
        <w:rPr>
          <w:rFonts w:ascii="宋体" w:eastAsia="宋体" w:hAnsi="宋体" w:cs="宋体"/>
          <w:b/>
          <w:bCs/>
          <w:szCs w:val="21"/>
        </w:rPr>
        <w:t>（1） 短期薪酬的会计处理方法</w:t>
      </w:r>
      <w:bookmarkEnd w:id="133"/>
    </w:p>
    <w:p w:rsidR="00674F05" w:rsidRDefault="00674F05" w:rsidP="00D12436">
      <w:pPr>
        <w:pStyle w:val="a3"/>
        <w:spacing w:before="0" w:beforeAutospacing="0" w:after="0" w:afterAutospacing="0" w:line="400" w:lineRule="atLeast"/>
        <w:ind w:firstLine="360"/>
        <w:jc w:val="both"/>
        <w:divId w:val="646398771"/>
        <w:rPr>
          <w:rFonts w:ascii="Times New Roman" w:hAnsi="Times New Roman" w:cs="Times New Roman"/>
          <w:sz w:val="21"/>
          <w:szCs w:val="21"/>
        </w:rPr>
      </w:pPr>
      <w:r>
        <w:rPr>
          <w:rFonts w:cs="Times New Roman" w:hint="eastAsia"/>
          <w:sz w:val="18"/>
          <w:szCs w:val="18"/>
        </w:rPr>
        <w:t>本公司职工薪</w:t>
      </w:r>
      <w:proofErr w:type="gramStart"/>
      <w:r>
        <w:rPr>
          <w:rFonts w:cs="Times New Roman" w:hint="eastAsia"/>
          <w:sz w:val="18"/>
          <w:szCs w:val="18"/>
        </w:rPr>
        <w:t>酬</w:t>
      </w:r>
      <w:proofErr w:type="gramEnd"/>
      <w:r>
        <w:rPr>
          <w:rFonts w:cs="Times New Roman" w:hint="eastAsia"/>
          <w:sz w:val="18"/>
          <w:szCs w:val="18"/>
        </w:rPr>
        <w:t>主要包括短期职工薪酬、离职后福利、辞退福利。其中：短期薪酬主要包括工资、奖金、津贴和补贴、职工福利费、医疗保险费、生育保险费、工伤保险费、住房公积金、工会经费和职工教育经费、非货币性福利等。本公司在职工为本公司提供服务的会计期间将实际发生的短期职工薪</w:t>
      </w:r>
      <w:proofErr w:type="gramStart"/>
      <w:r>
        <w:rPr>
          <w:rFonts w:cs="Times New Roman" w:hint="eastAsia"/>
          <w:sz w:val="18"/>
          <w:szCs w:val="18"/>
        </w:rPr>
        <w:t>酬</w:t>
      </w:r>
      <w:proofErr w:type="gramEnd"/>
      <w:r>
        <w:rPr>
          <w:rFonts w:cs="Times New Roman" w:hint="eastAsia"/>
          <w:sz w:val="18"/>
          <w:szCs w:val="18"/>
        </w:rPr>
        <w:t>确认为负债，并计入当期损益或相关资产成本。其中非货币性福利按公允价值计量。</w:t>
      </w:r>
    </w:p>
    <w:p w:rsidR="00B72ACA" w:rsidRDefault="00674F05">
      <w:pPr>
        <w:keepNext/>
        <w:keepLines/>
        <w:spacing w:before="300" w:after="300" w:line="280" w:lineRule="exact"/>
        <w:outlineLvl w:val="3"/>
        <w:rPr>
          <w:rFonts w:ascii="宋体" w:eastAsia="宋体" w:hAnsi="宋体" w:cs="宋体"/>
          <w:b/>
          <w:bCs/>
          <w:szCs w:val="21"/>
        </w:rPr>
      </w:pPr>
      <w:bookmarkStart w:id="134" w:name="_Toc989023"/>
      <w:r>
        <w:rPr>
          <w:rFonts w:ascii="宋体" w:eastAsia="宋体" w:hAnsi="宋体" w:cs="宋体"/>
          <w:b/>
          <w:bCs/>
          <w:szCs w:val="21"/>
        </w:rPr>
        <w:t>（2） 离职后福利的会计处理方法</w:t>
      </w:r>
      <w:bookmarkEnd w:id="134"/>
    </w:p>
    <w:p w:rsidR="00674F05" w:rsidRDefault="00674F05">
      <w:pPr>
        <w:pStyle w:val="a3"/>
        <w:spacing w:before="0" w:beforeAutospacing="0" w:after="0" w:afterAutospacing="0" w:line="400" w:lineRule="atLeast"/>
        <w:ind w:firstLine="360"/>
        <w:jc w:val="both"/>
        <w:divId w:val="125239975"/>
        <w:rPr>
          <w:rFonts w:ascii="Times New Roman" w:hAnsi="Times New Roman" w:cs="Times New Roman"/>
          <w:sz w:val="21"/>
          <w:szCs w:val="21"/>
        </w:rPr>
      </w:pPr>
      <w:r>
        <w:rPr>
          <w:rFonts w:cs="Times New Roman" w:hint="eastAsia"/>
          <w:sz w:val="18"/>
          <w:szCs w:val="18"/>
        </w:rPr>
        <w:t>离职后福利主要包括基本养老保险、失业保险以及年金等。离职后福利计划包括设定提存计划。采用设定提存计划的，相应的应缴存金额于发生时计入相关资产成本或当期损益。</w:t>
      </w:r>
    </w:p>
    <w:p w:rsidR="00B72ACA" w:rsidRDefault="00674F05">
      <w:pPr>
        <w:keepNext/>
        <w:keepLines/>
        <w:spacing w:before="300" w:after="300" w:line="280" w:lineRule="exact"/>
        <w:outlineLvl w:val="3"/>
        <w:rPr>
          <w:rFonts w:ascii="宋体" w:eastAsia="宋体" w:hAnsi="宋体" w:cs="宋体"/>
          <w:b/>
          <w:bCs/>
          <w:szCs w:val="21"/>
        </w:rPr>
      </w:pPr>
      <w:bookmarkStart w:id="135" w:name="_Toc989024"/>
      <w:r>
        <w:rPr>
          <w:rFonts w:ascii="宋体" w:eastAsia="宋体" w:hAnsi="宋体" w:cs="宋体"/>
          <w:b/>
          <w:bCs/>
          <w:szCs w:val="21"/>
        </w:rPr>
        <w:t>（3） 辞退福利的会计处理方法</w:t>
      </w:r>
      <w:bookmarkEnd w:id="135"/>
    </w:p>
    <w:p w:rsidR="00674F05" w:rsidRDefault="00674F05">
      <w:pPr>
        <w:pStyle w:val="a3"/>
        <w:spacing w:before="0" w:beforeAutospacing="0" w:after="0" w:afterAutospacing="0" w:line="400" w:lineRule="atLeast"/>
        <w:ind w:firstLine="360"/>
        <w:jc w:val="both"/>
        <w:divId w:val="1398548893"/>
        <w:rPr>
          <w:rFonts w:ascii="Times New Roman" w:hAnsi="Times New Roman" w:cs="Times New Roman"/>
          <w:sz w:val="21"/>
          <w:szCs w:val="21"/>
        </w:rPr>
      </w:pPr>
      <w:r>
        <w:rPr>
          <w:rFonts w:cs="Times New Roman"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w:t>
      </w:r>
      <w:proofErr w:type="gramStart"/>
      <w:r>
        <w:rPr>
          <w:rFonts w:cs="Times New Roman" w:hint="eastAsia"/>
          <w:sz w:val="18"/>
          <w:szCs w:val="18"/>
        </w:rPr>
        <w:t>孰</w:t>
      </w:r>
      <w:proofErr w:type="gramEnd"/>
      <w:r>
        <w:rPr>
          <w:rFonts w:cs="Times New Roman" w:hint="eastAsia"/>
          <w:sz w:val="18"/>
          <w:szCs w:val="18"/>
        </w:rPr>
        <w:t>早日，确认辞退福利产生的职工薪</w:t>
      </w:r>
      <w:proofErr w:type="gramStart"/>
      <w:r>
        <w:rPr>
          <w:rFonts w:cs="Times New Roman" w:hint="eastAsia"/>
          <w:sz w:val="18"/>
          <w:szCs w:val="18"/>
        </w:rPr>
        <w:t>酬</w:t>
      </w:r>
      <w:proofErr w:type="gramEnd"/>
      <w:r>
        <w:rPr>
          <w:rFonts w:cs="Times New Roman" w:hint="eastAsia"/>
          <w:sz w:val="18"/>
          <w:szCs w:val="18"/>
        </w:rPr>
        <w:t>负债，并计入当期损益。但辞退福利预期在年度报告期结束后十二个月不能完全支付的，按照其他长期职工薪</w:t>
      </w:r>
      <w:proofErr w:type="gramStart"/>
      <w:r>
        <w:rPr>
          <w:rFonts w:cs="Times New Roman" w:hint="eastAsia"/>
          <w:sz w:val="18"/>
          <w:szCs w:val="18"/>
        </w:rPr>
        <w:t>酬</w:t>
      </w:r>
      <w:proofErr w:type="gramEnd"/>
      <w:r>
        <w:rPr>
          <w:rFonts w:cs="Times New Roman" w:hint="eastAsia"/>
          <w:sz w:val="18"/>
          <w:szCs w:val="18"/>
        </w:rPr>
        <w:t>处理。</w:t>
      </w:r>
    </w:p>
    <w:p w:rsidR="00674F05" w:rsidRDefault="00674F05">
      <w:pPr>
        <w:pStyle w:val="a3"/>
        <w:spacing w:before="0" w:beforeAutospacing="0" w:after="0" w:afterAutospacing="0" w:line="400" w:lineRule="atLeast"/>
        <w:ind w:firstLine="360"/>
        <w:jc w:val="both"/>
        <w:divId w:val="1398548893"/>
        <w:rPr>
          <w:rFonts w:ascii="Times New Roman" w:hAnsi="Times New Roman" w:cs="Times New Roman"/>
          <w:sz w:val="21"/>
          <w:szCs w:val="21"/>
        </w:rPr>
      </w:pPr>
      <w:r>
        <w:rPr>
          <w:rFonts w:cs="Times New Roman" w:hint="eastAsia"/>
          <w:sz w:val="18"/>
          <w:szCs w:val="18"/>
        </w:rPr>
        <w:t>职工内部退休计划采用与上述辞退福利相同的原则处理。本公司将</w:t>
      </w:r>
      <w:proofErr w:type="gramStart"/>
      <w:r>
        <w:rPr>
          <w:rFonts w:cs="Times New Roman" w:hint="eastAsia"/>
          <w:sz w:val="18"/>
          <w:szCs w:val="18"/>
        </w:rPr>
        <w:t>自职工</w:t>
      </w:r>
      <w:proofErr w:type="gramEnd"/>
      <w:r>
        <w:rPr>
          <w:rFonts w:cs="Times New Roman" w:hint="eastAsia"/>
          <w:sz w:val="18"/>
          <w:szCs w:val="18"/>
        </w:rPr>
        <w:t>停止提供服务日至正常退休日的期间</w:t>
      </w:r>
      <w:proofErr w:type="gramStart"/>
      <w:r>
        <w:rPr>
          <w:rFonts w:cs="Times New Roman" w:hint="eastAsia"/>
          <w:sz w:val="18"/>
          <w:szCs w:val="18"/>
        </w:rPr>
        <w:t>拟支付</w:t>
      </w:r>
      <w:proofErr w:type="gramEnd"/>
      <w:r>
        <w:rPr>
          <w:rFonts w:cs="Times New Roman" w:hint="eastAsia"/>
          <w:sz w:val="18"/>
          <w:szCs w:val="18"/>
        </w:rPr>
        <w:t>的内退人员工资和缴纳的社会保险费等，在符合预计负债确认条件时，计入当期损益（辞退福利）。</w:t>
      </w:r>
    </w:p>
    <w:p w:rsidR="00B72ACA" w:rsidRDefault="00674F05">
      <w:pPr>
        <w:keepNext/>
        <w:keepLines/>
        <w:spacing w:before="300" w:after="300" w:line="280" w:lineRule="exact"/>
        <w:outlineLvl w:val="3"/>
        <w:rPr>
          <w:rFonts w:ascii="宋体" w:eastAsia="宋体" w:hAnsi="宋体" w:cs="宋体"/>
          <w:b/>
          <w:bCs/>
          <w:szCs w:val="21"/>
        </w:rPr>
      </w:pPr>
      <w:bookmarkStart w:id="136" w:name="_Toc989025"/>
      <w:r>
        <w:rPr>
          <w:rFonts w:ascii="宋体" w:eastAsia="宋体" w:hAnsi="宋体" w:cs="宋体"/>
          <w:b/>
          <w:bCs/>
          <w:szCs w:val="21"/>
        </w:rPr>
        <w:t>（4） 其他长期职工福利的会计处理方法</w:t>
      </w:r>
      <w:bookmarkEnd w:id="136"/>
    </w:p>
    <w:p w:rsidR="00674F05" w:rsidRDefault="00674F05">
      <w:pPr>
        <w:pStyle w:val="a3"/>
        <w:spacing w:before="0" w:beforeAutospacing="0" w:after="0" w:afterAutospacing="0" w:line="400" w:lineRule="atLeast"/>
        <w:ind w:firstLine="360"/>
        <w:jc w:val="both"/>
        <w:divId w:val="287324398"/>
        <w:rPr>
          <w:rFonts w:ascii="Times New Roman" w:hAnsi="Times New Roman" w:cs="Times New Roman"/>
          <w:sz w:val="21"/>
          <w:szCs w:val="21"/>
        </w:rPr>
      </w:pPr>
      <w:r>
        <w:rPr>
          <w:rFonts w:cs="Times New Roman" w:hint="eastAsia"/>
          <w:sz w:val="18"/>
          <w:szCs w:val="18"/>
        </w:rPr>
        <w:t>本公司向职工提供的其他长期职工福利，符合设定提存计划的，按照设定提存计划进行会计处理，除此之外按照设定受益计划进行会计处理。</w:t>
      </w:r>
    </w:p>
    <w:p w:rsidR="00B72ACA" w:rsidRDefault="00674F05">
      <w:pPr>
        <w:pStyle w:val="3"/>
        <w:spacing w:line="280" w:lineRule="exact"/>
        <w:jc w:val="left"/>
        <w:rPr>
          <w:rFonts w:ascii="宋体" w:hAnsi="宋体" w:cs="宋体"/>
          <w:b/>
          <w:bCs/>
        </w:rPr>
      </w:pPr>
      <w:bookmarkStart w:id="137" w:name="_Toc989026"/>
      <w:r>
        <w:rPr>
          <w:rFonts w:ascii="宋体" w:hAnsi="宋体" w:cs="宋体"/>
          <w:b/>
          <w:bCs/>
        </w:rPr>
        <w:lastRenderedPageBreak/>
        <w:t>26、预计负债</w:t>
      </w:r>
      <w:bookmarkEnd w:id="137"/>
    </w:p>
    <w:p w:rsidR="00674F05" w:rsidRDefault="00674F05" w:rsidP="00D12436">
      <w:pPr>
        <w:pStyle w:val="a3"/>
        <w:spacing w:before="0" w:beforeAutospacing="0" w:after="0" w:afterAutospacing="0" w:line="400" w:lineRule="atLeast"/>
        <w:ind w:firstLine="360"/>
        <w:jc w:val="both"/>
        <w:divId w:val="417169382"/>
        <w:rPr>
          <w:rFonts w:ascii="Times New Roman" w:hAnsi="Times New Roman" w:cs="Times New Roman"/>
          <w:sz w:val="21"/>
          <w:szCs w:val="21"/>
        </w:rPr>
      </w:pPr>
      <w:r>
        <w:rPr>
          <w:rFonts w:cs="Times New Roman" w:hint="eastAsia"/>
          <w:sz w:val="18"/>
          <w:szCs w:val="18"/>
        </w:rPr>
        <w:t>当与或有事项相关的义务同时符合以下条件，确认为预计负债：（1）该义务是本公司承担的现时义务；（2）履行该义务很可能导致经济利益流出；（3）该义务的金额能够可靠地计量。</w:t>
      </w:r>
    </w:p>
    <w:p w:rsidR="00674F05" w:rsidRDefault="00674F05" w:rsidP="00D12436">
      <w:pPr>
        <w:pStyle w:val="a3"/>
        <w:spacing w:before="0" w:beforeAutospacing="0" w:after="0" w:afterAutospacing="0" w:line="400" w:lineRule="atLeast"/>
        <w:ind w:firstLine="360"/>
        <w:jc w:val="both"/>
        <w:divId w:val="417169382"/>
        <w:rPr>
          <w:rFonts w:ascii="Times New Roman" w:hAnsi="Times New Roman" w:cs="Times New Roman"/>
          <w:sz w:val="21"/>
          <w:szCs w:val="21"/>
        </w:rPr>
      </w:pPr>
      <w:r>
        <w:rPr>
          <w:rFonts w:cs="Times New Roman" w:hint="eastAsia"/>
          <w:sz w:val="18"/>
          <w:szCs w:val="18"/>
        </w:rPr>
        <w:t>在资产负债表日，考虑与或有事项有关的风险、不确定性和货币时间价值等因素，按照履行相关现时义务所需支出的最佳估计数对预计负债进行计量。</w:t>
      </w:r>
    </w:p>
    <w:p w:rsidR="00674F05" w:rsidRDefault="00674F05" w:rsidP="00D12436">
      <w:pPr>
        <w:pStyle w:val="a3"/>
        <w:spacing w:before="0" w:beforeAutospacing="0" w:after="0" w:afterAutospacing="0" w:line="400" w:lineRule="atLeast"/>
        <w:ind w:firstLine="360"/>
        <w:jc w:val="both"/>
        <w:divId w:val="417169382"/>
        <w:rPr>
          <w:rFonts w:ascii="Times New Roman" w:hAnsi="Times New Roman" w:cs="Times New Roman"/>
          <w:sz w:val="21"/>
          <w:szCs w:val="21"/>
        </w:rPr>
      </w:pPr>
      <w:r>
        <w:rPr>
          <w:rFonts w:cs="Times New Roman" w:hint="eastAsia"/>
          <w:sz w:val="18"/>
          <w:szCs w:val="18"/>
        </w:rPr>
        <w:t>如果清偿预计负债所需支出全部或部分预期由第三方补偿的，补偿金额在基本确定能够收到时，作为资产单独确认，且确认的补偿金额不超过预计负债的账面价值。</w:t>
      </w:r>
    </w:p>
    <w:p w:rsidR="00674F05" w:rsidRDefault="00674F05">
      <w:pPr>
        <w:pStyle w:val="a3"/>
        <w:spacing w:before="0" w:beforeAutospacing="0" w:after="0" w:afterAutospacing="0" w:line="400" w:lineRule="atLeast"/>
        <w:ind w:firstLine="360"/>
        <w:divId w:val="417169382"/>
        <w:rPr>
          <w:rFonts w:ascii="Times New Roman" w:hAnsi="Times New Roman" w:cs="Times New Roman"/>
          <w:sz w:val="21"/>
          <w:szCs w:val="21"/>
        </w:rPr>
      </w:pPr>
      <w:r>
        <w:rPr>
          <w:rFonts w:cs="Times New Roman" w:hint="eastAsia"/>
          <w:sz w:val="18"/>
          <w:szCs w:val="18"/>
        </w:rPr>
        <w:t>（1）亏损合同</w:t>
      </w:r>
    </w:p>
    <w:p w:rsidR="00674F05" w:rsidRDefault="00674F05" w:rsidP="00D12436">
      <w:pPr>
        <w:pStyle w:val="a3"/>
        <w:spacing w:before="0" w:beforeAutospacing="0" w:after="0" w:afterAutospacing="0" w:line="400" w:lineRule="atLeast"/>
        <w:ind w:firstLine="360"/>
        <w:jc w:val="both"/>
        <w:divId w:val="417169382"/>
        <w:rPr>
          <w:rFonts w:ascii="Times New Roman" w:hAnsi="Times New Roman" w:cs="Times New Roman"/>
          <w:sz w:val="21"/>
          <w:szCs w:val="21"/>
        </w:rPr>
      </w:pPr>
      <w:r>
        <w:rPr>
          <w:rFonts w:cs="Times New Roman" w:hint="eastAsia"/>
          <w:sz w:val="18"/>
          <w:szCs w:val="18"/>
        </w:rPr>
        <w:t>亏损合同是履行合同义务不可避免会发生的成本超过预期经济利益的合同。待执行合同变成亏损合同，且</w:t>
      </w:r>
      <w:proofErr w:type="gramStart"/>
      <w:r>
        <w:rPr>
          <w:rFonts w:cs="Times New Roman" w:hint="eastAsia"/>
          <w:sz w:val="18"/>
          <w:szCs w:val="18"/>
        </w:rPr>
        <w:t>该亏损</w:t>
      </w:r>
      <w:proofErr w:type="gramEnd"/>
      <w:r>
        <w:rPr>
          <w:rFonts w:cs="Times New Roman" w:hint="eastAsia"/>
          <w:sz w:val="18"/>
          <w:szCs w:val="18"/>
        </w:rPr>
        <w:t>合同产生的义务满足上述预计负债的确认条件的，将合同预计损失超过合同标的资产已确认的减值损失（如有）的部分，确认为预计负债。</w:t>
      </w:r>
    </w:p>
    <w:p w:rsidR="00674F05" w:rsidRDefault="00674F05">
      <w:pPr>
        <w:pStyle w:val="a3"/>
        <w:spacing w:before="0" w:beforeAutospacing="0" w:after="0" w:afterAutospacing="0" w:line="400" w:lineRule="atLeast"/>
        <w:ind w:firstLine="360"/>
        <w:divId w:val="417169382"/>
        <w:rPr>
          <w:rFonts w:ascii="Times New Roman" w:hAnsi="Times New Roman" w:cs="Times New Roman"/>
          <w:sz w:val="21"/>
          <w:szCs w:val="21"/>
        </w:rPr>
      </w:pPr>
      <w:r>
        <w:rPr>
          <w:rFonts w:cs="Times New Roman" w:hint="eastAsia"/>
          <w:sz w:val="18"/>
          <w:szCs w:val="18"/>
        </w:rPr>
        <w:t>（2）重组义务</w:t>
      </w:r>
    </w:p>
    <w:p w:rsidR="00674F05" w:rsidRDefault="00674F05" w:rsidP="00D12436">
      <w:pPr>
        <w:pStyle w:val="a3"/>
        <w:spacing w:before="0" w:beforeAutospacing="0" w:after="0" w:afterAutospacing="0" w:line="400" w:lineRule="atLeast"/>
        <w:ind w:firstLine="360"/>
        <w:jc w:val="both"/>
        <w:divId w:val="417169382"/>
        <w:rPr>
          <w:rFonts w:ascii="Times New Roman" w:hAnsi="Times New Roman" w:cs="Times New Roman"/>
          <w:sz w:val="21"/>
          <w:szCs w:val="21"/>
        </w:rPr>
      </w:pPr>
      <w:r>
        <w:rPr>
          <w:rFonts w:cs="Times New Roman" w:hint="eastAsia"/>
          <w:sz w:val="18"/>
          <w:szCs w:val="18"/>
        </w:rPr>
        <w:t>对于有详细、正式并且已经对外公告的重组计划，在满足前述预计负债的确认条件的情况下，按照与重组有关的直接支出确定预计负债金额。对于出售部分业务的重组义务，只有在本公司承诺出售部分业务（即签订了约束性出售协议时），才确认与重组相关的义务。</w:t>
      </w:r>
    </w:p>
    <w:p w:rsidR="00B72ACA" w:rsidRDefault="00674F05">
      <w:pPr>
        <w:pStyle w:val="3"/>
        <w:spacing w:line="280" w:lineRule="exact"/>
        <w:jc w:val="left"/>
        <w:rPr>
          <w:rFonts w:ascii="宋体" w:hAnsi="宋体" w:cs="宋体"/>
          <w:b/>
          <w:bCs/>
        </w:rPr>
      </w:pPr>
      <w:bookmarkStart w:id="138" w:name="_Toc989027"/>
      <w:r>
        <w:rPr>
          <w:rFonts w:ascii="宋体" w:hAnsi="宋体" w:cs="宋体"/>
          <w:b/>
          <w:bCs/>
        </w:rPr>
        <w:t>27、股份支付</w:t>
      </w:r>
      <w:bookmarkEnd w:id="138"/>
    </w:p>
    <w:p w:rsidR="00674F05" w:rsidRDefault="00674F05">
      <w:pPr>
        <w:pStyle w:val="a3"/>
        <w:spacing w:before="0" w:beforeAutospacing="0" w:after="0" w:afterAutospacing="0" w:line="400" w:lineRule="atLeast"/>
        <w:ind w:firstLine="360"/>
        <w:divId w:val="1151671838"/>
        <w:rPr>
          <w:rFonts w:ascii="Times New Roman" w:hAnsi="Times New Roman" w:cs="Times New Roman"/>
          <w:sz w:val="21"/>
          <w:szCs w:val="21"/>
        </w:rPr>
      </w:pPr>
      <w:r>
        <w:rPr>
          <w:rFonts w:cs="Times New Roman" w:hint="eastAsia"/>
          <w:sz w:val="18"/>
          <w:szCs w:val="18"/>
        </w:rPr>
        <w:t>（1）股份支付的会计处理方法</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674F05" w:rsidRDefault="00674F05">
      <w:pPr>
        <w:pStyle w:val="a3"/>
        <w:spacing w:before="0" w:beforeAutospacing="0" w:after="0" w:afterAutospacing="0" w:line="400" w:lineRule="atLeast"/>
        <w:ind w:firstLine="360"/>
        <w:divId w:val="1151671838"/>
        <w:rPr>
          <w:rFonts w:ascii="Times New Roman" w:hAnsi="Times New Roman" w:cs="Times New Roman"/>
          <w:sz w:val="21"/>
          <w:szCs w:val="21"/>
        </w:rPr>
      </w:pPr>
      <w:r>
        <w:rPr>
          <w:rFonts w:cs="Times New Roman" w:hint="eastAsia"/>
          <w:sz w:val="18"/>
          <w:szCs w:val="18"/>
        </w:rPr>
        <w:t>①以权益结算的股份支付</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sidR="0072714E">
        <w:rPr>
          <w:rFonts w:cs="Times New Roman" w:hint="eastAsia"/>
          <w:sz w:val="18"/>
          <w:szCs w:val="18"/>
        </w:rPr>
        <w:t>，</w:t>
      </w:r>
      <w:r>
        <w:rPr>
          <w:rFonts w:cs="Times New Roman" w:hint="eastAsia"/>
          <w:sz w:val="18"/>
          <w:szCs w:val="18"/>
        </w:rPr>
        <w:t>在授予后立即可行权时，在授予日计入相关成本或费用，相应增加资本公积。</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在等待期内每个资产负债表日，本公司根据最新取得的可行</w:t>
      </w:r>
      <w:proofErr w:type="gramStart"/>
      <w:r>
        <w:rPr>
          <w:rFonts w:cs="Times New Roman" w:hint="eastAsia"/>
          <w:sz w:val="18"/>
          <w:szCs w:val="18"/>
        </w:rPr>
        <w:t>权职工</w:t>
      </w:r>
      <w:proofErr w:type="gramEnd"/>
      <w:r>
        <w:rPr>
          <w:rFonts w:cs="Times New Roman" w:hint="eastAsia"/>
          <w:sz w:val="18"/>
          <w:szCs w:val="18"/>
        </w:rPr>
        <w:t>人数变动等后续信息做出最佳估计，修正预计可行权的权益工具数量。上述估计的影响计入当期相关成本或费用，并相应调整资本公积。</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674F05" w:rsidRDefault="00674F05">
      <w:pPr>
        <w:pStyle w:val="a3"/>
        <w:spacing w:before="0" w:beforeAutospacing="0" w:after="0" w:afterAutospacing="0" w:line="400" w:lineRule="atLeast"/>
        <w:ind w:firstLine="360"/>
        <w:divId w:val="1151671838"/>
        <w:rPr>
          <w:rFonts w:ascii="Times New Roman" w:hAnsi="Times New Roman" w:cs="Times New Roman"/>
          <w:sz w:val="21"/>
          <w:szCs w:val="21"/>
        </w:rPr>
      </w:pPr>
      <w:r>
        <w:rPr>
          <w:rFonts w:cs="Times New Roman" w:hint="eastAsia"/>
          <w:sz w:val="18"/>
          <w:szCs w:val="18"/>
        </w:rPr>
        <w:t>②以现金结算的股份支付</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Pr>
          <w:rFonts w:cs="Times New Roman" w:hint="eastAsia"/>
          <w:sz w:val="18"/>
          <w:szCs w:val="18"/>
        </w:rPr>
        <w:t>权情况</w:t>
      </w:r>
      <w:proofErr w:type="gramEnd"/>
      <w:r>
        <w:rPr>
          <w:rFonts w:cs="Times New Roman" w:hint="eastAsia"/>
          <w:sz w:val="18"/>
          <w:szCs w:val="18"/>
        </w:rPr>
        <w:t>的最佳估计为基础，按照本公司承担负债的公允价值金额，将当期取得的服务计入成本或费用，相应增加负债。</w:t>
      </w:r>
    </w:p>
    <w:p w:rsidR="00674F05" w:rsidRDefault="00674F05">
      <w:pPr>
        <w:pStyle w:val="a3"/>
        <w:spacing w:before="0" w:beforeAutospacing="0" w:after="0" w:afterAutospacing="0" w:line="400" w:lineRule="atLeast"/>
        <w:ind w:firstLine="360"/>
        <w:divId w:val="1151671838"/>
        <w:rPr>
          <w:rFonts w:ascii="Times New Roman" w:hAnsi="Times New Roman" w:cs="Times New Roman"/>
          <w:sz w:val="21"/>
          <w:szCs w:val="21"/>
        </w:rPr>
      </w:pPr>
      <w:r>
        <w:rPr>
          <w:rFonts w:cs="Times New Roman" w:hint="eastAsia"/>
          <w:sz w:val="18"/>
          <w:szCs w:val="18"/>
        </w:rPr>
        <w:lastRenderedPageBreak/>
        <w:t>在相关负债结算前的每个资产负债表日以及结算日，对负债的公允价值重新计量，其变动计入当期损益。</w:t>
      </w:r>
    </w:p>
    <w:p w:rsidR="00674F05" w:rsidRDefault="00674F05">
      <w:pPr>
        <w:pStyle w:val="a3"/>
        <w:spacing w:before="0" w:beforeAutospacing="0" w:after="0" w:afterAutospacing="0" w:line="400" w:lineRule="atLeast"/>
        <w:ind w:firstLine="360"/>
        <w:divId w:val="1151671838"/>
        <w:rPr>
          <w:rFonts w:ascii="Times New Roman" w:hAnsi="Times New Roman" w:cs="Times New Roman"/>
          <w:sz w:val="21"/>
          <w:szCs w:val="21"/>
        </w:rPr>
      </w:pPr>
      <w:r>
        <w:rPr>
          <w:rFonts w:cs="Times New Roman" w:hint="eastAsia"/>
          <w:sz w:val="18"/>
          <w:szCs w:val="18"/>
        </w:rPr>
        <w:t>（2）修改、终止股份支付计划的相关会计处理</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Pr>
          <w:rFonts w:cs="Times New Roman" w:hint="eastAsia"/>
          <w:sz w:val="18"/>
          <w:szCs w:val="18"/>
        </w:rPr>
        <w:t>权条件</w:t>
      </w:r>
      <w:proofErr w:type="gramEnd"/>
      <w:r>
        <w:rPr>
          <w:rFonts w:cs="Times New Roman" w:hint="eastAsia"/>
          <w:sz w:val="18"/>
          <w:szCs w:val="18"/>
        </w:rPr>
        <w:t>但在等待期内未满足的，本公司将其作为授予权益工具的取消处理。</w:t>
      </w:r>
    </w:p>
    <w:p w:rsidR="00674F05" w:rsidRDefault="00674F05">
      <w:pPr>
        <w:pStyle w:val="a3"/>
        <w:spacing w:before="0" w:beforeAutospacing="0" w:after="0" w:afterAutospacing="0" w:line="400" w:lineRule="atLeast"/>
        <w:ind w:firstLine="360"/>
        <w:divId w:val="1151671838"/>
        <w:rPr>
          <w:rFonts w:ascii="Times New Roman" w:hAnsi="Times New Roman" w:cs="Times New Roman"/>
          <w:sz w:val="21"/>
          <w:szCs w:val="21"/>
        </w:rPr>
      </w:pPr>
      <w:r>
        <w:rPr>
          <w:rFonts w:cs="Times New Roman" w:hint="eastAsia"/>
          <w:sz w:val="18"/>
          <w:szCs w:val="18"/>
        </w:rPr>
        <w:t>（3）涉及本公司与本公司股东或实际控制人的股份支付交易的会计处理</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①结算企业以其本身权益工具结算的，将该股份支付交易作为权益结算的股份支付处理；除此之外，作为现金结算的股份支付处理。</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674F05" w:rsidRDefault="00674F05" w:rsidP="00D12436">
      <w:pPr>
        <w:pStyle w:val="a3"/>
        <w:spacing w:before="0" w:beforeAutospacing="0" w:after="0" w:afterAutospacing="0" w:line="400" w:lineRule="atLeast"/>
        <w:ind w:firstLine="360"/>
        <w:jc w:val="both"/>
        <w:divId w:val="1151671838"/>
        <w:rPr>
          <w:rFonts w:ascii="Times New Roman" w:hAnsi="Times New Roman" w:cs="Times New Roman"/>
          <w:sz w:val="21"/>
          <w:szCs w:val="21"/>
        </w:rPr>
      </w:pPr>
      <w:r>
        <w:rPr>
          <w:rFonts w:cs="Times New Roman"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rsidR="00B72ACA" w:rsidRDefault="00674F05">
      <w:pPr>
        <w:pStyle w:val="3"/>
        <w:spacing w:line="280" w:lineRule="exact"/>
        <w:jc w:val="left"/>
        <w:rPr>
          <w:rFonts w:ascii="宋体" w:hAnsi="宋体" w:cs="宋体"/>
          <w:b/>
          <w:bCs/>
        </w:rPr>
      </w:pPr>
      <w:bookmarkStart w:id="139" w:name="_Toc989028"/>
      <w:r>
        <w:rPr>
          <w:rFonts w:ascii="宋体" w:hAnsi="宋体" w:cs="宋体"/>
          <w:b/>
          <w:bCs/>
        </w:rPr>
        <w:t>28、优先股、永续债等其他金融工具</w:t>
      </w:r>
      <w:bookmarkEnd w:id="139"/>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（1）永续债和优先股等的区分</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本公司发行的永续债和优先股等金融工具，同时符合以下条件的，作为权益工具：</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①该金融工具不包括交付现金或其他金融资产给其他方，或在潜在不利条件下与其他方交换金融资产或金融负债的合同义务；</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除按上述条件可归类为权益工具的金融工具以外，本公司发行的其他金融工具应归类为金融负债。</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lastRenderedPageBreak/>
        <w:t>（2）永续债和优先股等的会计处理方法</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归类为金融负债的永续债和优先股等金融工具，其相关利息、股利（或股息）、利得或损失，以及赎回或再融资产生的利得或损失等，除符合资本化条件的借款费用（参见本附注五、20“借款费用”）以外，均计入当期损益。</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归类为权益工具的永续债和优先股等金融工具，其发行（含再融资）、回购、出售或注销时，本公司作为权益的变动处理，相关交易费用亦从权益中扣减。本公司对权益工具持有方的分配作为利润分配处理。</w:t>
      </w:r>
    </w:p>
    <w:p w:rsidR="00674F05" w:rsidRDefault="00674F05" w:rsidP="00D12436">
      <w:pPr>
        <w:pStyle w:val="a3"/>
        <w:spacing w:before="0" w:beforeAutospacing="0" w:after="0" w:afterAutospacing="0" w:line="400" w:lineRule="atLeast"/>
        <w:ind w:firstLine="360"/>
        <w:jc w:val="both"/>
        <w:divId w:val="2037656236"/>
        <w:rPr>
          <w:rFonts w:ascii="Times New Roman" w:hAnsi="Times New Roman" w:cs="Times New Roman"/>
          <w:sz w:val="21"/>
          <w:szCs w:val="21"/>
        </w:rPr>
      </w:pPr>
      <w:r>
        <w:rPr>
          <w:rFonts w:cs="Times New Roman" w:hint="eastAsia"/>
          <w:sz w:val="18"/>
          <w:szCs w:val="18"/>
        </w:rPr>
        <w:t>本公司不确认权益工具的公允价值变动。</w:t>
      </w:r>
    </w:p>
    <w:p w:rsidR="00B72ACA" w:rsidRDefault="00674F05">
      <w:pPr>
        <w:pStyle w:val="3"/>
        <w:spacing w:line="280" w:lineRule="exact"/>
        <w:jc w:val="left"/>
        <w:rPr>
          <w:rFonts w:ascii="宋体" w:hAnsi="宋体" w:cs="宋体"/>
          <w:b/>
          <w:bCs/>
        </w:rPr>
      </w:pPr>
      <w:bookmarkStart w:id="140" w:name="_Toc989029"/>
      <w:r>
        <w:rPr>
          <w:rFonts w:ascii="宋体" w:hAnsi="宋体" w:cs="宋体"/>
          <w:b/>
          <w:bCs/>
        </w:rPr>
        <w:t>29、收入</w:t>
      </w:r>
      <w:bookmarkEnd w:id="140"/>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本公司收入主要来源于销售商品，销售商品属于在某一时</w:t>
      </w:r>
      <w:proofErr w:type="gramStart"/>
      <w:r>
        <w:rPr>
          <w:rFonts w:cs="Times New Roman" w:hint="eastAsia"/>
          <w:sz w:val="18"/>
          <w:szCs w:val="18"/>
        </w:rPr>
        <w:t>点履行</w:t>
      </w:r>
      <w:proofErr w:type="gramEnd"/>
      <w:r>
        <w:rPr>
          <w:rFonts w:cs="Times New Roman" w:hint="eastAsia"/>
          <w:sz w:val="18"/>
          <w:szCs w:val="18"/>
        </w:rPr>
        <w:t>履约义务，商品销售收入确认的具体政策：</w:t>
      </w:r>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①国内销售收入确认需满足以下条件：公司</w:t>
      </w:r>
      <w:proofErr w:type="gramStart"/>
      <w:r>
        <w:rPr>
          <w:rFonts w:cs="Times New Roman" w:hint="eastAsia"/>
          <w:sz w:val="18"/>
          <w:szCs w:val="18"/>
        </w:rPr>
        <w:t>己根据</w:t>
      </w:r>
      <w:proofErr w:type="gramEnd"/>
      <w:r>
        <w:rPr>
          <w:rFonts w:cs="Times New Roman" w:hint="eastAsia"/>
          <w:sz w:val="18"/>
          <w:szCs w:val="18"/>
        </w:rPr>
        <w:t>合同约定将产品交付给客户且客户</w:t>
      </w:r>
      <w:proofErr w:type="gramStart"/>
      <w:r>
        <w:rPr>
          <w:rFonts w:cs="Times New Roman" w:hint="eastAsia"/>
          <w:sz w:val="18"/>
          <w:szCs w:val="18"/>
        </w:rPr>
        <w:t>己接受</w:t>
      </w:r>
      <w:proofErr w:type="gramEnd"/>
      <w:r>
        <w:rPr>
          <w:rFonts w:cs="Times New Roman" w:hint="eastAsia"/>
          <w:sz w:val="18"/>
          <w:szCs w:val="18"/>
        </w:rPr>
        <w:t>该商品，己经收回货款或取得了收款权利的凭证等；</w:t>
      </w:r>
    </w:p>
    <w:p w:rsidR="00674F05" w:rsidRDefault="00674F05" w:rsidP="00D12436">
      <w:pPr>
        <w:pStyle w:val="a3"/>
        <w:spacing w:before="0" w:beforeAutospacing="0" w:after="0" w:afterAutospacing="0" w:line="400" w:lineRule="atLeast"/>
        <w:ind w:firstLine="360"/>
        <w:jc w:val="both"/>
        <w:divId w:val="452671222"/>
        <w:rPr>
          <w:rFonts w:ascii="Times New Roman" w:hAnsi="Times New Roman" w:cs="Times New Roman"/>
          <w:sz w:val="21"/>
          <w:szCs w:val="21"/>
        </w:rPr>
      </w:pPr>
      <w:r>
        <w:rPr>
          <w:rFonts w:cs="Times New Roman" w:hint="eastAsia"/>
          <w:sz w:val="18"/>
          <w:szCs w:val="18"/>
        </w:rPr>
        <w:t>②对于国外销售的产品，以产品发运、办理出口清关手续并取得报关单及货运提单时确认销售收入。</w:t>
      </w:r>
    </w:p>
    <w:p w:rsidR="00B72ACA" w:rsidRDefault="00674F05">
      <w:pPr>
        <w:pStyle w:val="3"/>
        <w:spacing w:line="280" w:lineRule="exact"/>
        <w:jc w:val="left"/>
        <w:rPr>
          <w:rFonts w:ascii="宋体" w:hAnsi="宋体" w:cs="宋体"/>
          <w:b/>
          <w:bCs/>
        </w:rPr>
      </w:pPr>
      <w:bookmarkStart w:id="141" w:name="_Toc989030"/>
      <w:r>
        <w:rPr>
          <w:rFonts w:ascii="宋体" w:hAnsi="宋体" w:cs="宋体"/>
          <w:b/>
          <w:bCs/>
        </w:rPr>
        <w:t>30、政府补助</w:t>
      </w:r>
      <w:bookmarkEnd w:id="141"/>
    </w:p>
    <w:p w:rsidR="00674F05" w:rsidRDefault="00674F05" w:rsidP="00D12436">
      <w:pPr>
        <w:pStyle w:val="a3"/>
        <w:spacing w:before="0" w:beforeAutospacing="0" w:after="0" w:afterAutospacing="0" w:line="400" w:lineRule="atLeast"/>
        <w:ind w:firstLine="360"/>
        <w:jc w:val="both"/>
        <w:divId w:val="356782847"/>
        <w:rPr>
          <w:rFonts w:ascii="Times New Roman" w:hAnsi="Times New Roman" w:cs="Times New Roman"/>
          <w:sz w:val="21"/>
          <w:szCs w:val="21"/>
        </w:rPr>
      </w:pPr>
      <w:r>
        <w:rPr>
          <w:rFonts w:cs="Times New Roman"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w:t>
      </w:r>
      <w:r>
        <w:rPr>
          <w:rFonts w:cs="Times New Roman" w:hint="eastAsia"/>
          <w:sz w:val="18"/>
          <w:szCs w:val="18"/>
        </w:rPr>
        <w:lastRenderedPageBreak/>
        <w:t>式形成长期资产的政府补助界定为与资产相关的政府补助；</w:t>
      </w:r>
      <w:proofErr w:type="gramStart"/>
      <w:r>
        <w:rPr>
          <w:rFonts w:cs="Times New Roman" w:hint="eastAsia"/>
          <w:sz w:val="18"/>
          <w:szCs w:val="18"/>
        </w:rPr>
        <w:t>其余政府</w:t>
      </w:r>
      <w:proofErr w:type="gramEnd"/>
      <w:r>
        <w:rPr>
          <w:rFonts w:cs="Times New Roman" w:hint="eastAsia"/>
          <w:sz w:val="18"/>
          <w:szCs w:val="18"/>
        </w:rPr>
        <w:t>补助界定为与收益相关的政府补助。若政府文件未明确规定补助对象，则采用以下方式将补助款划分为与收益相关的政府补助和与资产相关的政府补助：（1）政府文件明确了补助所针对的特定项目的，根据该特定项目的预算中将形成资产的支出金额和计入费用的支出金额的相对比例进行划分，对该划分比例需在每个资产负债表日进行复核，必要时进行变更；（2）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674F05" w:rsidRDefault="00674F05" w:rsidP="00D12436">
      <w:pPr>
        <w:pStyle w:val="a3"/>
        <w:spacing w:before="0" w:beforeAutospacing="0" w:after="0" w:afterAutospacing="0" w:line="400" w:lineRule="atLeast"/>
        <w:ind w:firstLine="360"/>
        <w:jc w:val="both"/>
        <w:divId w:val="356782847"/>
        <w:rPr>
          <w:rFonts w:ascii="Times New Roman" w:hAnsi="Times New Roman" w:cs="Times New Roman"/>
          <w:sz w:val="21"/>
          <w:szCs w:val="21"/>
        </w:rPr>
      </w:pPr>
      <w:r>
        <w:rPr>
          <w:rFonts w:cs="Times New Roman" w:hint="eastAsia"/>
          <w:sz w:val="18"/>
          <w:szCs w:val="18"/>
        </w:rPr>
        <w:t>本公司对于政府补助通常在实际收到时，按照实</w:t>
      </w:r>
      <w:proofErr w:type="gramStart"/>
      <w:r>
        <w:rPr>
          <w:rFonts w:cs="Times New Roman" w:hint="eastAsia"/>
          <w:sz w:val="18"/>
          <w:szCs w:val="18"/>
        </w:rPr>
        <w:t>收金额</w:t>
      </w:r>
      <w:proofErr w:type="gramEnd"/>
      <w:r>
        <w:rPr>
          <w:rFonts w:cs="Times New Roman"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1）应收补助款的金额已经过有权政府部门发文确认，或者可根据正式发布的财政资金管理办法的有关规定自行合理测算，且预计其金额不存在重大不确定性；（2）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3）相关的补助款批文中已明确承诺了拨付期限，且该款项的拨付是有相应财政预算作为保障的，因而可以合理保证其可在规定期限内收到；（4）根据本公司和该补助事项的具体情况，应满足的其他相关条件（如有）。</w:t>
      </w:r>
    </w:p>
    <w:p w:rsidR="00674F05" w:rsidRDefault="00674F05" w:rsidP="00D12436">
      <w:pPr>
        <w:pStyle w:val="a3"/>
        <w:spacing w:before="0" w:beforeAutospacing="0" w:after="0" w:afterAutospacing="0" w:line="400" w:lineRule="atLeast"/>
        <w:ind w:firstLine="360"/>
        <w:jc w:val="both"/>
        <w:divId w:val="356782847"/>
        <w:rPr>
          <w:rFonts w:ascii="Times New Roman" w:hAnsi="Times New Roman" w:cs="Times New Roman"/>
          <w:sz w:val="21"/>
          <w:szCs w:val="21"/>
        </w:rPr>
      </w:pPr>
      <w:r>
        <w:rPr>
          <w:rFonts w:cs="Times New Roman" w:hint="eastAsia"/>
          <w:sz w:val="18"/>
          <w:szCs w:val="18"/>
        </w:rPr>
        <w:t>与资产相关的政府补助，</w:t>
      </w:r>
      <w:proofErr w:type="gramStart"/>
      <w:r>
        <w:rPr>
          <w:rFonts w:cs="Times New Roman" w:hint="eastAsia"/>
          <w:sz w:val="18"/>
          <w:szCs w:val="18"/>
        </w:rPr>
        <w:t>确认为递延</w:t>
      </w:r>
      <w:proofErr w:type="gramEnd"/>
      <w:r>
        <w:rPr>
          <w:rFonts w:cs="Times New Roman" w:hint="eastAsia"/>
          <w:sz w:val="18"/>
          <w:szCs w:val="18"/>
        </w:rPr>
        <w:t>收益，并在相关资产的使用寿命内按照合理、系统的方法分期计入当期损益。与收益相关的政府补助，用于补偿以后期间的相关成本费用或损失的，</w:t>
      </w:r>
      <w:proofErr w:type="gramStart"/>
      <w:r>
        <w:rPr>
          <w:rFonts w:cs="Times New Roman" w:hint="eastAsia"/>
          <w:sz w:val="18"/>
          <w:szCs w:val="18"/>
        </w:rPr>
        <w:t>确认为递延</w:t>
      </w:r>
      <w:proofErr w:type="gramEnd"/>
      <w:r>
        <w:rPr>
          <w:rFonts w:cs="Times New Roman" w:hint="eastAsia"/>
          <w:sz w:val="18"/>
          <w:szCs w:val="18"/>
        </w:rPr>
        <w:t>收益，并在确认相关成本费用或损失的期间计入当期损益；用于补偿已经发生的相关成本费用或损失的，直接计入当期损益。</w:t>
      </w:r>
    </w:p>
    <w:p w:rsidR="00674F05" w:rsidRDefault="00674F05" w:rsidP="00D12436">
      <w:pPr>
        <w:pStyle w:val="a3"/>
        <w:spacing w:before="0" w:beforeAutospacing="0" w:after="0" w:afterAutospacing="0" w:line="400" w:lineRule="atLeast"/>
        <w:ind w:firstLine="360"/>
        <w:jc w:val="both"/>
        <w:divId w:val="356782847"/>
        <w:rPr>
          <w:rFonts w:ascii="Times New Roman" w:hAnsi="Times New Roman" w:cs="Times New Roman"/>
          <w:sz w:val="21"/>
          <w:szCs w:val="21"/>
        </w:rPr>
      </w:pPr>
      <w:r>
        <w:rPr>
          <w:rFonts w:cs="Times New Roman" w:hint="eastAsia"/>
          <w:sz w:val="18"/>
          <w:szCs w:val="18"/>
        </w:rPr>
        <w:t>同时包含与资产相关部分和与收益相关部分的政府补助，区分不同部分分别进行会计处理；难以区分的，将其整体归类为与收益相关的政府补助。</w:t>
      </w:r>
    </w:p>
    <w:p w:rsidR="00674F05" w:rsidRDefault="00674F05" w:rsidP="00D12436">
      <w:pPr>
        <w:pStyle w:val="a3"/>
        <w:spacing w:before="0" w:beforeAutospacing="0" w:after="0" w:afterAutospacing="0" w:line="400" w:lineRule="atLeast"/>
        <w:ind w:firstLine="360"/>
        <w:jc w:val="both"/>
        <w:divId w:val="356782847"/>
        <w:rPr>
          <w:rFonts w:ascii="Times New Roman" w:hAnsi="Times New Roman" w:cs="Times New Roman"/>
          <w:sz w:val="21"/>
          <w:szCs w:val="21"/>
        </w:rPr>
      </w:pPr>
      <w:r>
        <w:rPr>
          <w:rFonts w:cs="Times New Roman" w:hint="eastAsia"/>
          <w:sz w:val="18"/>
          <w:szCs w:val="18"/>
        </w:rPr>
        <w:t>与本公司日常活动相关的政府补助，按照经济业务的实质，计入其他收益或冲减相关成本费用；与日常活动无关的政府补助，计入营业外收支。</w:t>
      </w:r>
    </w:p>
    <w:p w:rsidR="00674F05" w:rsidRDefault="00674F05" w:rsidP="00D12436">
      <w:pPr>
        <w:pStyle w:val="a3"/>
        <w:spacing w:before="0" w:beforeAutospacing="0" w:after="0" w:afterAutospacing="0" w:line="400" w:lineRule="atLeast"/>
        <w:ind w:firstLine="360"/>
        <w:jc w:val="both"/>
        <w:divId w:val="356782847"/>
        <w:rPr>
          <w:rFonts w:ascii="Times New Roman" w:hAnsi="Times New Roman" w:cs="Times New Roman"/>
          <w:sz w:val="21"/>
          <w:szCs w:val="21"/>
        </w:rPr>
      </w:pPr>
      <w:r>
        <w:rPr>
          <w:rFonts w:cs="Times New Roman" w:hint="eastAsia"/>
          <w:sz w:val="18"/>
          <w:szCs w:val="18"/>
        </w:rPr>
        <w:t>已确认的政府补助需要退回时，存在相关递延收益余额的，冲减相关递延收益账面余额，超出部分计入当期损益；属于其他情况的，直接计入当期损益。</w:t>
      </w:r>
    </w:p>
    <w:p w:rsidR="00B72ACA" w:rsidRDefault="00674F05">
      <w:pPr>
        <w:pStyle w:val="3"/>
        <w:spacing w:line="280" w:lineRule="exact"/>
        <w:jc w:val="left"/>
        <w:rPr>
          <w:rFonts w:ascii="宋体" w:hAnsi="宋体" w:cs="宋体"/>
          <w:b/>
          <w:bCs/>
        </w:rPr>
      </w:pPr>
      <w:bookmarkStart w:id="142" w:name="_Toc989031"/>
      <w:r>
        <w:rPr>
          <w:rFonts w:ascii="宋体" w:hAnsi="宋体" w:cs="宋体"/>
          <w:b/>
          <w:bCs/>
        </w:rPr>
        <w:t>31、递延所得税资产/递延所得税负债</w:t>
      </w:r>
      <w:bookmarkEnd w:id="142"/>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（1）当期所得税</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资产负债表日，对于当期和以前期间形成的当期所得税负债（或资产），以按照税法规定计算的预期应交纳（或返还）的所得税金额计量。计算当期所得税费用所依据的应纳税</w:t>
      </w:r>
      <w:proofErr w:type="gramStart"/>
      <w:r>
        <w:rPr>
          <w:rFonts w:cs="Times New Roman" w:hint="eastAsia"/>
          <w:sz w:val="18"/>
          <w:szCs w:val="18"/>
        </w:rPr>
        <w:t>所得额系根据</w:t>
      </w:r>
      <w:proofErr w:type="gramEnd"/>
      <w:r>
        <w:rPr>
          <w:rFonts w:cs="Times New Roman" w:hint="eastAsia"/>
          <w:sz w:val="18"/>
          <w:szCs w:val="18"/>
        </w:rPr>
        <w:t>有关税法规定对本年度税前会计利润作相应调整后计算得出。</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（2）递延所得税资产及递延所得税负债</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lastRenderedPageBreak/>
        <w:t>与商誉的初始确认有关，</w:t>
      </w:r>
      <w:proofErr w:type="gramStart"/>
      <w:r>
        <w:rPr>
          <w:rFonts w:cs="Times New Roman" w:hint="eastAsia"/>
          <w:sz w:val="18"/>
          <w:szCs w:val="18"/>
        </w:rPr>
        <w:t>以及与既不是</w:t>
      </w:r>
      <w:proofErr w:type="gramEnd"/>
      <w:r>
        <w:rPr>
          <w:rFonts w:cs="Times New Roman" w:hint="eastAsia"/>
          <w:sz w:val="18"/>
          <w:szCs w:val="18"/>
        </w:rPr>
        <w:t>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proofErr w:type="gramStart"/>
      <w:r>
        <w:rPr>
          <w:rFonts w:cs="Times New Roman" w:hint="eastAsia"/>
          <w:sz w:val="18"/>
          <w:szCs w:val="18"/>
        </w:rPr>
        <w:t>与既不是</w:t>
      </w:r>
      <w:proofErr w:type="gramEnd"/>
      <w:r>
        <w:rPr>
          <w:rFonts w:cs="Times New Roman" w:hint="eastAsia"/>
          <w:sz w:val="18"/>
          <w:szCs w:val="18"/>
        </w:rPr>
        <w:t>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对于能够结转以后年度的可抵扣亏损和税款抵减，以很可能获得用来抵扣可抵扣亏损和税款抵减的未来应纳税所得额为限，确认相应的递延所得税资产。</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资产负债表日，对于递延所得税资产和递延所得税负债，根据税法规定，按照预期收回相关资产或清偿相关负债期间的适用税率计量。</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于资产负债表日，对递延所得税资产的账面价值进行复核，如果未来很可能无法获得足够的应纳税所得额用以抵扣递延所得税资产的利益，则</w:t>
      </w:r>
      <w:proofErr w:type="gramStart"/>
      <w:r>
        <w:rPr>
          <w:rFonts w:cs="Times New Roman" w:hint="eastAsia"/>
          <w:sz w:val="18"/>
          <w:szCs w:val="18"/>
        </w:rPr>
        <w:t>减记递</w:t>
      </w:r>
      <w:proofErr w:type="gramEnd"/>
      <w:r>
        <w:rPr>
          <w:rFonts w:cs="Times New Roman" w:hint="eastAsia"/>
          <w:sz w:val="18"/>
          <w:szCs w:val="18"/>
        </w:rPr>
        <w:t>延所得税资产的账面价值。在很可能获得足够的应纳税所得额时，</w:t>
      </w:r>
      <w:proofErr w:type="gramStart"/>
      <w:r>
        <w:rPr>
          <w:rFonts w:cs="Times New Roman" w:hint="eastAsia"/>
          <w:sz w:val="18"/>
          <w:szCs w:val="18"/>
        </w:rPr>
        <w:t>减记的</w:t>
      </w:r>
      <w:proofErr w:type="gramEnd"/>
      <w:r>
        <w:rPr>
          <w:rFonts w:cs="Times New Roman" w:hint="eastAsia"/>
          <w:sz w:val="18"/>
          <w:szCs w:val="18"/>
        </w:rPr>
        <w:t>金额予以转回。</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（3）所得税费用</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所得税费用包括当期所得税和递延所得税。</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（4）所得税的抵销</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当拥有以净额结算的法定权利，且意图以净额结算或取得资产、清偿负债同时进行时，本公司当期所得税资产及当期所得税负债以抵销后的净额列报。</w:t>
      </w:r>
    </w:p>
    <w:p w:rsidR="00674F05" w:rsidRDefault="00674F05" w:rsidP="00D12436">
      <w:pPr>
        <w:pStyle w:val="a3"/>
        <w:spacing w:before="0" w:beforeAutospacing="0" w:after="0" w:afterAutospacing="0" w:line="400" w:lineRule="atLeast"/>
        <w:ind w:firstLine="360"/>
        <w:jc w:val="both"/>
        <w:divId w:val="1416585429"/>
        <w:rPr>
          <w:rFonts w:ascii="Times New Roman" w:hAnsi="Times New Roman" w:cs="Times New Roman"/>
          <w:sz w:val="21"/>
          <w:szCs w:val="21"/>
        </w:rPr>
      </w:pPr>
      <w:r>
        <w:rPr>
          <w:rFonts w:cs="Times New Roman" w:hint="eastAsia"/>
          <w:sz w:val="18"/>
          <w:szCs w:val="18"/>
        </w:rPr>
        <w:t>当拥有以净额结算当期所得税资产及当期所得税负债的法定权利，</w:t>
      </w:r>
      <w:proofErr w:type="gramStart"/>
      <w:r>
        <w:rPr>
          <w:rFonts w:cs="Times New Roman" w:hint="eastAsia"/>
          <w:sz w:val="18"/>
          <w:szCs w:val="18"/>
        </w:rPr>
        <w:t>且递延</w:t>
      </w:r>
      <w:proofErr w:type="gramEnd"/>
      <w:r>
        <w:rPr>
          <w:rFonts w:cs="Times New Roman" w:hint="eastAsia"/>
          <w:sz w:val="18"/>
          <w:szCs w:val="18"/>
        </w:rPr>
        <w:t>所得税资产及递延所得税负债是与同</w:t>
      </w:r>
      <w:proofErr w:type="gramStart"/>
      <w:r>
        <w:rPr>
          <w:rFonts w:cs="Times New Roman" w:hint="eastAsia"/>
          <w:sz w:val="18"/>
          <w:szCs w:val="18"/>
        </w:rPr>
        <w:t>一税收</w:t>
      </w:r>
      <w:proofErr w:type="gramEnd"/>
      <w:r>
        <w:rPr>
          <w:rFonts w:cs="Times New Roman" w:hint="eastAsia"/>
          <w:sz w:val="18"/>
          <w:szCs w:val="18"/>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w:t>
      </w:r>
      <w:proofErr w:type="gramStart"/>
      <w:r>
        <w:rPr>
          <w:rFonts w:cs="Times New Roman" w:hint="eastAsia"/>
          <w:sz w:val="18"/>
          <w:szCs w:val="18"/>
        </w:rPr>
        <w:t>抵销</w:t>
      </w:r>
      <w:proofErr w:type="gramEnd"/>
      <w:r>
        <w:rPr>
          <w:rFonts w:cs="Times New Roman" w:hint="eastAsia"/>
          <w:sz w:val="18"/>
          <w:szCs w:val="18"/>
        </w:rPr>
        <w:t>后的净额列报。</w:t>
      </w:r>
    </w:p>
    <w:p w:rsidR="00B72ACA" w:rsidRDefault="00674F05">
      <w:pPr>
        <w:pStyle w:val="3"/>
        <w:spacing w:line="280" w:lineRule="exact"/>
        <w:jc w:val="left"/>
        <w:rPr>
          <w:rFonts w:ascii="宋体" w:hAnsi="宋体" w:cs="宋体"/>
          <w:b/>
          <w:bCs/>
        </w:rPr>
      </w:pPr>
      <w:bookmarkStart w:id="143" w:name="_Toc989032"/>
      <w:r>
        <w:rPr>
          <w:rFonts w:ascii="宋体" w:hAnsi="宋体" w:cs="宋体"/>
          <w:b/>
          <w:bCs/>
        </w:rPr>
        <w:t>32、租赁</w:t>
      </w:r>
      <w:bookmarkEnd w:id="143"/>
    </w:p>
    <w:p w:rsidR="00B72ACA" w:rsidRDefault="00674F05">
      <w:pPr>
        <w:keepNext/>
        <w:keepLines/>
        <w:spacing w:before="300" w:after="300" w:line="280" w:lineRule="exact"/>
        <w:outlineLvl w:val="3"/>
        <w:rPr>
          <w:rFonts w:ascii="宋体" w:eastAsia="宋体" w:hAnsi="宋体" w:cs="宋体"/>
          <w:b/>
          <w:bCs/>
          <w:szCs w:val="21"/>
        </w:rPr>
      </w:pPr>
      <w:bookmarkStart w:id="144" w:name="_Toc989033"/>
      <w:r>
        <w:rPr>
          <w:rFonts w:ascii="宋体" w:eastAsia="宋体" w:hAnsi="宋体" w:cs="宋体"/>
          <w:b/>
          <w:bCs/>
          <w:szCs w:val="21"/>
        </w:rPr>
        <w:t>（1） 经营租赁的会计处理方法</w:t>
      </w:r>
      <w:bookmarkEnd w:id="144"/>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租赁是指本公司让渡或取得了在一定期间内控制一项或多项已识别资产使用的权利以换取或支付对价的合同。在一项合同开始日，本公司评估合同是否为租赁或包含租赁。</w:t>
      </w:r>
    </w:p>
    <w:p w:rsidR="00674F05" w:rsidRDefault="00674F05">
      <w:pPr>
        <w:widowControl/>
        <w:numPr>
          <w:ilvl w:val="0"/>
          <w:numId w:val="2"/>
        </w:numPr>
        <w:spacing w:before="100" w:beforeAutospacing="1" w:after="100" w:afterAutospacing="1"/>
        <w:divId w:val="162211385"/>
        <w:rPr>
          <w:rFonts w:ascii="宋体" w:hAnsi="宋体" w:cs="宋体"/>
          <w:sz w:val="18"/>
          <w:szCs w:val="18"/>
        </w:rPr>
      </w:pPr>
      <w:r>
        <w:rPr>
          <w:rFonts w:hint="eastAsia"/>
          <w:sz w:val="18"/>
          <w:szCs w:val="18"/>
        </w:rPr>
        <w:lastRenderedPageBreak/>
        <w:t>本公司作为承租人</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①初始计量</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在租赁期开始日，本公司将可在租赁期内使用租赁资产的权利确认为使用权资产，将尚未支付的租赁付款额的现值确认为租赁负债。在计算租赁付款额的现值时，本公司采用租赁内含利率作为折现率；无法确定租赁内含利率的，采用承租人增量借款利率作为折现率。</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②后续计量</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本公司自租赁期开始的</w:t>
      </w:r>
      <w:proofErr w:type="gramStart"/>
      <w:r>
        <w:rPr>
          <w:rFonts w:cs="Times New Roman" w:hint="eastAsia"/>
          <w:sz w:val="18"/>
          <w:szCs w:val="18"/>
        </w:rPr>
        <w:t>当月对</w:t>
      </w:r>
      <w:proofErr w:type="gramEnd"/>
      <w:r>
        <w:rPr>
          <w:rFonts w:cs="Times New Roman" w:hint="eastAsia"/>
          <w:sz w:val="18"/>
          <w:szCs w:val="18"/>
        </w:rPr>
        <w:t>使用权资产计提折旧，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对于租赁负债，本公司按照固定的周期性利率计算其在租赁期内各期间的利息费用，计入当期损益或计入相关资产成本。未纳入租赁负债计量的可变租赁付款额在实际发生时计入当期损益或相关资产成本。</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使用权资产账面价值已调减至零，但租赁负债仍需进一步调减的，本公司将剩余金额计入当期损益。</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 xml:space="preserve">③短期租赁和低价值资产租赁                     </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对于短期租赁（在租赁开始日租赁期不超过12个月的租赁）和低价值资产租赁，本公司采取简化处理方法，不确认使用权资产和租赁负债，而在租赁期内各个期间按照直线法或其他系统合理的方法将租赁付款额计入相关资产成本或当期损益。</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④租赁变更</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租赁发生变更且同时符合下列条件的，本公司将该租赁变更作为一项单独租赁进行会计处理：</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 该租赁变更通过增加一项或多项租赁资产的使用权而扩大了租赁范围；</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 增加的对价与租赁范围扩大部分的单独价格按该合同情况调整后的金额相当。</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674F05" w:rsidRDefault="00674F05" w:rsidP="002C59C4">
      <w:pPr>
        <w:widowControl/>
        <w:numPr>
          <w:ilvl w:val="0"/>
          <w:numId w:val="3"/>
        </w:numPr>
        <w:spacing w:before="100" w:beforeAutospacing="1" w:after="100" w:afterAutospacing="1"/>
        <w:jc w:val="both"/>
        <w:divId w:val="162211385"/>
        <w:rPr>
          <w:rFonts w:ascii="宋体" w:hAnsi="宋体" w:cs="宋体"/>
          <w:sz w:val="18"/>
          <w:szCs w:val="18"/>
        </w:rPr>
      </w:pPr>
      <w:r>
        <w:rPr>
          <w:rFonts w:hint="eastAsia"/>
          <w:sz w:val="18"/>
          <w:szCs w:val="18"/>
        </w:rPr>
        <w:t>本公司作为出租人</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t>本公司在租赁开始日，基于交易的实质，将租赁分为融资租赁和经营租赁。融资租赁是指实质上转移了与租赁资产所有权有关的几乎全部风险和报酬的租赁。经营租赁是指除融资租赁以外的其他租赁。</w:t>
      </w:r>
    </w:p>
    <w:p w:rsidR="00674F05" w:rsidRDefault="00674F05" w:rsidP="002C59C4">
      <w:pPr>
        <w:widowControl/>
        <w:numPr>
          <w:ilvl w:val="0"/>
          <w:numId w:val="4"/>
        </w:numPr>
        <w:spacing w:before="100" w:beforeAutospacing="1" w:after="100" w:afterAutospacing="1"/>
        <w:jc w:val="both"/>
        <w:divId w:val="162211385"/>
        <w:rPr>
          <w:rFonts w:ascii="宋体" w:hAnsi="宋体" w:cs="宋体"/>
          <w:sz w:val="18"/>
          <w:szCs w:val="18"/>
        </w:rPr>
      </w:pPr>
      <w:r>
        <w:rPr>
          <w:rFonts w:hint="eastAsia"/>
          <w:sz w:val="18"/>
          <w:szCs w:val="18"/>
        </w:rPr>
        <w:t>经营租赁</w:t>
      </w:r>
    </w:p>
    <w:p w:rsidR="00674F05" w:rsidRDefault="00674F05" w:rsidP="002C59C4">
      <w:pPr>
        <w:pStyle w:val="a3"/>
        <w:spacing w:before="0" w:beforeAutospacing="0" w:after="0" w:afterAutospacing="0" w:line="400" w:lineRule="atLeast"/>
        <w:ind w:firstLine="360"/>
        <w:jc w:val="both"/>
        <w:divId w:val="162211385"/>
        <w:rPr>
          <w:rFonts w:ascii="Times New Roman" w:hAnsi="Times New Roman" w:cs="Times New Roman"/>
          <w:sz w:val="21"/>
          <w:szCs w:val="21"/>
        </w:rPr>
      </w:pPr>
      <w:r>
        <w:rPr>
          <w:rFonts w:cs="Times New Roman" w:hint="eastAsia"/>
          <w:sz w:val="18"/>
          <w:szCs w:val="18"/>
        </w:rPr>
        <w:lastRenderedPageBreak/>
        <w:t>本公司采用直线法将经营租赁的</w:t>
      </w:r>
      <w:proofErr w:type="gramStart"/>
      <w:r>
        <w:rPr>
          <w:rFonts w:cs="Times New Roman" w:hint="eastAsia"/>
          <w:sz w:val="18"/>
          <w:szCs w:val="18"/>
        </w:rPr>
        <w:t>租赁收</w:t>
      </w:r>
      <w:proofErr w:type="gramEnd"/>
      <w:r>
        <w:rPr>
          <w:rFonts w:cs="Times New Roman" w:hint="eastAsia"/>
          <w:sz w:val="18"/>
          <w:szCs w:val="18"/>
        </w:rPr>
        <w:t>款额确认为租赁期内各期间的租金收入。与经营租赁有关的未计入</w:t>
      </w:r>
      <w:proofErr w:type="gramStart"/>
      <w:r>
        <w:rPr>
          <w:rFonts w:cs="Times New Roman" w:hint="eastAsia"/>
          <w:sz w:val="18"/>
          <w:szCs w:val="18"/>
        </w:rPr>
        <w:t>租赁收</w:t>
      </w:r>
      <w:proofErr w:type="gramEnd"/>
      <w:r>
        <w:rPr>
          <w:rFonts w:cs="Times New Roman" w:hint="eastAsia"/>
          <w:sz w:val="18"/>
          <w:szCs w:val="18"/>
        </w:rPr>
        <w:t>款额的可变租赁付款额，于实际发生时计入当期损益。</w:t>
      </w:r>
    </w:p>
    <w:p w:rsidR="00B72ACA" w:rsidRDefault="00674F05">
      <w:pPr>
        <w:keepNext/>
        <w:keepLines/>
        <w:spacing w:before="300" w:after="300" w:line="280" w:lineRule="exact"/>
        <w:outlineLvl w:val="3"/>
        <w:rPr>
          <w:rFonts w:ascii="宋体" w:eastAsia="宋体" w:hAnsi="宋体" w:cs="宋体"/>
          <w:b/>
          <w:bCs/>
          <w:szCs w:val="21"/>
        </w:rPr>
      </w:pPr>
      <w:bookmarkStart w:id="145" w:name="_Toc989034"/>
      <w:r>
        <w:rPr>
          <w:rFonts w:ascii="宋体" w:eastAsia="宋体" w:hAnsi="宋体" w:cs="宋体"/>
          <w:b/>
          <w:bCs/>
          <w:szCs w:val="21"/>
        </w:rPr>
        <w:t>（2） 融资租赁的会计处理方法</w:t>
      </w:r>
      <w:bookmarkEnd w:id="145"/>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于租赁期开始日，本公司确认应收融资租赁款，并终止确认融资租赁资产。应收融资租赁款以租赁投资净额（未担保余值和租赁期开始日尚未收到的</w:t>
      </w:r>
      <w:proofErr w:type="gramStart"/>
      <w:r>
        <w:rPr>
          <w:rFonts w:cs="Times New Roman" w:hint="eastAsia"/>
          <w:sz w:val="18"/>
          <w:szCs w:val="18"/>
        </w:rPr>
        <w:t>租赁收</w:t>
      </w:r>
      <w:proofErr w:type="gramEnd"/>
      <w:r>
        <w:rPr>
          <w:rFonts w:cs="Times New Roman" w:hint="eastAsia"/>
          <w:sz w:val="18"/>
          <w:szCs w:val="18"/>
        </w:rPr>
        <w:t>款额按照租赁内含利率折现的现值之和）进行初始计量，并按照固定的周期性利率计算确认租赁期内的利息收入。本公司取得的未纳入租赁投资净额计量的可变租赁付款额在实际发生时计入当期损益。</w:t>
      </w:r>
    </w:p>
    <w:p w:rsidR="00674F05" w:rsidRDefault="00674F05" w:rsidP="002C59C4">
      <w:pPr>
        <w:widowControl/>
        <w:numPr>
          <w:ilvl w:val="0"/>
          <w:numId w:val="5"/>
        </w:numPr>
        <w:spacing w:before="100" w:beforeAutospacing="1" w:after="100" w:afterAutospacing="1"/>
        <w:jc w:val="both"/>
        <w:divId w:val="451442973"/>
        <w:rPr>
          <w:rFonts w:ascii="宋体" w:hAnsi="宋体" w:cs="宋体"/>
          <w:sz w:val="18"/>
          <w:szCs w:val="18"/>
        </w:rPr>
      </w:pPr>
      <w:r>
        <w:rPr>
          <w:rFonts w:hint="eastAsia"/>
          <w:sz w:val="18"/>
          <w:szCs w:val="18"/>
        </w:rPr>
        <w:t>租赁变更</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经营租赁发生变更的，本公司自变更生效日起将其作为一项新租赁进行会计处理，与变更前租赁有关的预收或应收</w:t>
      </w:r>
      <w:proofErr w:type="gramStart"/>
      <w:r>
        <w:rPr>
          <w:rFonts w:cs="Times New Roman" w:hint="eastAsia"/>
          <w:sz w:val="18"/>
          <w:szCs w:val="18"/>
        </w:rPr>
        <w:t>租赁收</w:t>
      </w:r>
      <w:proofErr w:type="gramEnd"/>
      <w:r>
        <w:rPr>
          <w:rFonts w:cs="Times New Roman" w:hint="eastAsia"/>
          <w:sz w:val="18"/>
          <w:szCs w:val="18"/>
        </w:rPr>
        <w:t>款额视为新租赁的收款额。</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融资租赁发生变更且同时符合下列条件的，本公司将该变更作为一项单独租赁进行会计处理：</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 该变更通过增加一项或多项租赁资产的使用权而扩大了租赁范围；</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 增加的对价与租赁范围扩大部分的单独价格按该合同情况调整后的金额相当。</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融资租赁的变更未作为一项单独租赁进行会计处理的，本公司</w:t>
      </w:r>
      <w:proofErr w:type="gramStart"/>
      <w:r>
        <w:rPr>
          <w:rFonts w:cs="Times New Roman" w:hint="eastAsia"/>
          <w:sz w:val="18"/>
          <w:szCs w:val="18"/>
        </w:rPr>
        <w:t>分下列</w:t>
      </w:r>
      <w:proofErr w:type="gramEnd"/>
      <w:r>
        <w:rPr>
          <w:rFonts w:cs="Times New Roman" w:hint="eastAsia"/>
          <w:sz w:val="18"/>
          <w:szCs w:val="18"/>
        </w:rPr>
        <w:t>情形对变更后的租赁进行处理：</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 假如变更在租赁开始日生效，该租赁会被分类为经营租赁的，本公司自租赁变更生效日开始将其作为一项新租赁进行会计处理，并以租赁变更生效日前的租赁投资净额作为租赁资产的账面价值；</w:t>
      </w:r>
    </w:p>
    <w:p w:rsidR="00674F05" w:rsidRDefault="00674F05" w:rsidP="002C59C4">
      <w:pPr>
        <w:pStyle w:val="a3"/>
        <w:spacing w:before="0" w:beforeAutospacing="0" w:after="0" w:afterAutospacing="0" w:line="400" w:lineRule="atLeast"/>
        <w:ind w:firstLine="360"/>
        <w:jc w:val="both"/>
        <w:divId w:val="451442973"/>
        <w:rPr>
          <w:rFonts w:ascii="Times New Roman" w:hAnsi="Times New Roman" w:cs="Times New Roman"/>
          <w:sz w:val="21"/>
          <w:szCs w:val="21"/>
        </w:rPr>
      </w:pPr>
      <w:r>
        <w:rPr>
          <w:rFonts w:cs="Times New Roman" w:hint="eastAsia"/>
          <w:sz w:val="18"/>
          <w:szCs w:val="18"/>
        </w:rPr>
        <w:t>• 假如变更在租赁开始日生效，该租赁会被分类为融资租赁的，本公司按照《企业会计准则第22 号——金融工具确认和计量》关于修改或重新议定合同的规定进行会计处理。</w:t>
      </w:r>
    </w:p>
    <w:p w:rsidR="00B72ACA" w:rsidRDefault="00674F05">
      <w:pPr>
        <w:pStyle w:val="3"/>
        <w:spacing w:line="280" w:lineRule="exact"/>
        <w:jc w:val="left"/>
        <w:rPr>
          <w:rFonts w:ascii="宋体" w:hAnsi="宋体" w:cs="宋体"/>
          <w:b/>
          <w:bCs/>
        </w:rPr>
      </w:pPr>
      <w:bookmarkStart w:id="146" w:name="_Toc989035"/>
      <w:r>
        <w:rPr>
          <w:rFonts w:ascii="宋体" w:hAnsi="宋体" w:cs="宋体"/>
          <w:b/>
          <w:bCs/>
        </w:rPr>
        <w:t>33、重要会计政策和会计估计变更</w:t>
      </w:r>
      <w:bookmarkEnd w:id="146"/>
    </w:p>
    <w:p w:rsidR="00B72ACA" w:rsidRDefault="00674F05">
      <w:pPr>
        <w:keepNext/>
        <w:keepLines/>
        <w:spacing w:before="300" w:after="300" w:line="280" w:lineRule="exact"/>
        <w:outlineLvl w:val="3"/>
        <w:rPr>
          <w:rFonts w:ascii="宋体" w:eastAsia="宋体" w:hAnsi="宋体" w:cs="宋体"/>
          <w:b/>
          <w:bCs/>
          <w:sz w:val="18"/>
          <w:szCs w:val="18"/>
        </w:rPr>
      </w:pPr>
      <w:bookmarkStart w:id="147" w:name="_Toc989036"/>
      <w:r>
        <w:rPr>
          <w:rFonts w:ascii="宋体" w:eastAsia="宋体" w:hAnsi="宋体" w:cs="宋体"/>
          <w:b/>
          <w:bCs/>
          <w:sz w:val="18"/>
          <w:szCs w:val="18"/>
        </w:rPr>
        <w:t>（1） 重要会计政策变更</w:t>
      </w:r>
      <w:bookmarkEnd w:id="147"/>
    </w:p>
    <w:p w:rsidR="00DF089E" w:rsidRPr="00DF089E" w:rsidRDefault="00DF089E" w:rsidP="00DF089E">
      <w:pPr>
        <w:spacing w:before="40" w:after="40" w:line="240" w:lineRule="exact"/>
        <w:rPr>
          <w:rFonts w:ascii="宋体" w:eastAsia="宋体" w:hAnsi="宋体" w:cs="宋体"/>
          <w:sz w:val="18"/>
          <w:szCs w:val="18"/>
        </w:rPr>
      </w:pPr>
      <w:r w:rsidRPr="00DF089E">
        <w:rPr>
          <w:rFonts w:ascii="宋体" w:eastAsia="宋体" w:hAnsi="宋体" w:cs="宋体"/>
          <w:sz w:val="18"/>
          <w:szCs w:val="18"/>
        </w:rPr>
        <w:sym w:font="Wingdings 2" w:char="F052"/>
      </w:r>
      <w:r w:rsidRPr="00DF089E">
        <w:rPr>
          <w:rFonts w:ascii="宋体" w:eastAsia="宋体" w:hAnsi="宋体" w:cs="宋体" w:hint="eastAsia"/>
          <w:sz w:val="18"/>
          <w:szCs w:val="18"/>
        </w:rPr>
        <w:t>适用 □不适用</w:t>
      </w:r>
    </w:p>
    <w:p w:rsidR="00DF089E" w:rsidRPr="00DF089E" w:rsidRDefault="00DF089E" w:rsidP="00DF089E">
      <w:pPr>
        <w:spacing w:line="0" w:lineRule="atLeast"/>
        <w:rPr>
          <w:rFonts w:ascii="Calibri" w:eastAsia="宋体" w:hAnsi="Calibri" w:cs="Times New Roman"/>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2"/>
        <w:gridCol w:w="3212"/>
        <w:gridCol w:w="3212"/>
      </w:tblGrid>
      <w:tr w:rsidR="00DF089E" w:rsidRPr="00DF089E" w:rsidTr="00DF089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DF089E" w:rsidRPr="00DF089E" w:rsidRDefault="00DF089E" w:rsidP="00DF089E">
            <w:pPr>
              <w:spacing w:before="40" w:after="40" w:line="240" w:lineRule="exact"/>
              <w:jc w:val="center"/>
              <w:rPr>
                <w:rFonts w:ascii="宋体" w:eastAsia="宋体" w:hAnsi="宋体" w:cs="宋体"/>
                <w:sz w:val="18"/>
                <w:szCs w:val="18"/>
              </w:rPr>
            </w:pPr>
            <w:r w:rsidRPr="00DF089E">
              <w:rPr>
                <w:rFonts w:ascii="宋体" w:eastAsia="宋体" w:hAnsi="宋体" w:cs="宋体" w:hint="eastAsia"/>
                <w:sz w:val="18"/>
                <w:szCs w:val="18"/>
              </w:rPr>
              <w:t>会计政策变更的内容和原因</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DF089E" w:rsidRPr="00DF089E" w:rsidRDefault="00DF089E" w:rsidP="00DF089E">
            <w:pPr>
              <w:spacing w:before="40" w:after="40" w:line="240" w:lineRule="exact"/>
              <w:jc w:val="center"/>
              <w:rPr>
                <w:rFonts w:ascii="宋体" w:eastAsia="宋体" w:hAnsi="宋体" w:cs="宋体"/>
                <w:sz w:val="18"/>
                <w:szCs w:val="18"/>
              </w:rPr>
            </w:pPr>
            <w:r w:rsidRPr="00DF089E">
              <w:rPr>
                <w:rFonts w:ascii="宋体" w:eastAsia="宋体" w:hAnsi="宋体" w:cs="宋体" w:hint="eastAsia"/>
                <w:sz w:val="18"/>
                <w:szCs w:val="18"/>
              </w:rPr>
              <w:t>审批程序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DF089E" w:rsidRPr="00DF089E" w:rsidRDefault="00DF089E" w:rsidP="00DF089E">
            <w:pPr>
              <w:spacing w:before="40" w:after="40" w:line="240" w:lineRule="exact"/>
              <w:jc w:val="center"/>
              <w:rPr>
                <w:rFonts w:ascii="宋体" w:eastAsia="宋体" w:hAnsi="宋体" w:cs="宋体"/>
                <w:sz w:val="18"/>
                <w:szCs w:val="18"/>
              </w:rPr>
            </w:pPr>
            <w:r w:rsidRPr="00DF089E">
              <w:rPr>
                <w:rFonts w:ascii="宋体" w:eastAsia="宋体" w:hAnsi="宋体" w:cs="宋体" w:hint="eastAsia"/>
                <w:sz w:val="18"/>
                <w:szCs w:val="18"/>
              </w:rPr>
              <w:t>备注</w:t>
            </w:r>
          </w:p>
        </w:tc>
      </w:tr>
      <w:tr w:rsidR="00DF089E" w:rsidRPr="00DF089E" w:rsidTr="00DF089E">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DF089E" w:rsidRPr="00DF089E" w:rsidRDefault="00DF089E" w:rsidP="00DF089E">
            <w:pPr>
              <w:spacing w:line="240" w:lineRule="exact"/>
              <w:jc w:val="both"/>
              <w:rPr>
                <w:rFonts w:ascii="宋体" w:eastAsia="宋体" w:hAnsi="宋体" w:cs="宋体"/>
                <w:sz w:val="18"/>
                <w:szCs w:val="18"/>
              </w:rPr>
            </w:pPr>
            <w:r w:rsidRPr="00DF089E">
              <w:rPr>
                <w:rFonts w:ascii="宋体" w:eastAsia="宋体" w:hAnsi="宋体" w:cs="宋体" w:hint="eastAsia"/>
                <w:sz w:val="18"/>
                <w:szCs w:val="18"/>
              </w:rPr>
              <w:t>公司自2023年1月1日起执行财政部颁布的《企业会计准则解释第16号》“关于单项交易产生的资产和负债相关的递延所得税不适用初始确认豁免的会计处理”规定。</w:t>
            </w:r>
          </w:p>
        </w:tc>
        <w:tc>
          <w:tcPr>
            <w:tcW w:w="3213" w:type="dxa"/>
            <w:tcBorders>
              <w:top w:val="single" w:sz="2" w:space="0" w:color="auto"/>
              <w:left w:val="single" w:sz="2" w:space="0" w:color="auto"/>
              <w:bottom w:val="single" w:sz="2" w:space="0" w:color="auto"/>
              <w:right w:val="single" w:sz="2" w:space="0" w:color="auto"/>
            </w:tcBorders>
            <w:vAlign w:val="center"/>
            <w:hideMark/>
          </w:tcPr>
          <w:p w:rsidR="00DF089E" w:rsidRPr="00DF089E" w:rsidRDefault="00DF089E" w:rsidP="00DF089E">
            <w:pPr>
              <w:spacing w:line="240" w:lineRule="exact"/>
              <w:rPr>
                <w:rFonts w:ascii="宋体" w:eastAsia="宋体" w:hAnsi="宋体" w:cs="宋体"/>
                <w:sz w:val="18"/>
                <w:szCs w:val="18"/>
              </w:rPr>
            </w:pPr>
            <w:r w:rsidRPr="00DF089E">
              <w:rPr>
                <w:rFonts w:ascii="宋体" w:eastAsia="宋体" w:hAnsi="宋体" w:cs="宋体" w:hint="eastAsia"/>
                <w:sz w:val="18"/>
                <w:szCs w:val="18"/>
              </w:rPr>
              <w:t>本次变更经公司第八届董事会第十六次会议审议通过。</w:t>
            </w:r>
          </w:p>
        </w:tc>
        <w:tc>
          <w:tcPr>
            <w:tcW w:w="3213" w:type="dxa"/>
            <w:tcBorders>
              <w:top w:val="single" w:sz="2" w:space="0" w:color="auto"/>
              <w:left w:val="single" w:sz="2" w:space="0" w:color="auto"/>
              <w:bottom w:val="single" w:sz="2" w:space="0" w:color="auto"/>
              <w:right w:val="single" w:sz="2" w:space="0" w:color="auto"/>
            </w:tcBorders>
            <w:vAlign w:val="center"/>
            <w:hideMark/>
          </w:tcPr>
          <w:p w:rsidR="00DF089E" w:rsidRPr="00DF089E" w:rsidRDefault="00DF089E" w:rsidP="00DF089E">
            <w:pPr>
              <w:spacing w:line="240" w:lineRule="exact"/>
              <w:rPr>
                <w:rFonts w:ascii="宋体" w:eastAsia="宋体" w:hAnsi="宋体" w:cs="宋体"/>
                <w:sz w:val="18"/>
                <w:szCs w:val="18"/>
              </w:rPr>
            </w:pPr>
            <w:r w:rsidRPr="00DF089E">
              <w:rPr>
                <w:rFonts w:ascii="宋体" w:eastAsia="宋体" w:hAnsi="宋体" w:cs="宋体" w:hint="eastAsia"/>
                <w:sz w:val="18"/>
                <w:szCs w:val="18"/>
              </w:rPr>
              <w:t>该项会计政策变更对公司财务报表无影响。</w:t>
            </w:r>
          </w:p>
        </w:tc>
      </w:tr>
    </w:tbl>
    <w:p w:rsidR="00DF089E" w:rsidRPr="00DF089E" w:rsidRDefault="00DF089E" w:rsidP="00DF089E">
      <w:pPr>
        <w:widowControl/>
        <w:spacing w:before="100" w:beforeAutospacing="1" w:after="100" w:afterAutospacing="1"/>
        <w:ind w:firstLineChars="200" w:firstLine="360"/>
        <w:rPr>
          <w:rFonts w:ascii="宋体" w:eastAsia="宋体" w:hAnsi="宋体" w:cs="宋体"/>
          <w:kern w:val="0"/>
          <w:sz w:val="18"/>
          <w:szCs w:val="18"/>
        </w:rPr>
      </w:pPr>
      <w:r w:rsidRPr="00DF089E">
        <w:rPr>
          <w:rFonts w:ascii="宋体" w:eastAsia="宋体" w:hAnsi="宋体" w:cs="宋体" w:hint="eastAsia"/>
          <w:kern w:val="0"/>
          <w:sz w:val="18"/>
          <w:szCs w:val="18"/>
        </w:rPr>
        <w:t>公司自2023年1月1日起执行财政部颁布的《企业会计准则解释第16号》“关于单项交易产生的资立和负债相关的递延所得税不适用初始确认豁免的会计处理”规定，该项会计政策变更对公司财务报表无影响。</w:t>
      </w:r>
    </w:p>
    <w:p w:rsidR="00B72ACA" w:rsidRDefault="00674F05">
      <w:pPr>
        <w:keepNext/>
        <w:keepLines/>
        <w:spacing w:before="300" w:after="300" w:line="280" w:lineRule="exact"/>
        <w:outlineLvl w:val="3"/>
        <w:rPr>
          <w:rFonts w:ascii="宋体" w:eastAsia="宋体" w:hAnsi="宋体" w:cs="宋体"/>
          <w:b/>
          <w:bCs/>
          <w:sz w:val="18"/>
          <w:szCs w:val="18"/>
        </w:rPr>
      </w:pPr>
      <w:bookmarkStart w:id="148" w:name="_Toc989037"/>
      <w:r>
        <w:rPr>
          <w:rFonts w:ascii="宋体" w:eastAsia="宋体" w:hAnsi="宋体" w:cs="宋体"/>
          <w:b/>
          <w:bCs/>
          <w:sz w:val="18"/>
          <w:szCs w:val="18"/>
        </w:rPr>
        <w:t>（2） 重要会计估计变更</w:t>
      </w:r>
      <w:bookmarkEnd w:id="148"/>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keepNext/>
        <w:keepLines/>
        <w:spacing w:before="300" w:after="300" w:line="280" w:lineRule="exact"/>
        <w:outlineLvl w:val="3"/>
        <w:rPr>
          <w:rFonts w:ascii="宋体" w:eastAsia="宋体" w:hAnsi="宋体" w:cs="宋体"/>
          <w:b/>
          <w:bCs/>
          <w:sz w:val="18"/>
          <w:szCs w:val="18"/>
        </w:rPr>
      </w:pPr>
      <w:bookmarkStart w:id="149" w:name="_Toc989038"/>
      <w:r>
        <w:rPr>
          <w:rFonts w:ascii="宋体" w:eastAsia="宋体" w:hAnsi="宋体" w:cs="宋体"/>
          <w:b/>
          <w:bCs/>
          <w:sz w:val="18"/>
          <w:szCs w:val="18"/>
        </w:rPr>
        <w:lastRenderedPageBreak/>
        <w:t>（3） 2023年起首次执行新会计准则调整首次执行当年年初财务报表相关项目情况</w:t>
      </w:r>
      <w:bookmarkEnd w:id="149"/>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417A9" w:rsidRDefault="001417A9">
      <w:pPr>
        <w:spacing w:before="40" w:after="40" w:line="240" w:lineRule="exact"/>
        <w:rPr>
          <w:rFonts w:ascii="宋体" w:eastAsia="宋体" w:hAnsi="宋体" w:cs="宋体"/>
          <w:sz w:val="18"/>
          <w:szCs w:val="18"/>
        </w:rPr>
      </w:pPr>
    </w:p>
    <w:p w:rsidR="00B72ACA" w:rsidRDefault="00674F05">
      <w:pPr>
        <w:pStyle w:val="2"/>
        <w:spacing w:before="300" w:after="300" w:line="320" w:lineRule="exact"/>
        <w:rPr>
          <w:rFonts w:ascii="宋体" w:eastAsia="宋体" w:hAnsi="宋体" w:cs="宋体"/>
          <w:b/>
          <w:bCs/>
          <w:sz w:val="24"/>
          <w:szCs w:val="24"/>
        </w:rPr>
      </w:pPr>
      <w:bookmarkStart w:id="150" w:name="_Toc989039"/>
      <w:r>
        <w:rPr>
          <w:rFonts w:ascii="宋体" w:eastAsia="宋体" w:hAnsi="宋体" w:cs="宋体"/>
          <w:b/>
          <w:bCs/>
          <w:sz w:val="24"/>
          <w:szCs w:val="24"/>
        </w:rPr>
        <w:t>六、税项</w:t>
      </w:r>
      <w:bookmarkEnd w:id="150"/>
    </w:p>
    <w:p w:rsidR="00B72ACA" w:rsidRDefault="00674F05">
      <w:pPr>
        <w:pStyle w:val="3"/>
        <w:spacing w:line="280" w:lineRule="exact"/>
        <w:jc w:val="left"/>
        <w:rPr>
          <w:rFonts w:ascii="宋体" w:hAnsi="宋体" w:cs="宋体"/>
          <w:b/>
          <w:bCs/>
        </w:rPr>
      </w:pPr>
      <w:bookmarkStart w:id="151" w:name="_Toc989040"/>
      <w:r>
        <w:rPr>
          <w:rFonts w:ascii="宋体" w:hAnsi="宋体" w:cs="宋体"/>
          <w:b/>
          <w:bCs/>
        </w:rPr>
        <w:t>1、主要税种及税率</w:t>
      </w:r>
      <w:bookmarkEnd w:id="15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工业产品销售应</w:t>
            </w:r>
            <w:proofErr w:type="gramStart"/>
            <w:r>
              <w:rPr>
                <w:rFonts w:ascii="宋体" w:eastAsia="宋体" w:hAnsi="宋体" w:cs="宋体"/>
                <w:sz w:val="18"/>
                <w:szCs w:val="18"/>
              </w:rPr>
              <w:t>税收入按</w:t>
            </w:r>
            <w:proofErr w:type="gramEnd"/>
            <w:r>
              <w:rPr>
                <w:rFonts w:ascii="宋体" w:eastAsia="宋体" w:hAnsi="宋体" w:cs="宋体"/>
                <w:sz w:val="18"/>
                <w:szCs w:val="18"/>
              </w:rPr>
              <w:t>13%的税率计算销项税；投资管理业务应</w:t>
            </w:r>
            <w:proofErr w:type="gramStart"/>
            <w:r>
              <w:rPr>
                <w:rFonts w:ascii="宋体" w:eastAsia="宋体" w:hAnsi="宋体" w:cs="宋体"/>
                <w:sz w:val="18"/>
                <w:szCs w:val="18"/>
              </w:rPr>
              <w:t>税收入按</w:t>
            </w:r>
            <w:proofErr w:type="gramEnd"/>
            <w:r>
              <w:rPr>
                <w:rFonts w:ascii="宋体" w:eastAsia="宋体" w:hAnsi="宋体" w:cs="宋体"/>
                <w:sz w:val="18"/>
                <w:szCs w:val="18"/>
              </w:rPr>
              <w:t>6%的税率计算销项税；码头业务应</w:t>
            </w:r>
            <w:proofErr w:type="gramStart"/>
            <w:r>
              <w:rPr>
                <w:rFonts w:ascii="宋体" w:eastAsia="宋体" w:hAnsi="宋体" w:cs="宋体"/>
                <w:sz w:val="18"/>
                <w:szCs w:val="18"/>
              </w:rPr>
              <w:t>税收入按</w:t>
            </w:r>
            <w:proofErr w:type="gramEnd"/>
            <w:r>
              <w:rPr>
                <w:rFonts w:ascii="宋体" w:eastAsia="宋体" w:hAnsi="宋体" w:cs="宋体"/>
                <w:sz w:val="18"/>
                <w:szCs w:val="18"/>
              </w:rPr>
              <w:t>6%的税率计算销项税；并按扣除当期允许抵扣的进项税额后的差额计缴增值税。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13%</w:t>
            </w:r>
            <w:r w:rsidR="00F54857">
              <w:rPr>
                <w:rFonts w:ascii="宋体" w:eastAsia="宋体" w:hAnsi="宋体" w:cs="宋体" w:hint="eastAsia"/>
                <w:sz w:val="18"/>
                <w:szCs w:val="18"/>
              </w:rPr>
              <w:t xml:space="preserve"> </w:t>
            </w:r>
            <w:r>
              <w:rPr>
                <w:rFonts w:ascii="宋体" w:eastAsia="宋体" w:hAnsi="宋体" w:cs="宋体"/>
                <w:sz w:val="18"/>
                <w:szCs w:val="18"/>
              </w:rPr>
              <w:t xml:space="preserve"> 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按实际缴纳的流转税的7%、5%计缴。</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 xml:space="preserve">7% </w:t>
            </w:r>
            <w:r w:rsidR="00F54857">
              <w:rPr>
                <w:rFonts w:ascii="宋体" w:eastAsia="宋体" w:hAnsi="宋体" w:cs="宋体" w:hint="eastAsia"/>
                <w:sz w:val="18"/>
                <w:szCs w:val="18"/>
              </w:rPr>
              <w:t xml:space="preserve"> </w:t>
            </w:r>
            <w:r>
              <w:rPr>
                <w:rFonts w:ascii="宋体" w:eastAsia="宋体" w:hAnsi="宋体" w:cs="宋体"/>
                <w:sz w:val="18"/>
                <w:szCs w:val="18"/>
              </w:rPr>
              <w:t>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rsidP="00F54857">
            <w:pPr>
              <w:spacing w:line="240" w:lineRule="exact"/>
              <w:jc w:val="both"/>
              <w:rPr>
                <w:rFonts w:ascii="宋体" w:eastAsia="宋体" w:hAnsi="宋体" w:cs="宋体"/>
                <w:sz w:val="18"/>
                <w:szCs w:val="18"/>
              </w:rPr>
            </w:pPr>
            <w:r>
              <w:rPr>
                <w:rFonts w:ascii="宋体" w:eastAsia="宋体" w:hAnsi="宋体" w:cs="宋体"/>
                <w:sz w:val="18"/>
                <w:szCs w:val="18"/>
              </w:rPr>
              <w:t>按应纳税所得额的25%计缴/详见下表。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25%</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w:t>
            </w:r>
          </w:p>
        </w:tc>
      </w:tr>
    </w:tbl>
    <w:p w:rsidR="00B72ACA" w:rsidRDefault="00674F05">
      <w:pPr>
        <w:pStyle w:val="3"/>
        <w:spacing w:line="280" w:lineRule="exact"/>
        <w:jc w:val="left"/>
        <w:rPr>
          <w:rFonts w:ascii="宋体" w:hAnsi="宋体" w:cs="宋体"/>
          <w:b/>
          <w:bCs/>
        </w:rPr>
      </w:pPr>
      <w:bookmarkStart w:id="152" w:name="_Toc989041"/>
      <w:r>
        <w:rPr>
          <w:rFonts w:ascii="宋体" w:hAnsi="宋体" w:cs="宋体"/>
          <w:b/>
          <w:bCs/>
        </w:rPr>
        <w:t>2、税收优惠</w:t>
      </w:r>
      <w:bookmarkEnd w:id="152"/>
    </w:p>
    <w:p w:rsidR="00674F05" w:rsidRDefault="00674F05">
      <w:pPr>
        <w:pStyle w:val="a3"/>
        <w:spacing w:before="0" w:beforeAutospacing="0" w:after="0" w:afterAutospacing="0" w:line="400" w:lineRule="atLeast"/>
        <w:ind w:firstLine="360"/>
        <w:jc w:val="both"/>
        <w:textAlignment w:val="bottom"/>
        <w:divId w:val="23411401"/>
        <w:rPr>
          <w:rFonts w:ascii="Times New Roman" w:hAnsi="Times New Roman" w:cs="Times New Roman"/>
          <w:sz w:val="21"/>
          <w:szCs w:val="21"/>
        </w:rPr>
      </w:pPr>
      <w:r>
        <w:rPr>
          <w:rFonts w:cs="Times New Roman" w:hint="eastAsia"/>
          <w:snapToGrid w:val="0"/>
          <w:sz w:val="18"/>
          <w:szCs w:val="18"/>
        </w:rPr>
        <w:t>根据财政部、国家税务总局《关于小微企业和个体工商户所得税优惠政策的公告》（财政部税务总局公告2023年第6号），对小型微利企业年应纳税所得额不超过100万元的部分，减按25%计入应纳税所得额，按20%的税率缴纳企业所得税。</w:t>
      </w:r>
    </w:p>
    <w:p w:rsidR="00674F05" w:rsidRDefault="00674F05">
      <w:pPr>
        <w:pStyle w:val="a3"/>
        <w:spacing w:before="0" w:beforeAutospacing="0" w:after="0" w:afterAutospacing="0" w:line="400" w:lineRule="atLeast"/>
        <w:ind w:firstLine="360"/>
        <w:jc w:val="both"/>
        <w:textAlignment w:val="bottom"/>
        <w:divId w:val="23411401"/>
        <w:rPr>
          <w:rFonts w:ascii="Times New Roman" w:hAnsi="Times New Roman" w:cs="Times New Roman"/>
          <w:sz w:val="21"/>
          <w:szCs w:val="21"/>
        </w:rPr>
      </w:pPr>
      <w:r>
        <w:rPr>
          <w:rFonts w:cs="Times New Roman" w:hint="eastAsia"/>
          <w:snapToGrid w:val="0"/>
          <w:sz w:val="18"/>
          <w:szCs w:val="18"/>
        </w:rPr>
        <w:t>根据财政部、国家税务总局《关于进一步实施小微企业所得税优惠政策的公告》（财政部税务总局公告2022年第13号），对小型微利企业年应纳税所得额超过100万元但不超过300万元的部分，减按25%计入应纳税所得额，按20%的税率缴纳企业所得税。</w:t>
      </w:r>
    </w:p>
    <w:p w:rsidR="00B72ACA" w:rsidRDefault="00674F05">
      <w:pPr>
        <w:pStyle w:val="2"/>
        <w:spacing w:before="300" w:after="300" w:line="320" w:lineRule="exact"/>
        <w:rPr>
          <w:rFonts w:ascii="宋体" w:eastAsia="宋体" w:hAnsi="宋体" w:cs="宋体"/>
          <w:b/>
          <w:bCs/>
          <w:sz w:val="24"/>
          <w:szCs w:val="24"/>
        </w:rPr>
      </w:pPr>
      <w:bookmarkStart w:id="153" w:name="_Toc989042"/>
      <w:r>
        <w:rPr>
          <w:rFonts w:ascii="宋体" w:eastAsia="宋体" w:hAnsi="宋体" w:cs="宋体"/>
          <w:b/>
          <w:bCs/>
          <w:sz w:val="24"/>
          <w:szCs w:val="24"/>
        </w:rPr>
        <w:t>七、合并财务报表项目注释</w:t>
      </w:r>
      <w:bookmarkEnd w:id="153"/>
    </w:p>
    <w:p w:rsidR="00B72ACA" w:rsidRDefault="00674F05">
      <w:pPr>
        <w:pStyle w:val="3"/>
        <w:spacing w:line="280" w:lineRule="exact"/>
        <w:jc w:val="left"/>
        <w:rPr>
          <w:rFonts w:ascii="宋体" w:hAnsi="宋体" w:cs="宋体"/>
          <w:b/>
          <w:bCs/>
        </w:rPr>
      </w:pPr>
      <w:bookmarkStart w:id="154" w:name="_Toc989043"/>
      <w:r>
        <w:rPr>
          <w:rFonts w:ascii="宋体" w:hAnsi="宋体" w:cs="宋体"/>
          <w:b/>
          <w:bCs/>
        </w:rPr>
        <w:t>1、货币资金</w:t>
      </w:r>
      <w:bookmarkEnd w:id="15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385,260,805.69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373,599,389.79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430,600,219.95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277,164,795.88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815,861,025.64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650,764,185.67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lastRenderedPageBreak/>
              <w:t>因抵押、质押或冻结等对使用有限制的款项总额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359,290,547.09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228,209,635.19</w:t>
            </w:r>
          </w:p>
        </w:tc>
      </w:tr>
    </w:tbl>
    <w:p w:rsidR="001417A9" w:rsidRDefault="001417A9">
      <w:pPr>
        <w:pStyle w:val="a3"/>
        <w:spacing w:before="120" w:beforeAutospacing="0" w:after="120" w:afterAutospacing="0"/>
        <w:ind w:firstLine="360"/>
        <w:divId w:val="1939748815"/>
        <w:rPr>
          <w:rFonts w:cs="Times New Roman"/>
          <w:sz w:val="18"/>
          <w:szCs w:val="18"/>
        </w:rPr>
      </w:pPr>
    </w:p>
    <w:p w:rsidR="00674F05" w:rsidRDefault="00674F05">
      <w:pPr>
        <w:pStyle w:val="a3"/>
        <w:spacing w:before="120" w:beforeAutospacing="0" w:after="120" w:afterAutospacing="0"/>
        <w:ind w:firstLine="360"/>
        <w:divId w:val="1939748815"/>
        <w:rPr>
          <w:rFonts w:ascii="Times New Roman" w:hAnsi="Times New Roman" w:cs="Times New Roman"/>
          <w:sz w:val="21"/>
          <w:szCs w:val="21"/>
        </w:rPr>
      </w:pPr>
      <w:r>
        <w:rPr>
          <w:rFonts w:cs="Times New Roman" w:hint="eastAsia"/>
          <w:sz w:val="18"/>
          <w:szCs w:val="18"/>
        </w:rPr>
        <w:t>  其他货币资金明细：</w:t>
      </w:r>
      <w:r w:rsidR="00F54857">
        <w:rPr>
          <w:rFonts w:cs="Times New Roman" w:hint="eastAsia"/>
          <w:sz w:val="18"/>
          <w:szCs w:val="18"/>
        </w:rPr>
        <w:t xml:space="preserve">                                                              单位：元</w:t>
      </w:r>
    </w:p>
    <w:tbl>
      <w:tblPr>
        <w:tblW w:w="9214" w:type="dxa"/>
        <w:jc w:val="center"/>
        <w:tblCellMar>
          <w:left w:w="0" w:type="dxa"/>
          <w:right w:w="0" w:type="dxa"/>
        </w:tblCellMar>
        <w:tblLook w:val="04A0" w:firstRow="1" w:lastRow="0" w:firstColumn="1" w:lastColumn="0" w:noHBand="0" w:noVBand="1"/>
      </w:tblPr>
      <w:tblGrid>
        <w:gridCol w:w="3816"/>
        <w:gridCol w:w="2599"/>
        <w:gridCol w:w="2799"/>
      </w:tblGrid>
      <w:tr w:rsidR="00674F05">
        <w:trPr>
          <w:divId w:val="1939748815"/>
          <w:trHeight w:val="360"/>
          <w:tblHeader/>
          <w:jc w:val="center"/>
        </w:trPr>
        <w:tc>
          <w:tcPr>
            <w:tcW w:w="381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25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7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上年年末余额</w:t>
            </w:r>
          </w:p>
        </w:tc>
      </w:tr>
      <w:tr w:rsidR="00674F05">
        <w:trPr>
          <w:divId w:val="1939748815"/>
          <w:trHeight w:val="360"/>
          <w:jc w:val="center"/>
        </w:trPr>
        <w:tc>
          <w:tcPr>
            <w:tcW w:w="38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w:t>
            </w:r>
          </w:p>
        </w:tc>
        <w:tc>
          <w:tcPr>
            <w:tcW w:w="25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339,818,352.00</w:t>
            </w:r>
          </w:p>
        </w:tc>
        <w:tc>
          <w:tcPr>
            <w:tcW w:w="27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218,700,000.00</w:t>
            </w:r>
          </w:p>
        </w:tc>
      </w:tr>
      <w:tr w:rsidR="00674F05">
        <w:trPr>
          <w:divId w:val="1939748815"/>
          <w:trHeight w:val="360"/>
          <w:jc w:val="center"/>
        </w:trPr>
        <w:tc>
          <w:tcPr>
            <w:tcW w:w="38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信用证保证金</w:t>
            </w:r>
          </w:p>
        </w:tc>
        <w:tc>
          <w:tcPr>
            <w:tcW w:w="2599"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Pr="00666E3E" w:rsidRDefault="00674F05">
            <w:pPr>
              <w:pStyle w:val="a3"/>
              <w:spacing w:before="0" w:beforeAutospacing="0" w:after="0" w:afterAutospacing="0" w:line="400" w:lineRule="atLeast"/>
              <w:jc w:val="right"/>
              <w:rPr>
                <w:rFonts w:cs="Times New Roman"/>
                <w:sz w:val="18"/>
                <w:szCs w:val="18"/>
              </w:rPr>
            </w:pPr>
            <w:r>
              <w:rPr>
                <w:rFonts w:cs="Times New Roman" w:hint="eastAsia"/>
                <w:sz w:val="18"/>
                <w:szCs w:val="18"/>
              </w:rPr>
              <w:t>19,472,195.09</w:t>
            </w:r>
          </w:p>
        </w:tc>
        <w:tc>
          <w:tcPr>
            <w:tcW w:w="2799"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9,509,635.19</w:t>
            </w:r>
          </w:p>
        </w:tc>
      </w:tr>
      <w:tr w:rsidR="00674F05">
        <w:trPr>
          <w:divId w:val="1939748815"/>
          <w:trHeight w:val="360"/>
          <w:jc w:val="center"/>
        </w:trPr>
        <w:tc>
          <w:tcPr>
            <w:tcW w:w="38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存出投资款</w:t>
            </w:r>
          </w:p>
        </w:tc>
        <w:tc>
          <w:tcPr>
            <w:tcW w:w="2599"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Pr="00666E3E" w:rsidRDefault="00666E3E">
            <w:pPr>
              <w:pStyle w:val="a3"/>
              <w:spacing w:before="0" w:beforeAutospacing="0" w:after="0" w:afterAutospacing="0" w:line="400" w:lineRule="atLeast"/>
              <w:jc w:val="right"/>
              <w:rPr>
                <w:rFonts w:cs="Times New Roman"/>
                <w:sz w:val="18"/>
                <w:szCs w:val="18"/>
              </w:rPr>
            </w:pPr>
            <w:r w:rsidRPr="00666E3E">
              <w:rPr>
                <w:rFonts w:cs="Times New Roman" w:hint="eastAsia"/>
                <w:sz w:val="18"/>
                <w:szCs w:val="18"/>
              </w:rPr>
              <w:t>71,303,372.86</w:t>
            </w:r>
          </w:p>
        </w:tc>
        <w:tc>
          <w:tcPr>
            <w:tcW w:w="2799"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48,948,860.69</w:t>
            </w:r>
          </w:p>
        </w:tc>
      </w:tr>
      <w:tr w:rsidR="00674F05">
        <w:trPr>
          <w:divId w:val="1939748815"/>
          <w:trHeight w:val="360"/>
          <w:jc w:val="center"/>
        </w:trPr>
        <w:tc>
          <w:tcPr>
            <w:tcW w:w="38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活期保证金</w:t>
            </w:r>
          </w:p>
        </w:tc>
        <w:tc>
          <w:tcPr>
            <w:tcW w:w="2599"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66E3E">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6,300.00</w:t>
            </w:r>
          </w:p>
        </w:tc>
        <w:tc>
          <w:tcPr>
            <w:tcW w:w="2799"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6,300.00</w:t>
            </w:r>
          </w:p>
        </w:tc>
      </w:tr>
      <w:tr w:rsidR="00674F05">
        <w:trPr>
          <w:divId w:val="1939748815"/>
          <w:trHeight w:val="360"/>
          <w:jc w:val="center"/>
        </w:trPr>
        <w:tc>
          <w:tcPr>
            <w:tcW w:w="38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25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430,600,219.95</w:t>
            </w:r>
          </w:p>
        </w:tc>
        <w:tc>
          <w:tcPr>
            <w:tcW w:w="27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277,164,795.88</w:t>
            </w:r>
          </w:p>
        </w:tc>
      </w:tr>
    </w:tbl>
    <w:p w:rsidR="00674F05" w:rsidRDefault="00674F05">
      <w:pPr>
        <w:pStyle w:val="a3"/>
        <w:spacing w:before="0" w:beforeAutospacing="0" w:after="0" w:afterAutospacing="0" w:line="400" w:lineRule="atLeast"/>
        <w:ind w:firstLine="360"/>
        <w:jc w:val="both"/>
        <w:divId w:val="1939748815"/>
        <w:rPr>
          <w:rFonts w:ascii="Times New Roman" w:hAnsi="Times New Roman" w:cs="Times New Roman"/>
          <w:sz w:val="21"/>
          <w:szCs w:val="21"/>
        </w:rPr>
      </w:pPr>
      <w:r>
        <w:rPr>
          <w:rFonts w:cs="Times New Roman" w:hint="eastAsia"/>
          <w:sz w:val="18"/>
          <w:szCs w:val="18"/>
        </w:rPr>
        <w:t>期末余额中除借款保证金、信用证保证金外，没有抵押、质押、冻结</w:t>
      </w:r>
      <w:proofErr w:type="gramStart"/>
      <w:r>
        <w:rPr>
          <w:rFonts w:cs="Times New Roman" w:hint="eastAsia"/>
          <w:sz w:val="18"/>
          <w:szCs w:val="18"/>
        </w:rPr>
        <w:t>等对变现有</w:t>
      </w:r>
      <w:proofErr w:type="gramEnd"/>
      <w:r>
        <w:rPr>
          <w:rFonts w:cs="Times New Roman" w:hint="eastAsia"/>
          <w:sz w:val="18"/>
          <w:szCs w:val="18"/>
        </w:rPr>
        <w:t>限制或存放境外且资金汇回受到限制的款项。</w:t>
      </w:r>
    </w:p>
    <w:p w:rsidR="00B72ACA" w:rsidRDefault="00674F05">
      <w:pPr>
        <w:pStyle w:val="3"/>
        <w:spacing w:line="280" w:lineRule="exact"/>
        <w:jc w:val="left"/>
        <w:rPr>
          <w:rFonts w:ascii="宋体" w:hAnsi="宋体" w:cs="宋体"/>
          <w:b/>
          <w:bCs/>
        </w:rPr>
      </w:pPr>
      <w:bookmarkStart w:id="155" w:name="_Toc989044"/>
      <w:r>
        <w:rPr>
          <w:rFonts w:ascii="宋体" w:hAnsi="宋体" w:cs="宋体"/>
          <w:b/>
          <w:bCs/>
        </w:rPr>
        <w:t>2、交易性金融资产</w:t>
      </w:r>
      <w:bookmarkEnd w:id="15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326,565,403.41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398,286,086.00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4,884,026.88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84,341,568.69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5,051,441.96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bl>
    <w:p w:rsidR="00B72ACA" w:rsidRDefault="00674F05">
      <w:pPr>
        <w:pStyle w:val="3"/>
        <w:spacing w:line="280" w:lineRule="exact"/>
        <w:jc w:val="left"/>
        <w:rPr>
          <w:rFonts w:ascii="宋体" w:hAnsi="宋体" w:cs="宋体"/>
          <w:b/>
          <w:bCs/>
        </w:rPr>
      </w:pPr>
      <w:bookmarkStart w:id="156" w:name="_Toc989045"/>
      <w:r>
        <w:rPr>
          <w:rFonts w:ascii="宋体" w:hAnsi="宋体" w:cs="宋体"/>
          <w:b/>
          <w:bCs/>
        </w:rPr>
        <w:t>3、应收票据</w:t>
      </w:r>
      <w:bookmarkEnd w:id="156"/>
    </w:p>
    <w:p w:rsidR="00B72ACA" w:rsidRDefault="00674F05">
      <w:pPr>
        <w:keepNext/>
        <w:keepLines/>
        <w:spacing w:before="300" w:after="300" w:line="280" w:lineRule="exact"/>
        <w:outlineLvl w:val="3"/>
        <w:rPr>
          <w:rFonts w:ascii="宋体" w:eastAsia="宋体" w:hAnsi="宋体" w:cs="宋体"/>
          <w:b/>
          <w:bCs/>
          <w:szCs w:val="21"/>
        </w:rPr>
      </w:pPr>
      <w:bookmarkStart w:id="157" w:name="_Toc989046"/>
      <w:r>
        <w:rPr>
          <w:rFonts w:ascii="宋体" w:eastAsia="宋体" w:hAnsi="宋体" w:cs="宋体"/>
          <w:b/>
          <w:bCs/>
          <w:szCs w:val="21"/>
        </w:rPr>
        <w:t>（1） 应收票据分类列示</w:t>
      </w:r>
      <w:bookmarkEnd w:id="15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r w:rsidR="001417A9">
              <w:rPr>
                <w:rFonts w:ascii="宋体" w:eastAsia="宋体" w:hAnsi="宋体" w:cs="宋体" w:hint="eastAsia"/>
                <w:sz w:val="18"/>
                <w:szCs w:val="18"/>
              </w:rPr>
              <w:t>（注）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79,377,015.60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79,377,015.60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bl>
    <w:p w:rsidR="001417A9" w:rsidRDefault="001417A9" w:rsidP="001417A9">
      <w:pPr>
        <w:pStyle w:val="a3"/>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注：本公司无单项计提减值准备的银行承兑汇票。本期末，本公司认为所持有的银行承兑汇票不存在重大信用风险，不会因银行违约而产生重大损失。</w:t>
      </w:r>
    </w:p>
    <w:p w:rsidR="001417A9" w:rsidRDefault="001417A9">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如是按照预期信用损失一般模型计提应收票据坏账准备，请参照其他应收款的披露方式披露坏账准备的相关信息：</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keepNext/>
        <w:keepLines/>
        <w:spacing w:before="300" w:after="300" w:line="280" w:lineRule="exact"/>
        <w:outlineLvl w:val="3"/>
        <w:rPr>
          <w:rFonts w:ascii="宋体" w:eastAsia="宋体" w:hAnsi="宋体" w:cs="宋体"/>
          <w:b/>
          <w:bCs/>
          <w:szCs w:val="21"/>
        </w:rPr>
      </w:pPr>
      <w:bookmarkStart w:id="158" w:name="_Toc989047"/>
      <w:r>
        <w:rPr>
          <w:rFonts w:ascii="宋体" w:eastAsia="宋体" w:hAnsi="宋体" w:cs="宋体"/>
          <w:b/>
          <w:bCs/>
          <w:szCs w:val="21"/>
        </w:rPr>
        <w:lastRenderedPageBreak/>
        <w:t>（2） 本期计提、收回或转回的坏账准备情况</w:t>
      </w:r>
      <w:bookmarkEnd w:id="158"/>
    </w:p>
    <w:p w:rsidR="001417A9" w:rsidRDefault="001417A9">
      <w:pPr>
        <w:spacing w:before="100" w:after="100" w:line="240" w:lineRule="exact"/>
        <w:rPr>
          <w:rFonts w:ascii="宋体" w:eastAsia="宋体" w:hAnsi="宋体" w:cs="宋体"/>
          <w:sz w:val="18"/>
          <w:szCs w:val="18"/>
        </w:rPr>
      </w:pPr>
      <w:r>
        <w:rPr>
          <w:rFonts w:ascii="宋体" w:eastAsia="宋体" w:hAnsi="宋体" w:cs="宋体" w:hint="eastAsia"/>
          <w:sz w:val="18"/>
          <w:szCs w:val="18"/>
        </w:rPr>
        <w:t>本期无计提坏账准备情况。</w:t>
      </w:r>
    </w:p>
    <w:p w:rsidR="001417A9" w:rsidRDefault="001417A9">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keepNext/>
        <w:keepLines/>
        <w:spacing w:before="300" w:after="300" w:line="280" w:lineRule="exact"/>
        <w:outlineLvl w:val="3"/>
        <w:rPr>
          <w:rFonts w:ascii="宋体" w:eastAsia="宋体" w:hAnsi="宋体" w:cs="宋体"/>
          <w:b/>
          <w:bCs/>
          <w:szCs w:val="21"/>
        </w:rPr>
      </w:pPr>
      <w:bookmarkStart w:id="159" w:name="_Toc989048"/>
      <w:r>
        <w:rPr>
          <w:rFonts w:ascii="宋体" w:eastAsia="宋体" w:hAnsi="宋体" w:cs="宋体"/>
          <w:b/>
          <w:bCs/>
          <w:szCs w:val="21"/>
        </w:rPr>
        <w:t>（3） 期末公司已质押的应收票据</w:t>
      </w:r>
      <w:bookmarkEnd w:id="15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20,588,935.10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20,588,935.10</w:t>
            </w:r>
          </w:p>
        </w:tc>
      </w:tr>
    </w:tbl>
    <w:p w:rsidR="00B72ACA" w:rsidRDefault="00674F05">
      <w:pPr>
        <w:keepNext/>
        <w:keepLines/>
        <w:spacing w:before="300" w:after="300" w:line="280" w:lineRule="exact"/>
        <w:outlineLvl w:val="3"/>
        <w:rPr>
          <w:rFonts w:ascii="宋体" w:eastAsia="宋体" w:hAnsi="宋体" w:cs="宋体"/>
          <w:b/>
          <w:bCs/>
          <w:szCs w:val="21"/>
        </w:rPr>
      </w:pPr>
      <w:bookmarkStart w:id="160" w:name="_Toc989049"/>
      <w:r>
        <w:rPr>
          <w:rFonts w:ascii="宋体" w:eastAsia="宋体" w:hAnsi="宋体" w:cs="宋体"/>
          <w:b/>
          <w:bCs/>
          <w:szCs w:val="21"/>
        </w:rPr>
        <w:t>（4） 期末公司已背书或贴现且在资产负债表日尚未到期的应收票据</w:t>
      </w:r>
      <w:bookmarkEnd w:id="16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13,003,898.52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28,630,000.00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13,003,898.52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28,630,000.00</w:t>
            </w:r>
          </w:p>
        </w:tc>
      </w:tr>
    </w:tbl>
    <w:p w:rsidR="001417A9" w:rsidRDefault="001417A9" w:rsidP="001417A9">
      <w:pPr>
        <w:pStyle w:val="a3"/>
        <w:spacing w:before="0" w:beforeAutospacing="0" w:after="0" w:afterAutospacing="0" w:line="400" w:lineRule="atLeast"/>
        <w:ind w:firstLine="360"/>
        <w:jc w:val="both"/>
        <w:rPr>
          <w:rFonts w:ascii="Times New Roman" w:hAnsi="Times New Roman" w:cs="Times New Roman"/>
          <w:sz w:val="21"/>
          <w:szCs w:val="21"/>
        </w:rPr>
      </w:pPr>
      <w:bookmarkStart w:id="161" w:name="_Toc989050"/>
      <w:r>
        <w:rPr>
          <w:rFonts w:cs="Times New Roman" w:hint="eastAsia"/>
          <w:sz w:val="18"/>
          <w:szCs w:val="18"/>
        </w:rPr>
        <w:t>注：本公司用于背书或贴现的银行承兑汇票如由信用等级较高银行承兑，信用风险和延期付款风险很小，并且票据相关的利率风险已转移给银行，可以判断票据所有权上的主要风险和报酬已经转移，故终止确认；本公司用于背书或贴现的银行承兑汇票如由信用级别一般的银行承兑，背书或贴现不影响追索权，票据相关的信用风险和延期付款风险仍没有转移，故未终止确认。</w:t>
      </w:r>
    </w:p>
    <w:p w:rsidR="00B72ACA" w:rsidRDefault="00674F05">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（5）</w:t>
      </w:r>
      <w:bookmarkStart w:id="162" w:name="_Toc989051"/>
      <w:bookmarkEnd w:id="161"/>
      <w:r>
        <w:rPr>
          <w:rFonts w:ascii="宋体" w:eastAsia="宋体" w:hAnsi="宋体" w:cs="宋体"/>
          <w:b/>
          <w:bCs/>
          <w:szCs w:val="21"/>
        </w:rPr>
        <w:t>本期实际核销的应收票据情况</w:t>
      </w:r>
      <w:bookmarkEnd w:id="162"/>
    </w:p>
    <w:p w:rsidR="00674F05" w:rsidRDefault="00674F05">
      <w:pPr>
        <w:pStyle w:val="a3"/>
        <w:divId w:val="1698316247"/>
        <w:rPr>
          <w:sz w:val="18"/>
          <w:szCs w:val="18"/>
        </w:rPr>
      </w:pPr>
      <w:r>
        <w:rPr>
          <w:rFonts w:hint="eastAsia"/>
          <w:sz w:val="18"/>
          <w:szCs w:val="18"/>
        </w:rPr>
        <w:t>本报告期无实际核销的应收票据。</w:t>
      </w:r>
    </w:p>
    <w:p w:rsidR="00B72ACA" w:rsidRDefault="00674F05">
      <w:pPr>
        <w:pStyle w:val="3"/>
        <w:spacing w:line="280" w:lineRule="exact"/>
        <w:jc w:val="left"/>
        <w:rPr>
          <w:rFonts w:ascii="宋体" w:hAnsi="宋体" w:cs="宋体"/>
          <w:b/>
          <w:bCs/>
        </w:rPr>
      </w:pPr>
      <w:bookmarkStart w:id="163" w:name="_Toc989052"/>
      <w:r>
        <w:rPr>
          <w:rFonts w:ascii="宋体" w:hAnsi="宋体" w:cs="宋体"/>
          <w:b/>
          <w:bCs/>
        </w:rPr>
        <w:t>4、应收账款</w:t>
      </w:r>
      <w:bookmarkEnd w:id="163"/>
    </w:p>
    <w:p w:rsidR="00B72ACA" w:rsidRDefault="00674F05">
      <w:pPr>
        <w:keepNext/>
        <w:keepLines/>
        <w:spacing w:before="300" w:after="300" w:line="280" w:lineRule="exact"/>
        <w:outlineLvl w:val="3"/>
        <w:rPr>
          <w:rFonts w:ascii="宋体" w:eastAsia="宋体" w:hAnsi="宋体" w:cs="宋体"/>
          <w:b/>
          <w:bCs/>
          <w:szCs w:val="21"/>
        </w:rPr>
      </w:pPr>
      <w:bookmarkStart w:id="164" w:name="_Toc989053"/>
      <w:r>
        <w:rPr>
          <w:rFonts w:ascii="宋体" w:eastAsia="宋体" w:hAnsi="宋体" w:cs="宋体"/>
          <w:b/>
          <w:bCs/>
          <w:szCs w:val="21"/>
        </w:rPr>
        <w:t>（1） 应收账款分类披露</w:t>
      </w:r>
      <w:bookmarkEnd w:id="16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B72ACA">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72ACA">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149,910,142.75</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8.89%</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136,579,021.81</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149,910,142.75</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8.89%</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136,579,021.81</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149,910,142.75</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8.89%</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136,579,021.81</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按组合计提坏账准备：13,331,120.94元</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proofErr w:type="gramStart"/>
            <w:r>
              <w:rPr>
                <w:rFonts w:ascii="宋体" w:eastAsia="宋体" w:hAnsi="宋体" w:cs="宋体"/>
                <w:sz w:val="18"/>
                <w:szCs w:val="18"/>
              </w:rPr>
              <w:t>按账龄组</w:t>
            </w:r>
            <w:proofErr w:type="gramEnd"/>
            <w:r>
              <w:rPr>
                <w:rFonts w:ascii="宋体" w:eastAsia="宋体" w:hAnsi="宋体" w:cs="宋体"/>
                <w:sz w:val="18"/>
                <w:szCs w:val="18"/>
              </w:rPr>
              <w:t>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149,910,142.75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149,910,142.75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142,299,659.30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142,299,659.30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1,383,084.69</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6,237.51</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6,221,161.25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290,406.03</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5,930,755.22</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149,910,142.75</w:t>
            </w:r>
          </w:p>
        </w:tc>
      </w:tr>
    </w:tbl>
    <w:p w:rsidR="00B72ACA" w:rsidRDefault="00674F05">
      <w:pPr>
        <w:keepNext/>
        <w:keepLines/>
        <w:spacing w:before="300" w:after="300" w:line="280" w:lineRule="exact"/>
        <w:outlineLvl w:val="3"/>
        <w:rPr>
          <w:rFonts w:ascii="宋体" w:eastAsia="宋体" w:hAnsi="宋体" w:cs="宋体"/>
          <w:b/>
          <w:bCs/>
          <w:szCs w:val="21"/>
        </w:rPr>
      </w:pPr>
      <w:bookmarkStart w:id="165" w:name="_Toc989054"/>
      <w:r>
        <w:rPr>
          <w:rFonts w:ascii="宋体" w:eastAsia="宋体" w:hAnsi="宋体" w:cs="宋体"/>
          <w:b/>
          <w:bCs/>
          <w:szCs w:val="21"/>
        </w:rPr>
        <w:t>（2） 本期计提、收回或转回的坏账准备情况</w:t>
      </w:r>
      <w:bookmarkEnd w:id="165"/>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821,082.05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821,082.05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13,331,120.94</w:t>
            </w:r>
          </w:p>
        </w:tc>
      </w:tr>
    </w:tbl>
    <w:p w:rsidR="00B72ACA" w:rsidRDefault="00674F05">
      <w:pPr>
        <w:keepNext/>
        <w:keepLines/>
        <w:spacing w:before="300" w:after="300" w:line="280" w:lineRule="exact"/>
        <w:outlineLvl w:val="3"/>
        <w:rPr>
          <w:rFonts w:ascii="宋体" w:eastAsia="宋体" w:hAnsi="宋体" w:cs="宋体"/>
          <w:b/>
          <w:bCs/>
          <w:szCs w:val="21"/>
        </w:rPr>
      </w:pPr>
      <w:bookmarkStart w:id="166" w:name="_Toc989055"/>
      <w:r>
        <w:rPr>
          <w:rFonts w:ascii="宋体" w:eastAsia="宋体" w:hAnsi="宋体" w:cs="宋体"/>
          <w:b/>
          <w:bCs/>
          <w:szCs w:val="21"/>
        </w:rPr>
        <w:t>（3） 本期实际核销的应收账款情况</w:t>
      </w:r>
      <w:bookmarkEnd w:id="166"/>
    </w:p>
    <w:p w:rsidR="00674F05" w:rsidRDefault="00674F05">
      <w:pPr>
        <w:pStyle w:val="a3"/>
        <w:divId w:val="2146391353"/>
        <w:rPr>
          <w:sz w:val="18"/>
          <w:szCs w:val="18"/>
        </w:rPr>
      </w:pPr>
      <w:r>
        <w:rPr>
          <w:rFonts w:hint="eastAsia"/>
          <w:sz w:val="18"/>
          <w:szCs w:val="18"/>
        </w:rPr>
        <w:t>本报告期无实际核销的应收账款。</w:t>
      </w:r>
    </w:p>
    <w:p w:rsidR="00B72ACA" w:rsidRDefault="00674F05">
      <w:pPr>
        <w:keepNext/>
        <w:keepLines/>
        <w:spacing w:before="300" w:after="300" w:line="280" w:lineRule="exact"/>
        <w:outlineLvl w:val="3"/>
        <w:rPr>
          <w:rFonts w:ascii="宋体" w:eastAsia="宋体" w:hAnsi="宋体" w:cs="宋体"/>
          <w:b/>
          <w:bCs/>
          <w:szCs w:val="21"/>
        </w:rPr>
      </w:pPr>
      <w:bookmarkStart w:id="167" w:name="_Toc989056"/>
      <w:r>
        <w:rPr>
          <w:rFonts w:ascii="宋体" w:eastAsia="宋体" w:hAnsi="宋体" w:cs="宋体"/>
          <w:b/>
          <w:bCs/>
          <w:szCs w:val="21"/>
        </w:rPr>
        <w:lastRenderedPageBreak/>
        <w:t>（4） 按欠款方归集的期末余额前五名的应收账款情况</w:t>
      </w:r>
      <w:bookmarkEnd w:id="16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21,789,602.22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14.53%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1,089,480.11</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20,445,256.58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1,022,262.83</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18,450,964.56</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991,697.93</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10,797,731.75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539,886.59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9,726,851.70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6.49%</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486,342.59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81,210,406.81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54.17%</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keepNext/>
        <w:keepLines/>
        <w:spacing w:before="300" w:after="300" w:line="280" w:lineRule="exact"/>
        <w:outlineLvl w:val="3"/>
        <w:rPr>
          <w:rFonts w:ascii="宋体" w:eastAsia="宋体" w:hAnsi="宋体" w:cs="宋体"/>
          <w:b/>
          <w:bCs/>
          <w:szCs w:val="21"/>
        </w:rPr>
      </w:pPr>
      <w:bookmarkStart w:id="168" w:name="_Toc989057"/>
      <w:r>
        <w:rPr>
          <w:rFonts w:ascii="宋体" w:eastAsia="宋体" w:hAnsi="宋体" w:cs="宋体"/>
          <w:b/>
          <w:bCs/>
          <w:szCs w:val="21"/>
        </w:rPr>
        <w:t>（5） 因金融资产转移而终止确认的应收账款</w:t>
      </w:r>
      <w:bookmarkEnd w:id="168"/>
    </w:p>
    <w:p w:rsidR="00674F05" w:rsidRDefault="00674F05">
      <w:pPr>
        <w:pStyle w:val="a3"/>
        <w:divId w:val="134294921"/>
        <w:rPr>
          <w:sz w:val="18"/>
          <w:szCs w:val="18"/>
        </w:rPr>
      </w:pPr>
      <w:r>
        <w:rPr>
          <w:rFonts w:hint="eastAsia"/>
          <w:sz w:val="18"/>
          <w:szCs w:val="18"/>
        </w:rPr>
        <w:t>公司无因金融资产转移而终止确认的应收账款。</w:t>
      </w:r>
    </w:p>
    <w:p w:rsidR="00B72ACA" w:rsidRDefault="00674F05">
      <w:pPr>
        <w:keepNext/>
        <w:keepLines/>
        <w:spacing w:before="300" w:after="300" w:line="280" w:lineRule="exact"/>
        <w:outlineLvl w:val="3"/>
        <w:rPr>
          <w:rFonts w:ascii="宋体" w:eastAsia="宋体" w:hAnsi="宋体" w:cs="宋体"/>
          <w:b/>
          <w:bCs/>
          <w:szCs w:val="21"/>
        </w:rPr>
      </w:pPr>
      <w:bookmarkStart w:id="169" w:name="_Toc989058"/>
      <w:r>
        <w:rPr>
          <w:rFonts w:ascii="宋体" w:eastAsia="宋体" w:hAnsi="宋体" w:cs="宋体"/>
          <w:b/>
          <w:bCs/>
          <w:szCs w:val="21"/>
        </w:rPr>
        <w:t>（6） 转移应收</w:t>
      </w:r>
      <w:proofErr w:type="gramStart"/>
      <w:r>
        <w:rPr>
          <w:rFonts w:ascii="宋体" w:eastAsia="宋体" w:hAnsi="宋体" w:cs="宋体"/>
          <w:b/>
          <w:bCs/>
          <w:szCs w:val="21"/>
        </w:rPr>
        <w:t>账款且</w:t>
      </w:r>
      <w:proofErr w:type="gramEnd"/>
      <w:r>
        <w:rPr>
          <w:rFonts w:ascii="宋体" w:eastAsia="宋体" w:hAnsi="宋体" w:cs="宋体"/>
          <w:b/>
          <w:bCs/>
          <w:szCs w:val="21"/>
        </w:rPr>
        <w:t>继续涉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169"/>
    </w:p>
    <w:p w:rsidR="00674F05" w:rsidRDefault="00674F05">
      <w:pPr>
        <w:pStyle w:val="a3"/>
        <w:divId w:val="145435694"/>
        <w:rPr>
          <w:sz w:val="18"/>
          <w:szCs w:val="18"/>
        </w:rPr>
      </w:pPr>
      <w:r>
        <w:rPr>
          <w:rFonts w:hint="eastAsia"/>
          <w:sz w:val="18"/>
          <w:szCs w:val="18"/>
        </w:rPr>
        <w:t>公司无转移应收</w:t>
      </w:r>
      <w:proofErr w:type="gramStart"/>
      <w:r>
        <w:rPr>
          <w:rFonts w:hint="eastAsia"/>
          <w:sz w:val="18"/>
          <w:szCs w:val="18"/>
        </w:rPr>
        <w:t>账款且</w:t>
      </w:r>
      <w:proofErr w:type="gramEnd"/>
      <w:r>
        <w:rPr>
          <w:rFonts w:hint="eastAsia"/>
          <w:sz w:val="18"/>
          <w:szCs w:val="18"/>
        </w:rPr>
        <w:t>继续涉入的资产和负债。</w:t>
      </w:r>
    </w:p>
    <w:p w:rsidR="00B72ACA" w:rsidRDefault="00674F05">
      <w:pPr>
        <w:pStyle w:val="3"/>
        <w:spacing w:line="280" w:lineRule="exact"/>
        <w:jc w:val="left"/>
        <w:rPr>
          <w:rFonts w:ascii="宋体" w:hAnsi="宋体" w:cs="宋体"/>
          <w:b/>
          <w:bCs/>
        </w:rPr>
      </w:pPr>
      <w:bookmarkStart w:id="170" w:name="_Toc989059"/>
      <w:r>
        <w:rPr>
          <w:rFonts w:ascii="宋体" w:hAnsi="宋体" w:cs="宋体"/>
          <w:b/>
          <w:bCs/>
        </w:rPr>
        <w:t>5、应收款项融资</w:t>
      </w:r>
      <w:bookmarkEnd w:id="17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应收票据（注）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bl>
    <w:p w:rsidR="001417A9" w:rsidRDefault="001417A9" w:rsidP="001417A9">
      <w:pPr>
        <w:pStyle w:val="a3"/>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注：本公司及所属部分子公司视其日常资金管理的需要将一部分银行承兑汇票进行贴现和背书，故将该部分银行承兑汇票分类为以公允价值计量且其变动计入其他综合收益的金融资产。</w:t>
      </w:r>
    </w:p>
    <w:p w:rsidR="001417A9" w:rsidRDefault="001417A9">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应收款项融资本期增减变动及公允价值变动情况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如是按照预期信用损失一般模型计提应收款项融资减值准备，请参照其他应收款的披露方式披露减值准备的相关信息：</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74F05" w:rsidRDefault="00674F05">
      <w:pPr>
        <w:pStyle w:val="a3"/>
        <w:spacing w:before="0" w:beforeAutospacing="0" w:after="0" w:afterAutospacing="0" w:line="400" w:lineRule="atLeast"/>
        <w:ind w:firstLine="360"/>
        <w:jc w:val="both"/>
        <w:divId w:val="628711167"/>
        <w:rPr>
          <w:rFonts w:ascii="Times New Roman" w:hAnsi="Times New Roman" w:cs="Times New Roman"/>
          <w:sz w:val="21"/>
          <w:szCs w:val="21"/>
        </w:rPr>
      </w:pPr>
      <w:proofErr w:type="gramStart"/>
      <w:r>
        <w:rPr>
          <w:rFonts w:cs="Times New Roman" w:hint="eastAsia"/>
          <w:sz w:val="18"/>
          <w:szCs w:val="18"/>
        </w:rPr>
        <w:t>期末已</w:t>
      </w:r>
      <w:proofErr w:type="gramEnd"/>
      <w:r>
        <w:rPr>
          <w:rFonts w:cs="Times New Roman" w:hint="eastAsia"/>
          <w:sz w:val="18"/>
          <w:szCs w:val="18"/>
        </w:rPr>
        <w:t>质押的应收票据情况：</w:t>
      </w:r>
      <w:r w:rsidR="00F54857">
        <w:rPr>
          <w:rFonts w:cs="Times New Roman" w:hint="eastAsia"/>
          <w:sz w:val="18"/>
          <w:szCs w:val="18"/>
        </w:rPr>
        <w:t xml:space="preserve">                                                           单位：元</w:t>
      </w:r>
    </w:p>
    <w:tbl>
      <w:tblPr>
        <w:tblW w:w="9606" w:type="dxa"/>
        <w:tblCellMar>
          <w:left w:w="0" w:type="dxa"/>
          <w:right w:w="0" w:type="dxa"/>
        </w:tblCellMar>
        <w:tblLook w:val="04A0" w:firstRow="1" w:lastRow="0" w:firstColumn="1" w:lastColumn="0" w:noHBand="0" w:noVBand="1"/>
      </w:tblPr>
      <w:tblGrid>
        <w:gridCol w:w="4077"/>
        <w:gridCol w:w="5529"/>
      </w:tblGrid>
      <w:tr w:rsidR="00674F05" w:rsidTr="001417A9">
        <w:trPr>
          <w:divId w:val="628711167"/>
          <w:tblHeader/>
        </w:trPr>
        <w:tc>
          <w:tcPr>
            <w:tcW w:w="4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proofErr w:type="gramStart"/>
            <w:r>
              <w:rPr>
                <w:rFonts w:cs="Times New Roman" w:hint="eastAsia"/>
                <w:sz w:val="18"/>
                <w:szCs w:val="18"/>
              </w:rPr>
              <w:t>期末已质</w:t>
            </w:r>
            <w:proofErr w:type="gramEnd"/>
            <w:r>
              <w:rPr>
                <w:rFonts w:cs="Times New Roman" w:hint="eastAsia"/>
                <w:sz w:val="18"/>
                <w:szCs w:val="18"/>
              </w:rPr>
              <w:t>押金额</w:t>
            </w:r>
          </w:p>
        </w:tc>
      </w:tr>
      <w:tr w:rsidR="00674F05" w:rsidTr="001417A9">
        <w:trPr>
          <w:divId w:val="628711167"/>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129,921,160.36</w:t>
            </w:r>
          </w:p>
        </w:tc>
      </w:tr>
      <w:tr w:rsidR="00674F05" w:rsidTr="001417A9">
        <w:trPr>
          <w:divId w:val="628711167"/>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商业承兑汇票</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rsidTr="001417A9">
        <w:trPr>
          <w:divId w:val="628711167"/>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129,921,160.36</w:t>
            </w:r>
          </w:p>
        </w:tc>
      </w:tr>
    </w:tbl>
    <w:p w:rsidR="00B72ACA" w:rsidRDefault="00674F05">
      <w:pPr>
        <w:pStyle w:val="3"/>
        <w:spacing w:line="280" w:lineRule="exact"/>
        <w:jc w:val="left"/>
        <w:rPr>
          <w:rFonts w:ascii="宋体" w:hAnsi="宋体" w:cs="宋体"/>
          <w:b/>
          <w:bCs/>
        </w:rPr>
      </w:pPr>
      <w:bookmarkStart w:id="171" w:name="_Toc989060"/>
      <w:r>
        <w:rPr>
          <w:rFonts w:ascii="宋体" w:hAnsi="宋体" w:cs="宋体"/>
          <w:b/>
          <w:bCs/>
        </w:rPr>
        <w:t>6、预付款项</w:t>
      </w:r>
      <w:bookmarkEnd w:id="171"/>
    </w:p>
    <w:p w:rsidR="00B72ACA" w:rsidRDefault="00674F05">
      <w:pPr>
        <w:keepNext/>
        <w:keepLines/>
        <w:spacing w:before="300" w:after="300" w:line="280" w:lineRule="exact"/>
        <w:outlineLvl w:val="3"/>
        <w:rPr>
          <w:rFonts w:ascii="宋体" w:eastAsia="宋体" w:hAnsi="宋体" w:cs="宋体"/>
          <w:b/>
          <w:bCs/>
          <w:szCs w:val="21"/>
        </w:rPr>
      </w:pPr>
      <w:bookmarkStart w:id="172" w:name="_Toc989061"/>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17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43,069,628.00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99.87%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37,901,938.07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99.82%</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10,230.50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34,515.01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48,665.02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23,745.02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43,128,293.03</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37,970,428.60</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rsidR="00674F05" w:rsidRDefault="00674F05">
      <w:pPr>
        <w:pStyle w:val="a3"/>
        <w:divId w:val="25840409"/>
        <w:rPr>
          <w:sz w:val="18"/>
          <w:szCs w:val="18"/>
        </w:rPr>
      </w:pPr>
      <w:r>
        <w:rPr>
          <w:rFonts w:hint="eastAsia"/>
          <w:sz w:val="18"/>
          <w:szCs w:val="18"/>
        </w:rPr>
        <w:t>账龄一年以上的预付账款为尚未结算的货款尾款。</w:t>
      </w:r>
    </w:p>
    <w:p w:rsidR="00B72ACA" w:rsidRPr="00AB2EF6" w:rsidRDefault="00674F05">
      <w:pPr>
        <w:keepNext/>
        <w:keepLines/>
        <w:spacing w:before="300" w:after="300" w:line="280" w:lineRule="exact"/>
        <w:outlineLvl w:val="3"/>
        <w:rPr>
          <w:rFonts w:ascii="宋体" w:eastAsia="宋体" w:hAnsi="宋体" w:cs="宋体"/>
          <w:bCs/>
          <w:sz w:val="18"/>
          <w:szCs w:val="18"/>
        </w:rPr>
      </w:pPr>
      <w:bookmarkStart w:id="173" w:name="_Toc989062"/>
      <w:r>
        <w:rPr>
          <w:rFonts w:ascii="宋体" w:eastAsia="宋体" w:hAnsi="宋体" w:cs="宋体"/>
          <w:b/>
          <w:bCs/>
          <w:szCs w:val="21"/>
        </w:rPr>
        <w:t>（2） 按预付对象归集的期末余额前五名的预付款情况</w:t>
      </w:r>
      <w:bookmarkEnd w:id="173"/>
      <w:r w:rsidR="00AB2EF6">
        <w:rPr>
          <w:rFonts w:ascii="宋体" w:eastAsia="宋体" w:hAnsi="宋体" w:cs="宋体" w:hint="eastAsia"/>
          <w:b/>
          <w:bCs/>
          <w:szCs w:val="21"/>
        </w:rPr>
        <w:t xml:space="preserve">                              </w:t>
      </w:r>
      <w:r w:rsidR="00AB2EF6" w:rsidRPr="00AB2EF6">
        <w:rPr>
          <w:rFonts w:ascii="宋体" w:eastAsia="宋体" w:hAnsi="宋体" w:cs="宋体" w:hint="eastAsia"/>
          <w:bCs/>
          <w:sz w:val="18"/>
          <w:szCs w:val="18"/>
        </w:rPr>
        <w:t xml:space="preserve"> 单位：元</w:t>
      </w:r>
    </w:p>
    <w:tbl>
      <w:tblPr>
        <w:tblW w:w="9426" w:type="dxa"/>
        <w:jc w:val="center"/>
        <w:tblInd w:w="-210" w:type="dxa"/>
        <w:tblCellMar>
          <w:left w:w="0" w:type="dxa"/>
          <w:right w:w="0" w:type="dxa"/>
        </w:tblCellMar>
        <w:tblLook w:val="04A0" w:firstRow="1" w:lastRow="0" w:firstColumn="1" w:lastColumn="0" w:noHBand="0" w:noVBand="1"/>
      </w:tblPr>
      <w:tblGrid>
        <w:gridCol w:w="1878"/>
        <w:gridCol w:w="1984"/>
        <w:gridCol w:w="2552"/>
        <w:gridCol w:w="1559"/>
        <w:gridCol w:w="1453"/>
      </w:tblGrid>
      <w:tr w:rsidR="00674F05" w:rsidTr="00082370">
        <w:trPr>
          <w:divId w:val="2049644318"/>
          <w:trHeight w:val="495"/>
          <w:tblHeader/>
          <w:jc w:val="center"/>
        </w:trPr>
        <w:tc>
          <w:tcPr>
            <w:tcW w:w="1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单位名称</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占预付账款总额比例（%）</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账龄</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款项性质</w:t>
            </w:r>
          </w:p>
        </w:tc>
      </w:tr>
      <w:tr w:rsidR="00674F05" w:rsidTr="00082370">
        <w:trPr>
          <w:divId w:val="2049644318"/>
          <w:trHeight w:val="345"/>
          <w:jc w:val="center"/>
        </w:trPr>
        <w:tc>
          <w:tcPr>
            <w:tcW w:w="1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预付单位1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17,549,100.00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40.69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1年以内</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材料款</w:t>
            </w:r>
          </w:p>
        </w:tc>
      </w:tr>
      <w:tr w:rsidR="00674F05" w:rsidTr="00082370">
        <w:trPr>
          <w:divId w:val="2049644318"/>
          <w:trHeight w:val="345"/>
          <w:jc w:val="center"/>
        </w:trPr>
        <w:tc>
          <w:tcPr>
            <w:tcW w:w="1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预付单位2</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16,851,753.00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39.07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1年以内</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材料款</w:t>
            </w:r>
          </w:p>
        </w:tc>
      </w:tr>
      <w:tr w:rsidR="00674F05" w:rsidTr="00082370">
        <w:trPr>
          <w:divId w:val="2049644318"/>
          <w:trHeight w:val="345"/>
          <w:jc w:val="center"/>
        </w:trPr>
        <w:tc>
          <w:tcPr>
            <w:tcW w:w="1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预付单位3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6,299,662.98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14.61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1年以内</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能源款</w:t>
            </w:r>
          </w:p>
        </w:tc>
      </w:tr>
      <w:tr w:rsidR="00674F05" w:rsidTr="00082370">
        <w:trPr>
          <w:divId w:val="2049644318"/>
          <w:trHeight w:val="345"/>
          <w:jc w:val="center"/>
        </w:trPr>
        <w:tc>
          <w:tcPr>
            <w:tcW w:w="1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预付单位4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504,200.00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1年以内</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能源款</w:t>
            </w:r>
          </w:p>
        </w:tc>
      </w:tr>
      <w:tr w:rsidR="00674F05" w:rsidTr="00082370">
        <w:trPr>
          <w:divId w:val="2049644318"/>
          <w:trHeight w:val="345"/>
          <w:jc w:val="center"/>
        </w:trPr>
        <w:tc>
          <w:tcPr>
            <w:tcW w:w="18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预付单位5</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450,900.00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1年以内</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材料款</w:t>
            </w:r>
          </w:p>
        </w:tc>
      </w:tr>
      <w:tr w:rsidR="00674F05" w:rsidTr="00082370">
        <w:trPr>
          <w:divId w:val="2049644318"/>
          <w:trHeight w:val="345"/>
          <w:jc w:val="center"/>
        </w:trPr>
        <w:tc>
          <w:tcPr>
            <w:tcW w:w="18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41,655,615.98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96.59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bl>
    <w:p w:rsidR="00B72ACA" w:rsidRDefault="00674F05">
      <w:pPr>
        <w:pStyle w:val="3"/>
        <w:spacing w:line="280" w:lineRule="exact"/>
        <w:jc w:val="left"/>
        <w:rPr>
          <w:rFonts w:ascii="宋体" w:hAnsi="宋体" w:cs="宋体"/>
          <w:b/>
          <w:bCs/>
        </w:rPr>
      </w:pPr>
      <w:bookmarkStart w:id="174" w:name="_Toc989063"/>
      <w:r>
        <w:rPr>
          <w:rFonts w:ascii="宋体" w:hAnsi="宋体" w:cs="宋体"/>
          <w:b/>
          <w:bCs/>
        </w:rPr>
        <w:t>7、其他应收款</w:t>
      </w:r>
      <w:bookmarkEnd w:id="17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971,411.25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33,710,737.35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967,065.72</w:t>
            </w:r>
          </w:p>
        </w:tc>
      </w:tr>
    </w:tbl>
    <w:p w:rsidR="00B72ACA" w:rsidRDefault="00674F05">
      <w:pPr>
        <w:keepNext/>
        <w:keepLines/>
        <w:spacing w:before="300" w:after="300" w:line="280" w:lineRule="exact"/>
        <w:outlineLvl w:val="3"/>
        <w:rPr>
          <w:rFonts w:ascii="宋体" w:eastAsia="宋体" w:hAnsi="宋体" w:cs="宋体"/>
          <w:b/>
          <w:bCs/>
          <w:szCs w:val="21"/>
        </w:rPr>
      </w:pPr>
      <w:bookmarkStart w:id="175" w:name="_Toc989064"/>
      <w:r>
        <w:rPr>
          <w:rFonts w:ascii="宋体" w:eastAsia="宋体" w:hAnsi="宋体" w:cs="宋体"/>
          <w:b/>
          <w:bCs/>
          <w:szCs w:val="21"/>
        </w:rPr>
        <w:t>（1） 应收股利</w:t>
      </w:r>
      <w:bookmarkEnd w:id="175"/>
    </w:p>
    <w:p w:rsidR="00B72ACA" w:rsidRDefault="00674F05">
      <w:pPr>
        <w:keepNext/>
        <w:keepLines/>
        <w:spacing w:before="300" w:after="300" w:line="280" w:lineRule="exact"/>
        <w:outlineLvl w:val="4"/>
        <w:rPr>
          <w:rFonts w:ascii="宋体" w:eastAsia="宋体" w:hAnsi="宋体" w:cs="宋体"/>
          <w:b/>
          <w:bCs/>
          <w:szCs w:val="21"/>
        </w:rPr>
      </w:pPr>
      <w:bookmarkStart w:id="176" w:name="_Toc989065"/>
      <w:r>
        <w:rPr>
          <w:rFonts w:ascii="宋体" w:eastAsia="宋体" w:hAnsi="宋体" w:cs="宋体"/>
          <w:b/>
          <w:bCs/>
          <w:szCs w:val="21"/>
        </w:rPr>
        <w:t>1） 应收股利分类</w:t>
      </w:r>
      <w:bookmarkEnd w:id="17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72ACA" w:rsidRDefault="00674F05">
      <w:pPr>
        <w:keepNext/>
        <w:keepLines/>
        <w:spacing w:before="300" w:after="300" w:line="280" w:lineRule="exact"/>
        <w:outlineLvl w:val="3"/>
        <w:rPr>
          <w:rFonts w:ascii="宋体" w:eastAsia="宋体" w:hAnsi="宋体" w:cs="宋体"/>
          <w:b/>
          <w:bCs/>
          <w:szCs w:val="21"/>
        </w:rPr>
      </w:pPr>
      <w:bookmarkStart w:id="177" w:name="_Toc989066"/>
      <w:r>
        <w:rPr>
          <w:rFonts w:ascii="宋体" w:eastAsia="宋体" w:hAnsi="宋体" w:cs="宋体"/>
          <w:b/>
          <w:bCs/>
          <w:szCs w:val="21"/>
        </w:rPr>
        <w:t>（2） 其他应收款</w:t>
      </w:r>
      <w:bookmarkEnd w:id="177"/>
    </w:p>
    <w:p w:rsidR="00B72ACA" w:rsidRDefault="00674F05">
      <w:pPr>
        <w:keepNext/>
        <w:keepLines/>
        <w:spacing w:before="300" w:after="300" w:line="280" w:lineRule="exact"/>
        <w:outlineLvl w:val="4"/>
        <w:rPr>
          <w:rFonts w:ascii="宋体" w:eastAsia="宋体" w:hAnsi="宋体" w:cs="宋体"/>
          <w:b/>
          <w:bCs/>
          <w:szCs w:val="21"/>
        </w:rPr>
      </w:pPr>
      <w:bookmarkStart w:id="178" w:name="_Toc989067"/>
      <w:r>
        <w:rPr>
          <w:rFonts w:ascii="宋体" w:eastAsia="宋体" w:hAnsi="宋体" w:cs="宋体"/>
          <w:b/>
          <w:bCs/>
          <w:szCs w:val="21"/>
        </w:rPr>
        <w:t>1） 其他应收款按款项性质分类情况</w:t>
      </w:r>
      <w:bookmarkEnd w:id="17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1,467,504.52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1,467,504.52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95,000.00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331,767.30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209,822.28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38,732,578.88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38,665,633.86</w:t>
            </w:r>
          </w:p>
        </w:tc>
      </w:tr>
    </w:tbl>
    <w:p w:rsidR="00B72ACA" w:rsidRDefault="00674F05">
      <w:pPr>
        <w:keepNext/>
        <w:keepLines/>
        <w:spacing w:before="300" w:after="300" w:line="280" w:lineRule="exact"/>
        <w:outlineLvl w:val="4"/>
        <w:rPr>
          <w:rFonts w:ascii="宋体" w:eastAsia="宋体" w:hAnsi="宋体" w:cs="宋体"/>
          <w:b/>
          <w:bCs/>
          <w:szCs w:val="21"/>
        </w:rPr>
      </w:pPr>
      <w:bookmarkStart w:id="179" w:name="_Toc989068"/>
      <w:r>
        <w:rPr>
          <w:rFonts w:ascii="宋体" w:eastAsia="宋体" w:hAnsi="宋体" w:cs="宋体"/>
          <w:b/>
          <w:bCs/>
          <w:szCs w:val="21"/>
        </w:rPr>
        <w:t>2） 坏账准备计提情况</w:t>
      </w:r>
      <w:bookmarkEnd w:id="17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rsidTr="00082370">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rsidTr="00082370">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2023年1月1日余额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2,177,531.44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37,698,568.14</w:t>
            </w:r>
          </w:p>
        </w:tc>
      </w:tr>
      <w:tr w:rsidR="00B72ACA"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2023年1月1日余额在本期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B72ACA"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62,599.49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62,599.49</w:t>
            </w: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082370"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082370" w:rsidRDefault="00082370" w:rsidP="00A64A59">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082370" w:rsidRDefault="00082370" w:rsidP="00A64A59">
            <w:pPr>
              <w:spacing w:line="240" w:lineRule="exact"/>
              <w:jc w:val="right"/>
              <w:rPr>
                <w:rFonts w:ascii="宋体" w:eastAsia="宋体" w:hAnsi="宋体" w:cs="宋体"/>
                <w:sz w:val="18"/>
                <w:szCs w:val="18"/>
              </w:rPr>
            </w:pPr>
          </w:p>
        </w:tc>
      </w:tr>
      <w:tr w:rsidR="00B72ACA" w:rsidTr="0008237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2023年6月30日余额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2,240,130.93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37,761,167.63</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346,413.66</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346,413.66</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80,353.64</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37,705,811.58</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35,821,036.70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1,884,774.88</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38,732,578.88</w:t>
            </w:r>
          </w:p>
        </w:tc>
      </w:tr>
    </w:tbl>
    <w:p w:rsidR="00B72ACA" w:rsidRDefault="00674F05">
      <w:pPr>
        <w:keepNext/>
        <w:keepLines/>
        <w:spacing w:before="300" w:after="300" w:line="280" w:lineRule="exact"/>
        <w:outlineLvl w:val="4"/>
        <w:rPr>
          <w:rFonts w:ascii="宋体" w:eastAsia="宋体" w:hAnsi="宋体" w:cs="宋体"/>
          <w:b/>
          <w:bCs/>
          <w:szCs w:val="21"/>
        </w:rPr>
      </w:pPr>
      <w:bookmarkStart w:id="180" w:name="_Toc989069"/>
      <w:r>
        <w:rPr>
          <w:rFonts w:ascii="宋体" w:eastAsia="宋体" w:hAnsi="宋体" w:cs="宋体"/>
          <w:b/>
          <w:bCs/>
          <w:szCs w:val="21"/>
        </w:rPr>
        <w:t>3） 本期计提、收回或转回的坏账准备情况</w:t>
      </w:r>
      <w:bookmarkEnd w:id="180"/>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37,698,568.14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62,599.49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37,761,167.63</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37,698,568.14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62,599.49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37,761,167.63</w:t>
            </w:r>
          </w:p>
        </w:tc>
      </w:tr>
    </w:tbl>
    <w:p w:rsidR="00B72ACA" w:rsidRDefault="00674F05" w:rsidP="004E3F58">
      <w:pPr>
        <w:keepNext/>
        <w:keepLines/>
        <w:spacing w:before="300" w:after="300" w:line="280" w:lineRule="exact"/>
        <w:outlineLvl w:val="4"/>
        <w:rPr>
          <w:rFonts w:ascii="宋体" w:eastAsia="宋体" w:hAnsi="宋体" w:cs="宋体"/>
          <w:sz w:val="18"/>
          <w:szCs w:val="18"/>
        </w:rPr>
      </w:pPr>
      <w:bookmarkStart w:id="181" w:name="_Toc989070"/>
      <w:r>
        <w:rPr>
          <w:rFonts w:ascii="宋体" w:eastAsia="宋体" w:hAnsi="宋体" w:cs="宋体"/>
          <w:b/>
          <w:bCs/>
          <w:szCs w:val="21"/>
        </w:rPr>
        <w:t>4） 本期实际核销的其他应收款情况</w:t>
      </w:r>
      <w:bookmarkEnd w:id="181"/>
    </w:p>
    <w:p w:rsidR="00674F05" w:rsidRDefault="00674F05">
      <w:pPr>
        <w:pStyle w:val="a3"/>
        <w:divId w:val="1817605229"/>
        <w:rPr>
          <w:sz w:val="18"/>
          <w:szCs w:val="18"/>
        </w:rPr>
      </w:pPr>
      <w:r>
        <w:rPr>
          <w:rFonts w:hint="eastAsia"/>
          <w:sz w:val="18"/>
          <w:szCs w:val="18"/>
        </w:rPr>
        <w:t>本报告期无实际核销的其他应收款。</w:t>
      </w:r>
    </w:p>
    <w:p w:rsidR="00B72ACA" w:rsidRDefault="00674F05">
      <w:pPr>
        <w:keepNext/>
        <w:keepLines/>
        <w:spacing w:before="300" w:after="300" w:line="280" w:lineRule="exact"/>
        <w:outlineLvl w:val="4"/>
        <w:rPr>
          <w:rFonts w:ascii="宋体" w:eastAsia="宋体" w:hAnsi="宋体" w:cs="宋体"/>
          <w:b/>
          <w:bCs/>
          <w:szCs w:val="21"/>
        </w:rPr>
      </w:pPr>
      <w:bookmarkStart w:id="182" w:name="_Toc989071"/>
      <w:r>
        <w:rPr>
          <w:rFonts w:ascii="宋体" w:eastAsia="宋体" w:hAnsi="宋体" w:cs="宋体"/>
          <w:b/>
          <w:bCs/>
          <w:szCs w:val="21"/>
        </w:rPr>
        <w:t>5） 按欠款方归集的期末余额前五名的其他应收款情况</w:t>
      </w:r>
      <w:bookmarkEnd w:id="18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3-4年</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91.71%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ED3154">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900,000.00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2-3年、3-4年</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330,000.00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ED3154">
            <w:pPr>
              <w:spacing w:line="240" w:lineRule="exact"/>
              <w:rPr>
                <w:rFonts w:ascii="宋体" w:eastAsia="宋体" w:hAnsi="宋体" w:cs="宋体"/>
                <w:sz w:val="18"/>
                <w:szCs w:val="18"/>
              </w:rPr>
            </w:pPr>
            <w:r>
              <w:rPr>
                <w:rFonts w:ascii="宋体" w:eastAsia="宋体" w:hAnsi="宋体" w:cs="宋体"/>
                <w:sz w:val="18"/>
                <w:szCs w:val="18"/>
              </w:rPr>
              <w:t>押金及</w:t>
            </w:r>
            <w:r w:rsidR="00674F05">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0.77%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ED3154">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267,504.52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0.69%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267,504.52</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37,982,285.93</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98.06%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37,412,285.93</w:t>
            </w:r>
          </w:p>
        </w:tc>
      </w:tr>
    </w:tbl>
    <w:p w:rsidR="00B72ACA" w:rsidRDefault="00674F05">
      <w:pPr>
        <w:keepNext/>
        <w:keepLines/>
        <w:spacing w:before="300" w:after="300" w:line="280" w:lineRule="exact"/>
        <w:outlineLvl w:val="4"/>
        <w:rPr>
          <w:rFonts w:ascii="宋体" w:eastAsia="宋体" w:hAnsi="宋体" w:cs="宋体"/>
          <w:b/>
          <w:bCs/>
          <w:szCs w:val="21"/>
        </w:rPr>
      </w:pPr>
      <w:bookmarkStart w:id="183" w:name="_Toc989072"/>
      <w:r>
        <w:rPr>
          <w:rFonts w:ascii="宋体" w:eastAsia="宋体" w:hAnsi="宋体" w:cs="宋体"/>
          <w:b/>
          <w:bCs/>
          <w:szCs w:val="21"/>
        </w:rPr>
        <w:t>6） 涉及政府补助的应收款项</w:t>
      </w:r>
      <w:bookmarkEnd w:id="183"/>
    </w:p>
    <w:p w:rsidR="00674F05" w:rsidRDefault="00674F05">
      <w:pPr>
        <w:pStyle w:val="a3"/>
        <w:divId w:val="391852101"/>
        <w:rPr>
          <w:sz w:val="18"/>
          <w:szCs w:val="18"/>
        </w:rPr>
      </w:pPr>
      <w:r>
        <w:rPr>
          <w:rFonts w:hint="eastAsia"/>
          <w:sz w:val="18"/>
          <w:szCs w:val="18"/>
        </w:rPr>
        <w:t>公司无涉及政府补助的应收款项。</w:t>
      </w:r>
    </w:p>
    <w:p w:rsidR="00B72ACA" w:rsidRDefault="00674F05">
      <w:pPr>
        <w:keepNext/>
        <w:keepLines/>
        <w:spacing w:before="300" w:after="300" w:line="280" w:lineRule="exact"/>
        <w:outlineLvl w:val="4"/>
        <w:rPr>
          <w:rFonts w:ascii="宋体" w:eastAsia="宋体" w:hAnsi="宋体" w:cs="宋体"/>
          <w:b/>
          <w:bCs/>
          <w:szCs w:val="21"/>
        </w:rPr>
      </w:pPr>
      <w:bookmarkStart w:id="184" w:name="_Toc989073"/>
      <w:r>
        <w:rPr>
          <w:rFonts w:ascii="宋体" w:eastAsia="宋体" w:hAnsi="宋体" w:cs="宋体"/>
          <w:b/>
          <w:bCs/>
          <w:szCs w:val="21"/>
        </w:rPr>
        <w:t>7） 因金融资产转移而终止确认的其他应收款</w:t>
      </w:r>
      <w:bookmarkEnd w:id="184"/>
    </w:p>
    <w:p w:rsidR="00674F05" w:rsidRDefault="00674F05">
      <w:pPr>
        <w:pStyle w:val="a3"/>
        <w:divId w:val="1618025091"/>
        <w:rPr>
          <w:sz w:val="18"/>
          <w:szCs w:val="18"/>
        </w:rPr>
      </w:pPr>
      <w:r>
        <w:rPr>
          <w:rFonts w:hint="eastAsia"/>
          <w:sz w:val="18"/>
          <w:szCs w:val="18"/>
        </w:rPr>
        <w:t>公司无因金融资产转移而终止确认的其他应收款。</w:t>
      </w:r>
    </w:p>
    <w:p w:rsidR="00B72ACA" w:rsidRDefault="00674F05">
      <w:pPr>
        <w:keepNext/>
        <w:keepLines/>
        <w:spacing w:before="300" w:after="300" w:line="280" w:lineRule="exact"/>
        <w:outlineLvl w:val="4"/>
        <w:rPr>
          <w:rFonts w:ascii="宋体" w:eastAsia="宋体" w:hAnsi="宋体" w:cs="宋体"/>
          <w:b/>
          <w:bCs/>
          <w:szCs w:val="21"/>
        </w:rPr>
      </w:pPr>
      <w:bookmarkStart w:id="185" w:name="_Toc989074"/>
      <w:r>
        <w:rPr>
          <w:rFonts w:ascii="宋体" w:eastAsia="宋体" w:hAnsi="宋体" w:cs="宋体"/>
          <w:b/>
          <w:bCs/>
          <w:szCs w:val="21"/>
        </w:rPr>
        <w:t>8） 转移其他</w:t>
      </w:r>
      <w:proofErr w:type="gramStart"/>
      <w:r>
        <w:rPr>
          <w:rFonts w:ascii="宋体" w:eastAsia="宋体" w:hAnsi="宋体" w:cs="宋体"/>
          <w:b/>
          <w:bCs/>
          <w:szCs w:val="21"/>
        </w:rPr>
        <w:t>应收款且继续</w:t>
      </w:r>
      <w:proofErr w:type="gramEnd"/>
      <w:r>
        <w:rPr>
          <w:rFonts w:ascii="宋体" w:eastAsia="宋体" w:hAnsi="宋体" w:cs="宋体"/>
          <w:b/>
          <w:bCs/>
          <w:szCs w:val="21"/>
        </w:rPr>
        <w:t>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185"/>
    </w:p>
    <w:p w:rsidR="00674F05" w:rsidRDefault="00674F05">
      <w:pPr>
        <w:pStyle w:val="a3"/>
        <w:divId w:val="468328275"/>
        <w:rPr>
          <w:sz w:val="18"/>
          <w:szCs w:val="18"/>
        </w:rPr>
      </w:pPr>
      <w:r>
        <w:rPr>
          <w:rFonts w:hint="eastAsia"/>
          <w:sz w:val="18"/>
          <w:szCs w:val="18"/>
        </w:rPr>
        <w:t>公司无转移其他</w:t>
      </w:r>
      <w:proofErr w:type="gramStart"/>
      <w:r>
        <w:rPr>
          <w:rFonts w:hint="eastAsia"/>
          <w:sz w:val="18"/>
          <w:szCs w:val="18"/>
        </w:rPr>
        <w:t>应收款且继续</w:t>
      </w:r>
      <w:proofErr w:type="gramEnd"/>
      <w:r>
        <w:rPr>
          <w:rFonts w:hint="eastAsia"/>
          <w:sz w:val="18"/>
          <w:szCs w:val="18"/>
        </w:rPr>
        <w:t>涉</w:t>
      </w:r>
      <w:proofErr w:type="gramStart"/>
      <w:r>
        <w:rPr>
          <w:rFonts w:hint="eastAsia"/>
          <w:sz w:val="18"/>
          <w:szCs w:val="18"/>
        </w:rPr>
        <w:t>入形成</w:t>
      </w:r>
      <w:proofErr w:type="gramEnd"/>
      <w:r>
        <w:rPr>
          <w:rFonts w:hint="eastAsia"/>
          <w:sz w:val="18"/>
          <w:szCs w:val="18"/>
        </w:rPr>
        <w:t>的资产和负债。</w:t>
      </w:r>
    </w:p>
    <w:p w:rsidR="00B72ACA" w:rsidRDefault="00674F05">
      <w:pPr>
        <w:pStyle w:val="3"/>
        <w:spacing w:line="280" w:lineRule="exact"/>
        <w:jc w:val="left"/>
        <w:rPr>
          <w:rFonts w:ascii="宋体" w:hAnsi="宋体" w:cs="宋体"/>
          <w:b/>
          <w:bCs/>
        </w:rPr>
      </w:pPr>
      <w:bookmarkStart w:id="186" w:name="_Toc989075"/>
      <w:r>
        <w:rPr>
          <w:rFonts w:ascii="宋体" w:hAnsi="宋体" w:cs="宋体"/>
          <w:b/>
          <w:bCs/>
        </w:rPr>
        <w:t>8、存货</w:t>
      </w:r>
      <w:bookmarkEnd w:id="186"/>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B72ACA" w:rsidRDefault="00674F05">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B72ACA" w:rsidRDefault="00674F05">
      <w:pPr>
        <w:keepNext/>
        <w:keepLines/>
        <w:spacing w:before="300" w:after="300" w:line="280" w:lineRule="exact"/>
        <w:outlineLvl w:val="3"/>
        <w:rPr>
          <w:rFonts w:ascii="宋体" w:eastAsia="宋体" w:hAnsi="宋体" w:cs="宋体"/>
          <w:b/>
          <w:bCs/>
          <w:szCs w:val="21"/>
        </w:rPr>
      </w:pPr>
      <w:bookmarkStart w:id="187" w:name="_Toc989076"/>
      <w:r>
        <w:rPr>
          <w:rFonts w:ascii="宋体" w:eastAsia="宋体" w:hAnsi="宋体" w:cs="宋体"/>
          <w:b/>
          <w:bCs/>
          <w:szCs w:val="21"/>
        </w:rPr>
        <w:t>（1） 存货分类</w:t>
      </w:r>
      <w:bookmarkEnd w:id="18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74,983,346.82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51,205.43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74,932,141.39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66,074,063.83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66,074,063.83</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78,996,736.10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408,645.26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78,588,090.84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86,196,119.97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86,196,119.97</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153,980,082.92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153,520,232.23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152,270,183.80</w:t>
            </w:r>
          </w:p>
        </w:tc>
      </w:tr>
    </w:tbl>
    <w:p w:rsidR="00B72ACA" w:rsidRDefault="00674F05">
      <w:pPr>
        <w:keepNext/>
        <w:keepLines/>
        <w:spacing w:before="300" w:after="300" w:line="280" w:lineRule="exact"/>
        <w:outlineLvl w:val="3"/>
        <w:rPr>
          <w:rFonts w:ascii="宋体" w:eastAsia="宋体" w:hAnsi="宋体" w:cs="宋体"/>
          <w:b/>
          <w:bCs/>
          <w:szCs w:val="21"/>
        </w:rPr>
      </w:pPr>
      <w:bookmarkStart w:id="188" w:name="_Toc989077"/>
      <w:r>
        <w:rPr>
          <w:rFonts w:ascii="宋体" w:eastAsia="宋体" w:hAnsi="宋体" w:cs="宋体"/>
          <w:b/>
          <w:bCs/>
          <w:szCs w:val="21"/>
        </w:rPr>
        <w:t>（2） 存货跌价准备和合同履约成本减值准备</w:t>
      </w:r>
      <w:bookmarkEnd w:id="18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51,205.43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51,205.43</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408,645.26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408,645.26</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r>
    </w:tbl>
    <w:p w:rsidR="00B72ACA" w:rsidRDefault="00674F05">
      <w:pPr>
        <w:pStyle w:val="3"/>
        <w:spacing w:line="280" w:lineRule="exact"/>
        <w:jc w:val="left"/>
        <w:rPr>
          <w:rFonts w:ascii="宋体" w:hAnsi="宋体" w:cs="宋体"/>
          <w:b/>
          <w:bCs/>
        </w:rPr>
      </w:pPr>
      <w:bookmarkStart w:id="189" w:name="_Toc989078"/>
      <w:r>
        <w:rPr>
          <w:rFonts w:ascii="宋体" w:hAnsi="宋体" w:cs="宋体"/>
          <w:b/>
          <w:bCs/>
        </w:rPr>
        <w:t>9、其他流动资产</w:t>
      </w:r>
      <w:bookmarkEnd w:id="18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3,762,476.13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6,736,897.81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预缴企业所得税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26,192.28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192,935.78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3,955,411.91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6,763,090.09</w:t>
            </w:r>
          </w:p>
        </w:tc>
      </w:tr>
    </w:tbl>
    <w:p w:rsidR="00B72ACA" w:rsidRDefault="00674F05">
      <w:pPr>
        <w:pStyle w:val="3"/>
        <w:spacing w:line="280" w:lineRule="exact"/>
        <w:jc w:val="left"/>
        <w:rPr>
          <w:rFonts w:ascii="宋体" w:hAnsi="宋体" w:cs="宋体"/>
          <w:b/>
          <w:bCs/>
        </w:rPr>
      </w:pPr>
      <w:bookmarkStart w:id="190" w:name="_Toc989079"/>
      <w:r>
        <w:rPr>
          <w:rFonts w:ascii="宋体" w:hAnsi="宋体" w:cs="宋体"/>
          <w:b/>
          <w:bCs/>
        </w:rPr>
        <w:t>10、长期股权投资</w:t>
      </w:r>
      <w:bookmarkEnd w:id="19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5"/>
        <w:gridCol w:w="803"/>
        <w:gridCol w:w="804"/>
      </w:tblGrid>
      <w:tr w:rsidR="00B72ACA">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72ACA">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B72ACA">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14,951,212.61</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-405,491.63</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14,545,720.98</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SOURCE PHOTONICS HOLDING (CAYMAN) LIMITED</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998,720,354.68</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-14,002,897.37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-460,795.99</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984,256,661.32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一村资本有限</w:t>
            </w:r>
            <w:r>
              <w:rPr>
                <w:rFonts w:ascii="宋体" w:eastAsia="宋体" w:hAnsi="宋体" w:cs="宋体"/>
                <w:sz w:val="18"/>
                <w:szCs w:val="18"/>
              </w:rPr>
              <w:lastRenderedPageBreak/>
              <w:t>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1,352,387,66</w:t>
            </w:r>
            <w:r>
              <w:rPr>
                <w:rFonts w:ascii="宋体" w:eastAsia="宋体" w:hAnsi="宋体" w:cs="宋体"/>
                <w:sz w:val="18"/>
                <w:szCs w:val="18"/>
              </w:rPr>
              <w:lastRenderedPageBreak/>
              <w:t>6.07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22,757,888.4</w:t>
            </w:r>
            <w:r>
              <w:rPr>
                <w:rFonts w:ascii="宋体" w:eastAsia="宋体" w:hAnsi="宋体" w:cs="宋体"/>
                <w:sz w:val="18"/>
                <w:szCs w:val="18"/>
              </w:rPr>
              <w:lastRenderedPageBreak/>
              <w:t>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w:t>
            </w:r>
            <w:r>
              <w:rPr>
                <w:rFonts w:ascii="宋体" w:eastAsia="宋体" w:hAnsi="宋体" w:cs="宋体"/>
                <w:sz w:val="18"/>
                <w:szCs w:val="18"/>
              </w:rPr>
              <w:lastRenderedPageBreak/>
              <w:t>547.77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32,739,326.1</w:t>
            </w:r>
            <w:r>
              <w:rPr>
                <w:rFonts w:ascii="宋体" w:eastAsia="宋体" w:hAnsi="宋体" w:cs="宋体"/>
                <w:sz w:val="18"/>
                <w:szCs w:val="18"/>
              </w:rPr>
              <w:lastRenderedPageBreak/>
              <w:t>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1,341,349,68</w:t>
            </w:r>
            <w:r>
              <w:rPr>
                <w:rFonts w:ascii="宋体" w:eastAsia="宋体" w:hAnsi="宋体" w:cs="宋体"/>
                <w:sz w:val="18"/>
                <w:szCs w:val="18"/>
              </w:rPr>
              <w:lastRenderedPageBreak/>
              <w:t>0.62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联储证券有限责任公司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1,233,822,324.05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-13,392,812.55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1,232,720,518.76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5,071,122.85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232,461.99</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720,000.00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4,583,584.84</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-4,810,851.14</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33,459,326.10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3,577,456,166.52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3,604,952,680.26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-4,810,851.14</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33,459,326.10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3,577,456,166.52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bl>
    <w:p w:rsidR="00B72ACA" w:rsidRDefault="00674F05">
      <w:pPr>
        <w:pStyle w:val="3"/>
        <w:spacing w:line="280" w:lineRule="exact"/>
        <w:jc w:val="left"/>
        <w:rPr>
          <w:rFonts w:ascii="宋体" w:hAnsi="宋体" w:cs="宋体"/>
          <w:b/>
          <w:bCs/>
        </w:rPr>
      </w:pPr>
      <w:bookmarkStart w:id="191" w:name="_Toc989080"/>
      <w:r>
        <w:rPr>
          <w:rFonts w:ascii="宋体" w:hAnsi="宋体" w:cs="宋体"/>
          <w:b/>
          <w:bCs/>
        </w:rPr>
        <w:t>11、其他非流动金融资产</w:t>
      </w:r>
      <w:bookmarkEnd w:id="19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分类以公允价值计量且其变动计入当期损益的金融资产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其中：债务工具投资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rsidP="00A64A59">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rsidP="00A64A59">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混合工具投资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指定为以公允价值计量且其变动计入当期损益的金融资产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其中：债务工具投资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混合工具投资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p>
        </w:tc>
      </w:tr>
      <w:tr w:rsidR="00633F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33F77" w:rsidRDefault="00633F77">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633F77" w:rsidRDefault="00633F77">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bl>
    <w:p w:rsidR="00B72ACA" w:rsidRDefault="00674F05">
      <w:pPr>
        <w:pStyle w:val="3"/>
        <w:spacing w:line="280" w:lineRule="exact"/>
        <w:jc w:val="left"/>
        <w:rPr>
          <w:rFonts w:ascii="宋体" w:hAnsi="宋体" w:cs="宋体"/>
          <w:b/>
          <w:bCs/>
        </w:rPr>
      </w:pPr>
      <w:bookmarkStart w:id="192" w:name="_Toc989081"/>
      <w:r>
        <w:rPr>
          <w:rFonts w:ascii="宋体" w:hAnsi="宋体" w:cs="宋体"/>
          <w:b/>
          <w:bCs/>
        </w:rPr>
        <w:t>12、固定资产</w:t>
      </w:r>
      <w:bookmarkEnd w:id="19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468,731,318.41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468,731,318.41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bl>
    <w:p w:rsidR="00B72ACA" w:rsidRDefault="00674F05">
      <w:pPr>
        <w:keepNext/>
        <w:keepLines/>
        <w:spacing w:before="300" w:after="300" w:line="280" w:lineRule="exact"/>
        <w:outlineLvl w:val="3"/>
        <w:rPr>
          <w:rFonts w:ascii="宋体" w:eastAsia="宋体" w:hAnsi="宋体" w:cs="宋体"/>
          <w:b/>
          <w:bCs/>
          <w:szCs w:val="21"/>
        </w:rPr>
      </w:pPr>
      <w:bookmarkStart w:id="193" w:name="_Toc989082"/>
      <w:r>
        <w:rPr>
          <w:rFonts w:ascii="宋体" w:eastAsia="宋体" w:hAnsi="宋体" w:cs="宋体"/>
          <w:b/>
          <w:bCs/>
          <w:szCs w:val="21"/>
        </w:rPr>
        <w:t>（1） 固定资产情况</w:t>
      </w:r>
      <w:bookmarkEnd w:id="19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其他设备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374,251,542.60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1,277,460,730.70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3,614,100.88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32,209,364.69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1,687,535,738.87</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6,194,100.94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380,053.63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6,574,154.57</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493,274.36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380,053.63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873,327.99</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5,700,826.58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5,700,826.58</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938,644.00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1,570,421.75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2,509,065.75</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938,644.00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1,570,421.75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2,509,065.75</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374,251,542.60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1,282,716,187.64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3,994,154.51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30,638,942.94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1,691,600,827.69</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164,424,281.59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997,534,186.36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1,705,060.42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24,732,124.97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1,188,395,653.34</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6,521,961.18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17,328,873.72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361,392.13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574,093.20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24,786,320.23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6,521,961.18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17,328,873.72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361,392.13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574,093.20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24,786,320.23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844,779.60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1,393,116.22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2,237,895.82</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844,779.60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1,393,116.22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2,237,895.82</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170,946,242.77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1,014,018,280.48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2,066,452.55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23,913,101.95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1,210,944,077.75</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203,305,299.83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256,772,475.63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1,927,701.96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6,725,840.99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468,731,318.41</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209,827,261.01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268,001,112.81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1,909,040.46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7,477,239.72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bl>
    <w:p w:rsidR="00B72ACA" w:rsidRDefault="00674F05">
      <w:pPr>
        <w:pStyle w:val="3"/>
        <w:spacing w:line="280" w:lineRule="exact"/>
        <w:jc w:val="left"/>
        <w:rPr>
          <w:rFonts w:ascii="宋体" w:hAnsi="宋体" w:cs="宋体"/>
          <w:b/>
          <w:bCs/>
        </w:rPr>
      </w:pPr>
      <w:bookmarkStart w:id="194" w:name="_Toc989083"/>
      <w:r>
        <w:rPr>
          <w:rFonts w:ascii="宋体" w:hAnsi="宋体" w:cs="宋体"/>
          <w:b/>
          <w:bCs/>
        </w:rPr>
        <w:t>13、在建工程</w:t>
      </w:r>
      <w:bookmarkEnd w:id="19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14,287,520.67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14,287,520.67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r>
    </w:tbl>
    <w:p w:rsidR="00B72ACA" w:rsidRDefault="00674F05">
      <w:pPr>
        <w:keepNext/>
        <w:keepLines/>
        <w:spacing w:before="300" w:after="300" w:line="280" w:lineRule="exact"/>
        <w:outlineLvl w:val="3"/>
        <w:rPr>
          <w:rFonts w:ascii="宋体" w:eastAsia="宋体" w:hAnsi="宋体" w:cs="宋体"/>
          <w:b/>
          <w:bCs/>
          <w:szCs w:val="21"/>
        </w:rPr>
      </w:pPr>
      <w:bookmarkStart w:id="195" w:name="_Toc989084"/>
      <w:r>
        <w:rPr>
          <w:rFonts w:ascii="宋体" w:eastAsia="宋体" w:hAnsi="宋体" w:cs="宋体"/>
          <w:b/>
          <w:bCs/>
          <w:szCs w:val="21"/>
        </w:rPr>
        <w:t>（1） 在建工程情况</w:t>
      </w:r>
      <w:bookmarkEnd w:id="19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纺丝车间VOCs处理环保设施</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2,812,251.69</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酯化蒸汽余热ORC发电项目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8,473,586.17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8,473,586.17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2,171,681.42</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污水站项目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264,070.80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264,070.80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230,442.49</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中水回用项目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3,434,628.40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3,434,628.40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零星工程</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2,115,235.30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2,115,235.30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14,287,520.67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14,287,520.67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r>
    </w:tbl>
    <w:p w:rsidR="00B72ACA" w:rsidRDefault="00674F05">
      <w:pPr>
        <w:keepNext/>
        <w:keepLines/>
        <w:spacing w:before="300" w:after="300" w:line="280" w:lineRule="exact"/>
        <w:outlineLvl w:val="3"/>
        <w:rPr>
          <w:rFonts w:ascii="宋体" w:eastAsia="宋体" w:hAnsi="宋体" w:cs="宋体"/>
          <w:b/>
          <w:bCs/>
          <w:szCs w:val="21"/>
        </w:rPr>
      </w:pPr>
      <w:bookmarkStart w:id="196" w:name="_Toc989085"/>
      <w:r>
        <w:rPr>
          <w:rFonts w:ascii="宋体" w:eastAsia="宋体" w:hAnsi="宋体" w:cs="宋体"/>
          <w:b/>
          <w:bCs/>
          <w:szCs w:val="21"/>
        </w:rPr>
        <w:t>（2） 重要在建工程项目本期变动情况</w:t>
      </w:r>
      <w:bookmarkEnd w:id="19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B72ACA">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B72ACA">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纺丝车间VOCs处理环保设施</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2,888,574.89</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5,700,826.58</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63.34%</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98%</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r>
      <w:tr w:rsidR="00B72ACA">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酯化蒸汽余热ORC发电项目</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8,800,000.00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6,301,904.75</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8,473,586.17</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96.29%</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97%</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r>
      <w:tr w:rsidR="00B72ACA">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污水站项目</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1,900,000.00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33,628.31</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264,070.80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70.15%</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70.15%</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r>
      <w:tr w:rsidR="00B72ACA">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中水回用项目</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4,500,000.00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3,434,628.40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3,434,628.40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76.33%</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76.33%</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r>
      <w:tr w:rsidR="00B72ACA">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24,200,000.00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12,658,736.35</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5,700,826.58</w:t>
            </w: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12,172,285.37</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pStyle w:val="3"/>
        <w:spacing w:line="280" w:lineRule="exact"/>
        <w:jc w:val="left"/>
        <w:rPr>
          <w:rFonts w:ascii="宋体" w:hAnsi="宋体" w:cs="宋体"/>
          <w:b/>
          <w:bCs/>
        </w:rPr>
      </w:pPr>
      <w:bookmarkStart w:id="197" w:name="_Toc989086"/>
      <w:r>
        <w:rPr>
          <w:rFonts w:ascii="宋体" w:hAnsi="宋体" w:cs="宋体"/>
          <w:b/>
          <w:bCs/>
        </w:rPr>
        <w:lastRenderedPageBreak/>
        <w:t>14、无形资产</w:t>
      </w:r>
      <w:bookmarkEnd w:id="197"/>
    </w:p>
    <w:p w:rsidR="00B72ACA" w:rsidRDefault="00674F05">
      <w:pPr>
        <w:keepNext/>
        <w:keepLines/>
        <w:spacing w:before="300" w:after="300" w:line="280" w:lineRule="exact"/>
        <w:outlineLvl w:val="3"/>
        <w:rPr>
          <w:rFonts w:ascii="宋体" w:eastAsia="宋体" w:hAnsi="宋体" w:cs="宋体"/>
          <w:b/>
          <w:bCs/>
          <w:szCs w:val="21"/>
        </w:rPr>
      </w:pPr>
      <w:bookmarkStart w:id="198" w:name="_Toc989087"/>
      <w:r>
        <w:rPr>
          <w:rFonts w:ascii="宋体" w:eastAsia="宋体" w:hAnsi="宋体" w:cs="宋体"/>
          <w:b/>
          <w:bCs/>
          <w:szCs w:val="21"/>
        </w:rPr>
        <w:t>（1） 无形资产情况</w:t>
      </w:r>
      <w:bookmarkEnd w:id="19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9,395,304.05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744,567.57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10,139,871.62</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9,707,316.88</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822,351.57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10,529,668.45</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19,759,111.44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727,721.00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20,486,832.44</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20,071,124.27</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805,505.00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本期末通过公司内部研发形成的无形资产占无形资产余额的比例0.00%</w:t>
      </w:r>
    </w:p>
    <w:p w:rsidR="00B72ACA" w:rsidRDefault="00674F05">
      <w:pPr>
        <w:keepNext/>
        <w:keepLines/>
        <w:spacing w:before="300" w:after="300" w:line="280" w:lineRule="exact"/>
        <w:outlineLvl w:val="3"/>
        <w:rPr>
          <w:rFonts w:ascii="宋体" w:eastAsia="宋体" w:hAnsi="宋体" w:cs="宋体"/>
          <w:b/>
          <w:bCs/>
          <w:szCs w:val="21"/>
        </w:rPr>
      </w:pPr>
      <w:bookmarkStart w:id="199" w:name="_Toc989088"/>
      <w:r>
        <w:rPr>
          <w:rFonts w:ascii="宋体" w:eastAsia="宋体" w:hAnsi="宋体" w:cs="宋体"/>
          <w:b/>
          <w:bCs/>
          <w:szCs w:val="21"/>
        </w:rPr>
        <w:t>（2） 未办妥产权证书的土地使用权情况</w:t>
      </w:r>
      <w:bookmarkEnd w:id="199"/>
    </w:p>
    <w:p w:rsidR="00674F05" w:rsidRDefault="00674F05">
      <w:pPr>
        <w:pStyle w:val="a3"/>
        <w:spacing w:before="0" w:beforeAutospacing="0" w:after="0" w:afterAutospacing="0" w:line="400" w:lineRule="atLeast"/>
        <w:ind w:firstLine="360"/>
        <w:jc w:val="both"/>
        <w:divId w:val="1246718923"/>
        <w:rPr>
          <w:rFonts w:ascii="Times New Roman" w:hAnsi="Times New Roman" w:cs="Times New Roman"/>
          <w:sz w:val="21"/>
          <w:szCs w:val="21"/>
        </w:rPr>
      </w:pPr>
      <w:proofErr w:type="gramStart"/>
      <w:r>
        <w:rPr>
          <w:rFonts w:cs="Times New Roman" w:hint="eastAsia"/>
          <w:sz w:val="18"/>
          <w:szCs w:val="18"/>
        </w:rPr>
        <w:t>公司无未办妥</w:t>
      </w:r>
      <w:proofErr w:type="gramEnd"/>
      <w:r>
        <w:rPr>
          <w:rFonts w:cs="Times New Roman" w:hint="eastAsia"/>
          <w:sz w:val="18"/>
          <w:szCs w:val="18"/>
        </w:rPr>
        <w:t>产权证书的土地使用权情况。</w:t>
      </w:r>
    </w:p>
    <w:p w:rsidR="00B72ACA" w:rsidRDefault="00674F05">
      <w:pPr>
        <w:pStyle w:val="3"/>
        <w:spacing w:line="280" w:lineRule="exact"/>
        <w:jc w:val="left"/>
        <w:rPr>
          <w:rFonts w:ascii="宋体" w:hAnsi="宋体" w:cs="宋体"/>
          <w:b/>
          <w:bCs/>
        </w:rPr>
      </w:pPr>
      <w:bookmarkStart w:id="200" w:name="_Toc989089"/>
      <w:r>
        <w:rPr>
          <w:rFonts w:ascii="宋体" w:hAnsi="宋体" w:cs="宋体"/>
          <w:b/>
          <w:bCs/>
        </w:rPr>
        <w:t>15、商誉</w:t>
      </w:r>
      <w:bookmarkEnd w:id="200"/>
    </w:p>
    <w:p w:rsidR="00B72ACA" w:rsidRDefault="00674F05">
      <w:pPr>
        <w:keepNext/>
        <w:keepLines/>
        <w:spacing w:before="300" w:after="300" w:line="280" w:lineRule="exact"/>
        <w:outlineLvl w:val="3"/>
        <w:rPr>
          <w:rFonts w:ascii="宋体" w:eastAsia="宋体" w:hAnsi="宋体" w:cs="宋体"/>
          <w:b/>
          <w:bCs/>
          <w:szCs w:val="21"/>
        </w:rPr>
      </w:pPr>
      <w:bookmarkStart w:id="201" w:name="_Toc989090"/>
      <w:r>
        <w:rPr>
          <w:rFonts w:ascii="宋体" w:eastAsia="宋体" w:hAnsi="宋体" w:cs="宋体"/>
          <w:b/>
          <w:bCs/>
          <w:szCs w:val="21"/>
        </w:rPr>
        <w:t>（1） 商誉账面原值</w:t>
      </w:r>
      <w:bookmarkEnd w:id="20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江阴华西化工码头有限公司（注）</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674F05" w:rsidRDefault="00674F05">
      <w:pPr>
        <w:pStyle w:val="a3"/>
        <w:spacing w:before="0" w:beforeAutospacing="0" w:after="0" w:afterAutospacing="0" w:line="400" w:lineRule="atLeast"/>
        <w:ind w:firstLine="360"/>
        <w:jc w:val="both"/>
        <w:divId w:val="2099904915"/>
        <w:rPr>
          <w:rFonts w:ascii="Times New Roman" w:hAnsi="Times New Roman" w:cs="Times New Roman"/>
          <w:sz w:val="21"/>
          <w:szCs w:val="21"/>
        </w:rPr>
      </w:pPr>
      <w:r>
        <w:rPr>
          <w:rFonts w:cs="Times New Roman" w:hint="eastAsia"/>
          <w:sz w:val="18"/>
          <w:szCs w:val="18"/>
        </w:rPr>
        <w:t>注：系非同</w:t>
      </w:r>
      <w:proofErr w:type="gramStart"/>
      <w:r>
        <w:rPr>
          <w:rFonts w:cs="Times New Roman" w:hint="eastAsia"/>
          <w:sz w:val="18"/>
          <w:szCs w:val="18"/>
        </w:rPr>
        <w:t>一控制</w:t>
      </w:r>
      <w:proofErr w:type="gramEnd"/>
      <w:r>
        <w:rPr>
          <w:rFonts w:cs="Times New Roman" w:hint="eastAsia"/>
          <w:sz w:val="18"/>
          <w:szCs w:val="18"/>
        </w:rPr>
        <w:t>下企业合并形成的长期股权投资差额，</w:t>
      </w:r>
      <w:proofErr w:type="gramStart"/>
      <w:r>
        <w:rPr>
          <w:rFonts w:cs="Times New Roman" w:hint="eastAsia"/>
          <w:sz w:val="18"/>
          <w:szCs w:val="18"/>
        </w:rPr>
        <w:t>期末不</w:t>
      </w:r>
      <w:proofErr w:type="gramEnd"/>
      <w:r>
        <w:rPr>
          <w:rFonts w:cs="Times New Roman" w:hint="eastAsia"/>
          <w:sz w:val="18"/>
          <w:szCs w:val="18"/>
        </w:rPr>
        <w:t>存在减值情况。</w:t>
      </w:r>
    </w:p>
    <w:p w:rsidR="00674F05" w:rsidRDefault="00674F05">
      <w:pPr>
        <w:pStyle w:val="a3"/>
        <w:spacing w:before="0" w:beforeAutospacing="0" w:after="0" w:afterAutospacing="0" w:line="400" w:lineRule="atLeast"/>
        <w:ind w:firstLine="360"/>
        <w:jc w:val="both"/>
        <w:divId w:val="2099904915"/>
        <w:rPr>
          <w:rFonts w:ascii="Times New Roman" w:hAnsi="Times New Roman" w:cs="Times New Roman"/>
          <w:sz w:val="21"/>
          <w:szCs w:val="21"/>
        </w:rPr>
      </w:pPr>
      <w:r>
        <w:rPr>
          <w:rFonts w:cs="Times New Roman" w:hint="eastAsia"/>
          <w:sz w:val="18"/>
          <w:szCs w:val="18"/>
        </w:rPr>
        <w:t>商誉减值准备系以其账面价值与预计可收回金额之前的差异计算确定，因公司在可预见的将来并无出售此投资的计划，故按未来现金流量现值来确定有关资产组的预计可收回金额。经测试，截至2023年6月30日，此项商誉不存在减值情况。</w:t>
      </w:r>
    </w:p>
    <w:p w:rsidR="00B72ACA" w:rsidRDefault="00674F05">
      <w:pPr>
        <w:pStyle w:val="3"/>
        <w:spacing w:line="280" w:lineRule="exact"/>
        <w:jc w:val="left"/>
        <w:rPr>
          <w:rFonts w:ascii="宋体" w:hAnsi="宋体" w:cs="宋体"/>
          <w:b/>
          <w:bCs/>
        </w:rPr>
      </w:pPr>
      <w:bookmarkStart w:id="202" w:name="_Toc989092"/>
      <w:r>
        <w:rPr>
          <w:rFonts w:ascii="宋体" w:hAnsi="宋体" w:cs="宋体"/>
          <w:b/>
          <w:bCs/>
        </w:rPr>
        <w:t>16、递延所得税资产/递延所得税负债</w:t>
      </w:r>
      <w:bookmarkEnd w:id="202"/>
    </w:p>
    <w:p w:rsidR="00B72ACA" w:rsidRDefault="00674F05">
      <w:pPr>
        <w:keepNext/>
        <w:keepLines/>
        <w:spacing w:before="300" w:after="300" w:line="280" w:lineRule="exact"/>
        <w:outlineLvl w:val="3"/>
        <w:rPr>
          <w:rFonts w:ascii="宋体" w:eastAsia="宋体" w:hAnsi="宋体" w:cs="宋体"/>
          <w:b/>
          <w:bCs/>
          <w:szCs w:val="21"/>
        </w:rPr>
      </w:pPr>
      <w:bookmarkStart w:id="203" w:name="_Toc989093"/>
      <w:r>
        <w:rPr>
          <w:rFonts w:ascii="宋体" w:eastAsia="宋体" w:hAnsi="宋体" w:cs="宋体"/>
          <w:b/>
          <w:bCs/>
          <w:szCs w:val="21"/>
        </w:rPr>
        <w:t>（1） 未经抵销的递延所得税资产</w:t>
      </w:r>
      <w:bookmarkEnd w:id="20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51,455,748.67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12,863,937.18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50,204,037.37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12,551,009.35</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2,109,956.26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527,489.07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520,922.55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130,230.64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交易性金融负债公允价值变动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1,021,591.39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86,608,000.00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21,652,000.00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86,608,000.00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21,652,000.00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9,718,041.22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9,718,041.22</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184,653,157.89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46,163,289.50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176,684,202.22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44,171,050.57</w:t>
            </w:r>
          </w:p>
        </w:tc>
      </w:tr>
    </w:tbl>
    <w:p w:rsidR="00B72ACA" w:rsidRDefault="00674F05">
      <w:pPr>
        <w:keepNext/>
        <w:keepLines/>
        <w:spacing w:before="300" w:after="300" w:line="280" w:lineRule="exact"/>
        <w:outlineLvl w:val="3"/>
        <w:rPr>
          <w:rFonts w:ascii="宋体" w:eastAsia="宋体" w:hAnsi="宋体" w:cs="宋体"/>
          <w:b/>
          <w:bCs/>
          <w:szCs w:val="21"/>
        </w:rPr>
      </w:pPr>
      <w:bookmarkStart w:id="204" w:name="_Toc989094"/>
      <w:r>
        <w:rPr>
          <w:rFonts w:ascii="宋体" w:eastAsia="宋体" w:hAnsi="宋体" w:cs="宋体"/>
          <w:b/>
          <w:bCs/>
          <w:szCs w:val="21"/>
        </w:rPr>
        <w:t>（2） 未经抵销的递延所得税负债</w:t>
      </w:r>
      <w:bookmarkEnd w:id="20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非同一控制企业合并资产评估增值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其他债权投资公允价值变动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223,983,612.01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55,995,361.20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248,754,249.56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62,188,402.80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1,328,776.64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332,194.16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1,328,776.64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332,194.16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225,312,388.65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56,327,555.36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250,083,026.20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62,520,596.96</w:t>
            </w:r>
          </w:p>
        </w:tc>
      </w:tr>
    </w:tbl>
    <w:p w:rsidR="00B72ACA" w:rsidRDefault="00674F05">
      <w:pPr>
        <w:keepNext/>
        <w:keepLines/>
        <w:spacing w:before="300" w:after="300" w:line="280" w:lineRule="exact"/>
        <w:outlineLvl w:val="3"/>
        <w:rPr>
          <w:rFonts w:ascii="宋体" w:eastAsia="宋体" w:hAnsi="宋体" w:cs="宋体"/>
          <w:b/>
          <w:bCs/>
          <w:szCs w:val="21"/>
        </w:rPr>
      </w:pPr>
      <w:bookmarkStart w:id="205" w:name="_Toc989095"/>
      <w:r>
        <w:rPr>
          <w:rFonts w:ascii="宋体" w:eastAsia="宋体" w:hAnsi="宋体" w:cs="宋体"/>
          <w:b/>
          <w:bCs/>
          <w:szCs w:val="21"/>
        </w:rPr>
        <w:t>（3） 以抵销后净额列示的递延所得税资产或负债</w:t>
      </w:r>
      <w:bookmarkEnd w:id="20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21,957,460.24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24,205,829.26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20,464,160.56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23,706,890.01</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21,957,460.24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34,370,095.12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20,464,160.56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bl>
    <w:p w:rsidR="00B72ACA" w:rsidRDefault="00674F05">
      <w:pPr>
        <w:keepNext/>
        <w:keepLines/>
        <w:spacing w:before="300" w:after="300" w:line="280" w:lineRule="exact"/>
        <w:outlineLvl w:val="3"/>
        <w:rPr>
          <w:rFonts w:ascii="宋体" w:eastAsia="宋体" w:hAnsi="宋体" w:cs="宋体"/>
          <w:b/>
          <w:bCs/>
          <w:szCs w:val="21"/>
        </w:rPr>
      </w:pPr>
      <w:bookmarkStart w:id="206" w:name="_Toc989096"/>
      <w:r>
        <w:rPr>
          <w:rFonts w:ascii="宋体" w:eastAsia="宋体" w:hAnsi="宋体" w:cs="宋体"/>
          <w:b/>
          <w:bCs/>
          <w:szCs w:val="21"/>
        </w:rPr>
        <w:t>（4） 未确认递延所得税资产明细</w:t>
      </w:r>
      <w:bookmarkEnd w:id="20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12,021,822.12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11,930,001.19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12,021,822.12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11,930,001.19</w:t>
            </w:r>
          </w:p>
        </w:tc>
      </w:tr>
    </w:tbl>
    <w:p w:rsidR="00B72ACA" w:rsidRDefault="00674F05">
      <w:pPr>
        <w:pStyle w:val="3"/>
        <w:spacing w:line="280" w:lineRule="exact"/>
        <w:jc w:val="left"/>
        <w:rPr>
          <w:rFonts w:ascii="宋体" w:hAnsi="宋体" w:cs="宋体"/>
          <w:b/>
          <w:bCs/>
        </w:rPr>
      </w:pPr>
      <w:bookmarkStart w:id="207" w:name="_Toc989097"/>
      <w:r>
        <w:rPr>
          <w:rFonts w:ascii="宋体" w:hAnsi="宋体" w:cs="宋体"/>
          <w:b/>
          <w:bCs/>
        </w:rPr>
        <w:t>17、其他非流动资产</w:t>
      </w:r>
      <w:bookmarkEnd w:id="20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合同取得成本</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合同履约成本</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应收退货成本</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4,942,377.30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4,942,377.30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2,884,184.60</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4,942,377.30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4,942,377.30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2,884,184.60</w:t>
            </w:r>
          </w:p>
        </w:tc>
      </w:tr>
    </w:tbl>
    <w:p w:rsidR="00674F05" w:rsidRDefault="00674F05">
      <w:pPr>
        <w:divId w:val="1921022686"/>
        <w:rPr>
          <w:sz w:val="18"/>
          <w:szCs w:val="18"/>
        </w:rPr>
      </w:pPr>
    </w:p>
    <w:p w:rsidR="00B72ACA" w:rsidRDefault="00674F05">
      <w:pPr>
        <w:pStyle w:val="3"/>
        <w:spacing w:line="280" w:lineRule="exact"/>
        <w:jc w:val="left"/>
        <w:rPr>
          <w:rFonts w:ascii="宋体" w:hAnsi="宋体" w:cs="宋体"/>
          <w:b/>
          <w:bCs/>
        </w:rPr>
      </w:pPr>
      <w:bookmarkStart w:id="208" w:name="_Toc989098"/>
      <w:r>
        <w:rPr>
          <w:rFonts w:ascii="宋体" w:hAnsi="宋体" w:cs="宋体"/>
          <w:b/>
          <w:bCs/>
        </w:rPr>
        <w:lastRenderedPageBreak/>
        <w:t>18、短期借款</w:t>
      </w:r>
      <w:bookmarkEnd w:id="208"/>
    </w:p>
    <w:p w:rsidR="00B72ACA" w:rsidRDefault="00674F05">
      <w:pPr>
        <w:keepNext/>
        <w:keepLines/>
        <w:spacing w:before="300" w:after="300" w:line="280" w:lineRule="exact"/>
        <w:outlineLvl w:val="3"/>
        <w:rPr>
          <w:rFonts w:ascii="宋体" w:eastAsia="宋体" w:hAnsi="宋体" w:cs="宋体"/>
          <w:b/>
          <w:bCs/>
          <w:szCs w:val="21"/>
        </w:rPr>
      </w:pPr>
      <w:bookmarkStart w:id="209" w:name="_Toc989099"/>
      <w:r>
        <w:rPr>
          <w:rFonts w:ascii="宋体" w:eastAsia="宋体" w:hAnsi="宋体" w:cs="宋体"/>
          <w:b/>
          <w:bCs/>
          <w:szCs w:val="21"/>
        </w:rPr>
        <w:t>（1） 短期借款分类</w:t>
      </w:r>
      <w:bookmarkEnd w:id="20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646,695,158.13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545,300,023.05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593,996,527.78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522,887,851.85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525,275.00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659,159.72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1,241,216,960.91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1,068,847,034.62</w:t>
            </w:r>
          </w:p>
        </w:tc>
      </w:tr>
    </w:tbl>
    <w:p w:rsidR="00B72ACA" w:rsidRDefault="00674F05">
      <w:pPr>
        <w:keepNext/>
        <w:keepLines/>
        <w:spacing w:before="300" w:after="300" w:line="280" w:lineRule="exact"/>
        <w:outlineLvl w:val="3"/>
        <w:rPr>
          <w:rFonts w:ascii="宋体" w:eastAsia="宋体" w:hAnsi="宋体" w:cs="宋体"/>
          <w:b/>
          <w:bCs/>
          <w:szCs w:val="21"/>
        </w:rPr>
      </w:pPr>
      <w:bookmarkStart w:id="210" w:name="_Toc989100"/>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210"/>
    </w:p>
    <w:p w:rsidR="00674F05" w:rsidRDefault="00674F05">
      <w:pPr>
        <w:pStyle w:val="a3"/>
        <w:divId w:val="543375281"/>
        <w:rPr>
          <w:sz w:val="18"/>
          <w:szCs w:val="18"/>
        </w:rPr>
      </w:pPr>
      <w:r>
        <w:rPr>
          <w:rFonts w:hint="eastAsia"/>
          <w:sz w:val="18"/>
          <w:szCs w:val="18"/>
        </w:rPr>
        <w:t>截至报告期末，公司无已逾期</w:t>
      </w:r>
      <w:proofErr w:type="gramStart"/>
      <w:r>
        <w:rPr>
          <w:rFonts w:hint="eastAsia"/>
          <w:sz w:val="18"/>
          <w:szCs w:val="18"/>
        </w:rPr>
        <w:t>未偿</w:t>
      </w:r>
      <w:proofErr w:type="gramEnd"/>
      <w:r>
        <w:rPr>
          <w:rFonts w:hint="eastAsia"/>
          <w:sz w:val="18"/>
          <w:szCs w:val="18"/>
        </w:rPr>
        <w:t>还短期借款。</w:t>
      </w:r>
    </w:p>
    <w:p w:rsidR="00B72ACA" w:rsidRDefault="00674F05">
      <w:pPr>
        <w:pStyle w:val="3"/>
        <w:spacing w:line="280" w:lineRule="exact"/>
        <w:jc w:val="left"/>
        <w:rPr>
          <w:rFonts w:ascii="宋体" w:hAnsi="宋体" w:cs="宋体"/>
          <w:b/>
          <w:bCs/>
        </w:rPr>
      </w:pPr>
      <w:bookmarkStart w:id="211" w:name="_Toc989101"/>
      <w:r>
        <w:rPr>
          <w:rFonts w:ascii="宋体" w:hAnsi="宋体" w:cs="宋体"/>
          <w:b/>
          <w:bCs/>
        </w:rPr>
        <w:t>19、交易性金融负债</w:t>
      </w:r>
      <w:bookmarkEnd w:id="21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远期结售汇合同浮动亏损</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bl>
    <w:p w:rsidR="00B72ACA" w:rsidRDefault="00674F05">
      <w:pPr>
        <w:pStyle w:val="3"/>
        <w:spacing w:line="280" w:lineRule="exact"/>
        <w:jc w:val="left"/>
        <w:rPr>
          <w:rFonts w:ascii="宋体" w:hAnsi="宋体" w:cs="宋体"/>
          <w:b/>
          <w:bCs/>
        </w:rPr>
      </w:pPr>
      <w:bookmarkStart w:id="212" w:name="_Toc989102"/>
      <w:r>
        <w:rPr>
          <w:rFonts w:ascii="宋体" w:hAnsi="宋体" w:cs="宋体"/>
          <w:b/>
          <w:bCs/>
        </w:rPr>
        <w:t>20、应付账款</w:t>
      </w:r>
      <w:bookmarkEnd w:id="212"/>
    </w:p>
    <w:p w:rsidR="00B72ACA" w:rsidRDefault="00674F05">
      <w:pPr>
        <w:keepNext/>
        <w:keepLines/>
        <w:spacing w:before="300" w:after="300" w:line="280" w:lineRule="exact"/>
        <w:outlineLvl w:val="3"/>
        <w:rPr>
          <w:rFonts w:ascii="宋体" w:eastAsia="宋体" w:hAnsi="宋体" w:cs="宋体"/>
          <w:b/>
          <w:bCs/>
          <w:sz w:val="18"/>
          <w:szCs w:val="18"/>
        </w:rPr>
      </w:pPr>
      <w:bookmarkStart w:id="213" w:name="_Toc989103"/>
      <w:r>
        <w:rPr>
          <w:rFonts w:ascii="宋体" w:eastAsia="宋体" w:hAnsi="宋体" w:cs="宋体"/>
          <w:b/>
          <w:bCs/>
          <w:sz w:val="18"/>
          <w:szCs w:val="18"/>
        </w:rPr>
        <w:t>（1） 应付账款列示</w:t>
      </w:r>
      <w:bookmarkEnd w:id="21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61,454,274.79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75,249,080.10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10,051,343.41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5,029,496.63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71,505,618.20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80,278,576.73</w:t>
            </w:r>
          </w:p>
        </w:tc>
      </w:tr>
    </w:tbl>
    <w:p w:rsidR="00B72ACA" w:rsidRDefault="00674F05">
      <w:pPr>
        <w:keepNext/>
        <w:keepLines/>
        <w:spacing w:before="300" w:after="300" w:line="280" w:lineRule="exact"/>
        <w:outlineLvl w:val="3"/>
        <w:rPr>
          <w:rFonts w:ascii="宋体" w:eastAsia="宋体" w:hAnsi="宋体" w:cs="宋体"/>
          <w:b/>
          <w:bCs/>
          <w:sz w:val="18"/>
          <w:szCs w:val="18"/>
        </w:rPr>
      </w:pPr>
      <w:bookmarkStart w:id="214" w:name="_Toc989104"/>
      <w:r>
        <w:rPr>
          <w:rFonts w:ascii="宋体" w:eastAsia="宋体" w:hAnsi="宋体" w:cs="宋体"/>
          <w:b/>
          <w:bCs/>
          <w:sz w:val="18"/>
          <w:szCs w:val="18"/>
        </w:rPr>
        <w:t>（2） 账龄超过1年的重要应付账款</w:t>
      </w:r>
      <w:bookmarkEnd w:id="214"/>
    </w:p>
    <w:p w:rsidR="00674F05" w:rsidRDefault="00674F05">
      <w:pPr>
        <w:pStyle w:val="a3"/>
        <w:divId w:val="306859478"/>
        <w:rPr>
          <w:sz w:val="18"/>
          <w:szCs w:val="18"/>
        </w:rPr>
      </w:pPr>
      <w:r>
        <w:rPr>
          <w:rFonts w:hint="eastAsia"/>
          <w:sz w:val="18"/>
          <w:szCs w:val="18"/>
        </w:rPr>
        <w:t>公司无账龄超过1年的重要应付账款。</w:t>
      </w:r>
    </w:p>
    <w:p w:rsidR="00B72ACA" w:rsidRDefault="00674F05">
      <w:pPr>
        <w:pStyle w:val="3"/>
        <w:spacing w:line="280" w:lineRule="exact"/>
        <w:jc w:val="left"/>
        <w:rPr>
          <w:rFonts w:ascii="宋体" w:hAnsi="宋体" w:cs="宋体"/>
          <w:b/>
          <w:bCs/>
        </w:rPr>
      </w:pPr>
      <w:bookmarkStart w:id="215" w:name="_Toc989105"/>
      <w:r>
        <w:rPr>
          <w:rFonts w:ascii="宋体" w:hAnsi="宋体" w:cs="宋体"/>
          <w:b/>
          <w:bCs/>
        </w:rPr>
        <w:t>21、预收款项</w:t>
      </w:r>
      <w:bookmarkEnd w:id="215"/>
    </w:p>
    <w:p w:rsidR="00B72ACA" w:rsidRDefault="00674F05">
      <w:pPr>
        <w:keepNext/>
        <w:keepLines/>
        <w:spacing w:before="300" w:after="300" w:line="280" w:lineRule="exact"/>
        <w:outlineLvl w:val="3"/>
        <w:rPr>
          <w:rFonts w:ascii="宋体" w:eastAsia="宋体" w:hAnsi="宋体" w:cs="宋体"/>
          <w:b/>
          <w:bCs/>
          <w:sz w:val="18"/>
          <w:szCs w:val="18"/>
        </w:rPr>
      </w:pPr>
      <w:bookmarkStart w:id="216" w:name="_Toc989106"/>
      <w:r>
        <w:rPr>
          <w:rFonts w:ascii="宋体" w:eastAsia="宋体" w:hAnsi="宋体" w:cs="宋体"/>
          <w:b/>
          <w:bCs/>
          <w:sz w:val="18"/>
          <w:szCs w:val="18"/>
        </w:rPr>
        <w:t>（1） 预收款项列示</w:t>
      </w:r>
      <w:bookmarkEnd w:id="21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预收</w:t>
            </w:r>
            <w:proofErr w:type="gramStart"/>
            <w:r>
              <w:rPr>
                <w:rFonts w:ascii="宋体" w:eastAsia="宋体" w:hAnsi="宋体" w:cs="宋体"/>
                <w:sz w:val="18"/>
                <w:szCs w:val="18"/>
              </w:rPr>
              <w:t>仓储款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2,693,118.27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7,642,658.11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2,693,118.27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7,642,658.11</w:t>
            </w:r>
          </w:p>
        </w:tc>
      </w:tr>
    </w:tbl>
    <w:p w:rsidR="00B72ACA" w:rsidRDefault="00674F05">
      <w:pPr>
        <w:keepNext/>
        <w:keepLines/>
        <w:spacing w:before="300" w:after="300" w:line="280" w:lineRule="exact"/>
        <w:outlineLvl w:val="3"/>
        <w:rPr>
          <w:rFonts w:ascii="宋体" w:eastAsia="宋体" w:hAnsi="宋体" w:cs="宋体"/>
          <w:b/>
          <w:bCs/>
          <w:sz w:val="18"/>
          <w:szCs w:val="18"/>
        </w:rPr>
      </w:pPr>
      <w:bookmarkStart w:id="217" w:name="_Toc989107"/>
      <w:r>
        <w:rPr>
          <w:rFonts w:ascii="宋体" w:eastAsia="宋体" w:hAnsi="宋体" w:cs="宋体"/>
          <w:b/>
          <w:bCs/>
          <w:sz w:val="18"/>
          <w:szCs w:val="18"/>
        </w:rPr>
        <w:lastRenderedPageBreak/>
        <w:t>（2） 账龄超过1年的重要预收款项</w:t>
      </w:r>
      <w:bookmarkEnd w:id="217"/>
    </w:p>
    <w:p w:rsidR="00674F05" w:rsidRDefault="00674F05">
      <w:pPr>
        <w:pStyle w:val="a3"/>
        <w:divId w:val="599221179"/>
        <w:rPr>
          <w:sz w:val="18"/>
          <w:szCs w:val="18"/>
        </w:rPr>
      </w:pPr>
      <w:r>
        <w:rPr>
          <w:rFonts w:hint="eastAsia"/>
          <w:sz w:val="18"/>
          <w:szCs w:val="18"/>
        </w:rPr>
        <w:t>公司无账龄超过1年的重要预收款项。</w:t>
      </w:r>
    </w:p>
    <w:p w:rsidR="00B72ACA" w:rsidRDefault="00674F05">
      <w:pPr>
        <w:pStyle w:val="3"/>
        <w:spacing w:line="280" w:lineRule="exact"/>
        <w:jc w:val="left"/>
        <w:rPr>
          <w:rFonts w:ascii="宋体" w:hAnsi="宋体" w:cs="宋体"/>
          <w:b/>
          <w:bCs/>
        </w:rPr>
      </w:pPr>
      <w:bookmarkStart w:id="218" w:name="_Toc989108"/>
      <w:r>
        <w:rPr>
          <w:rFonts w:ascii="宋体" w:hAnsi="宋体" w:cs="宋体"/>
          <w:b/>
          <w:bCs/>
        </w:rPr>
        <w:t>22、合同负债</w:t>
      </w:r>
      <w:bookmarkEnd w:id="21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预收销售合同货款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63,939,458.94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63,939,458.94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bl>
    <w:p w:rsidR="00B72ACA" w:rsidRDefault="00674F05">
      <w:pPr>
        <w:pStyle w:val="3"/>
        <w:spacing w:line="280" w:lineRule="exact"/>
        <w:jc w:val="left"/>
        <w:rPr>
          <w:rFonts w:ascii="宋体" w:hAnsi="宋体" w:cs="宋体"/>
          <w:b/>
          <w:bCs/>
        </w:rPr>
      </w:pPr>
      <w:bookmarkStart w:id="219" w:name="_Toc989109"/>
      <w:r>
        <w:rPr>
          <w:rFonts w:ascii="宋体" w:hAnsi="宋体" w:cs="宋体"/>
          <w:b/>
          <w:bCs/>
        </w:rPr>
        <w:t>23、应付职工薪酬</w:t>
      </w:r>
      <w:bookmarkEnd w:id="219"/>
    </w:p>
    <w:p w:rsidR="00B72ACA" w:rsidRDefault="00674F05">
      <w:pPr>
        <w:keepNext/>
        <w:keepLines/>
        <w:spacing w:before="300" w:after="300" w:line="280" w:lineRule="exact"/>
        <w:outlineLvl w:val="3"/>
        <w:rPr>
          <w:rFonts w:ascii="宋体" w:eastAsia="宋体" w:hAnsi="宋体" w:cs="宋体"/>
          <w:b/>
          <w:bCs/>
          <w:szCs w:val="21"/>
        </w:rPr>
      </w:pPr>
      <w:bookmarkStart w:id="220" w:name="_Toc989110"/>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22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34,647,173.29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51,041,303.20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64,254,599.76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21,433,876.73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210,385.93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2,978,159.01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3,090,626.99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97,917.95</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34,857,559.22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54,019,462.21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67,345,226.75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21,531,794.68</w:t>
            </w:r>
          </w:p>
        </w:tc>
      </w:tr>
    </w:tbl>
    <w:p w:rsidR="00B72ACA" w:rsidRDefault="00674F05">
      <w:pPr>
        <w:keepNext/>
        <w:keepLines/>
        <w:spacing w:before="300" w:after="300" w:line="280" w:lineRule="exact"/>
        <w:outlineLvl w:val="3"/>
        <w:rPr>
          <w:rFonts w:ascii="宋体" w:eastAsia="宋体" w:hAnsi="宋体" w:cs="宋体"/>
          <w:b/>
          <w:bCs/>
          <w:szCs w:val="21"/>
        </w:rPr>
      </w:pPr>
      <w:bookmarkStart w:id="221" w:name="_Toc989111"/>
      <w:r>
        <w:rPr>
          <w:rFonts w:ascii="宋体" w:eastAsia="宋体" w:hAnsi="宋体" w:cs="宋体"/>
          <w:b/>
          <w:bCs/>
          <w:szCs w:val="21"/>
        </w:rPr>
        <w:t>（2） 短期薪酬列示</w:t>
      </w:r>
      <w:bookmarkEnd w:id="22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33,274,344.23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45,639,873.05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58,766,464.54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20,147,752.74</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3,441,243.45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3,441,243.45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99,548.76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1,493,774.59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1,546,588.66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46,734.69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85,130.25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1,173,395.76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1,222,941.72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35,584.29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8,494.59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172,083.03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174,608.29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5,969.33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5,923.92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148,295.80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149,038.65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5,181.07</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76,807.00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323,886.00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357,777.00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42,916.00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1,196,473.30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142,526.11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142,526.11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1,196,473.30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34,647,173.29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51,041,303.20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64,254,599.76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21,433,876.73</w:t>
            </w:r>
          </w:p>
        </w:tc>
      </w:tr>
    </w:tbl>
    <w:p w:rsidR="00B72ACA" w:rsidRDefault="00674F05">
      <w:pPr>
        <w:keepNext/>
        <w:keepLines/>
        <w:spacing w:before="300" w:after="300" w:line="280" w:lineRule="exact"/>
        <w:outlineLvl w:val="3"/>
        <w:rPr>
          <w:rFonts w:ascii="宋体" w:eastAsia="宋体" w:hAnsi="宋体" w:cs="宋体"/>
          <w:b/>
          <w:bCs/>
          <w:szCs w:val="21"/>
        </w:rPr>
      </w:pPr>
      <w:bookmarkStart w:id="222" w:name="_Toc989112"/>
      <w:r>
        <w:rPr>
          <w:rFonts w:ascii="宋体" w:eastAsia="宋体" w:hAnsi="宋体" w:cs="宋体"/>
          <w:b/>
          <w:bCs/>
          <w:szCs w:val="21"/>
        </w:rPr>
        <w:t>（3） 设定提存计划列示</w:t>
      </w:r>
      <w:bookmarkEnd w:id="22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202,064.48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2,889,773.96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2,996,895.85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94,942.59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8,321.45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88,385.05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93,731.14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2,975.36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210,385.93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2,978,159.01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3,090,626.99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97,917.95</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A64A59">
        <w:rPr>
          <w:rFonts w:ascii="宋体" w:eastAsia="宋体" w:hAnsi="宋体" w:cs="宋体"/>
          <w:sz w:val="18"/>
          <w:szCs w:val="18"/>
        </w:rPr>
        <w:t>：</w:t>
      </w:r>
    </w:p>
    <w:p w:rsidR="00674F05" w:rsidRDefault="00674F05">
      <w:pPr>
        <w:pStyle w:val="a3"/>
        <w:spacing w:before="0" w:beforeAutospacing="0" w:after="0" w:afterAutospacing="0" w:line="400" w:lineRule="atLeast"/>
        <w:ind w:firstLine="360"/>
        <w:jc w:val="both"/>
        <w:divId w:val="591397953"/>
        <w:rPr>
          <w:rFonts w:ascii="Times New Roman" w:hAnsi="Times New Roman" w:cs="Times New Roman"/>
          <w:sz w:val="21"/>
          <w:szCs w:val="21"/>
        </w:rPr>
      </w:pPr>
      <w:r>
        <w:rPr>
          <w:rFonts w:cs="Times New Roman" w:hint="eastAsia"/>
          <w:sz w:val="18"/>
          <w:szCs w:val="18"/>
        </w:rPr>
        <w:t>本公司按规定参加由政府机构设立的养老保险、失业保险计划，根据该等计划，本公司分别按员工基本工资的16.00%、0.50%，每月向该等计划缴存费用。除上述每月缴存费用外，本公司不再承担进一步支付义务。相应的支出于发生时计入当期损益或相关资产的成本。</w:t>
      </w:r>
    </w:p>
    <w:p w:rsidR="00B72ACA" w:rsidRDefault="00674F05">
      <w:pPr>
        <w:pStyle w:val="3"/>
        <w:spacing w:line="280" w:lineRule="exact"/>
        <w:jc w:val="left"/>
        <w:rPr>
          <w:rFonts w:ascii="宋体" w:hAnsi="宋体" w:cs="宋体"/>
          <w:b/>
          <w:bCs/>
        </w:rPr>
      </w:pPr>
      <w:bookmarkStart w:id="223" w:name="_Toc989113"/>
      <w:r>
        <w:rPr>
          <w:rFonts w:ascii="宋体" w:hAnsi="宋体" w:cs="宋体"/>
          <w:b/>
          <w:bCs/>
        </w:rPr>
        <w:t>24、应交税费</w:t>
      </w:r>
      <w:bookmarkEnd w:id="22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1,701,801.20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616,602.14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15,467,079.86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18,357,024.44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105,402.14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181,329.73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134,193.04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79,768.89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601,514.79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553,837.84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128,045.00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128,157.50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457,127.60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492,023.16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122,758.96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79,768.88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18,724,722.59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20,495,012.58</w:t>
            </w:r>
          </w:p>
        </w:tc>
      </w:tr>
    </w:tbl>
    <w:p w:rsidR="00B72ACA" w:rsidRDefault="00674F05">
      <w:pPr>
        <w:pStyle w:val="3"/>
        <w:spacing w:line="280" w:lineRule="exact"/>
        <w:jc w:val="left"/>
        <w:rPr>
          <w:rFonts w:ascii="宋体" w:hAnsi="宋体" w:cs="宋体"/>
          <w:b/>
          <w:bCs/>
        </w:rPr>
      </w:pPr>
      <w:bookmarkStart w:id="224" w:name="_Toc989114"/>
      <w:r>
        <w:rPr>
          <w:rFonts w:ascii="宋体" w:hAnsi="宋体" w:cs="宋体"/>
          <w:b/>
          <w:bCs/>
        </w:rPr>
        <w:t>25、其他应付款</w:t>
      </w:r>
      <w:bookmarkEnd w:id="22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1,083,810.07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691,494.78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18,804,067.81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691,494.78</w:t>
            </w:r>
          </w:p>
        </w:tc>
      </w:tr>
    </w:tbl>
    <w:p w:rsidR="00B72ACA" w:rsidRDefault="00674F05">
      <w:pPr>
        <w:keepNext/>
        <w:keepLines/>
        <w:spacing w:before="300" w:after="300" w:line="280" w:lineRule="exact"/>
        <w:outlineLvl w:val="3"/>
        <w:rPr>
          <w:rFonts w:ascii="宋体" w:eastAsia="宋体" w:hAnsi="宋体" w:cs="宋体"/>
          <w:b/>
          <w:bCs/>
          <w:sz w:val="18"/>
          <w:szCs w:val="18"/>
        </w:rPr>
      </w:pPr>
      <w:bookmarkStart w:id="225" w:name="_Toc989115"/>
      <w:r>
        <w:rPr>
          <w:rFonts w:ascii="宋体" w:eastAsia="宋体" w:hAnsi="宋体" w:cs="宋体"/>
          <w:b/>
          <w:bCs/>
          <w:sz w:val="18"/>
          <w:szCs w:val="18"/>
        </w:rPr>
        <w:t>（1） 应付股利</w:t>
      </w:r>
      <w:bookmarkEnd w:id="22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bl>
    <w:p w:rsidR="00B72ACA" w:rsidRDefault="00674F05">
      <w:pPr>
        <w:keepNext/>
        <w:keepLines/>
        <w:spacing w:before="300" w:after="300" w:line="280" w:lineRule="exact"/>
        <w:outlineLvl w:val="3"/>
        <w:rPr>
          <w:rFonts w:ascii="宋体" w:eastAsia="宋体" w:hAnsi="宋体" w:cs="宋体"/>
          <w:b/>
          <w:bCs/>
          <w:sz w:val="18"/>
          <w:szCs w:val="18"/>
        </w:rPr>
      </w:pPr>
      <w:bookmarkStart w:id="226" w:name="_Toc989116"/>
      <w:r>
        <w:rPr>
          <w:rFonts w:ascii="宋体" w:eastAsia="宋体" w:hAnsi="宋体" w:cs="宋体"/>
          <w:b/>
          <w:bCs/>
          <w:sz w:val="18"/>
          <w:szCs w:val="18"/>
        </w:rPr>
        <w:t>（2） 其他应付款</w:t>
      </w:r>
      <w:bookmarkEnd w:id="226"/>
    </w:p>
    <w:p w:rsidR="00B72ACA" w:rsidRDefault="00674F05">
      <w:pPr>
        <w:keepNext/>
        <w:keepLines/>
        <w:spacing w:before="300" w:after="300" w:line="280" w:lineRule="exact"/>
        <w:outlineLvl w:val="4"/>
        <w:rPr>
          <w:rFonts w:ascii="宋体" w:eastAsia="宋体" w:hAnsi="宋体" w:cs="宋体"/>
          <w:b/>
          <w:bCs/>
          <w:sz w:val="18"/>
          <w:szCs w:val="18"/>
        </w:rPr>
      </w:pPr>
      <w:bookmarkStart w:id="227" w:name="_Toc989117"/>
      <w:r>
        <w:rPr>
          <w:rFonts w:ascii="宋体" w:eastAsia="宋体" w:hAnsi="宋体" w:cs="宋体"/>
          <w:b/>
          <w:bCs/>
          <w:sz w:val="18"/>
          <w:szCs w:val="18"/>
        </w:rPr>
        <w:t>1） 按款项性质列示其他应付款</w:t>
      </w:r>
      <w:bookmarkEnd w:id="22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141,468.96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37,266.28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50,400.00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888,113.00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3,828.11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3,828.50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1,083,810.07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691,494.78</w:t>
            </w:r>
          </w:p>
        </w:tc>
      </w:tr>
    </w:tbl>
    <w:p w:rsidR="00B72ACA" w:rsidRDefault="00674F05">
      <w:pPr>
        <w:keepNext/>
        <w:keepLines/>
        <w:spacing w:before="300" w:after="300" w:line="280" w:lineRule="exact"/>
        <w:outlineLvl w:val="4"/>
        <w:rPr>
          <w:rFonts w:ascii="宋体" w:eastAsia="宋体" w:hAnsi="宋体" w:cs="宋体"/>
          <w:b/>
          <w:bCs/>
          <w:sz w:val="18"/>
          <w:szCs w:val="18"/>
        </w:rPr>
      </w:pPr>
      <w:bookmarkStart w:id="228" w:name="_Toc989118"/>
      <w:r>
        <w:rPr>
          <w:rFonts w:ascii="宋体" w:eastAsia="宋体" w:hAnsi="宋体" w:cs="宋体"/>
          <w:b/>
          <w:bCs/>
          <w:sz w:val="18"/>
          <w:szCs w:val="18"/>
        </w:rPr>
        <w:t>2） 账龄超过1年的重要其他应付款</w:t>
      </w:r>
      <w:bookmarkEnd w:id="228"/>
    </w:p>
    <w:p w:rsidR="00674F05" w:rsidRDefault="00674F05">
      <w:pPr>
        <w:pStyle w:val="a3"/>
        <w:divId w:val="1904949481"/>
        <w:rPr>
          <w:sz w:val="18"/>
          <w:szCs w:val="18"/>
        </w:rPr>
      </w:pPr>
      <w:r>
        <w:rPr>
          <w:rFonts w:hint="eastAsia"/>
          <w:sz w:val="18"/>
          <w:szCs w:val="18"/>
        </w:rPr>
        <w:t>公司无账龄超过1年的重要其他应付款。</w:t>
      </w:r>
    </w:p>
    <w:p w:rsidR="00B72ACA" w:rsidRDefault="00674F05">
      <w:pPr>
        <w:pStyle w:val="3"/>
        <w:spacing w:line="280" w:lineRule="exact"/>
        <w:jc w:val="left"/>
        <w:rPr>
          <w:rFonts w:ascii="宋体" w:hAnsi="宋体" w:cs="宋体"/>
          <w:b/>
          <w:bCs/>
        </w:rPr>
      </w:pPr>
      <w:bookmarkStart w:id="229" w:name="_Toc989119"/>
      <w:r>
        <w:rPr>
          <w:rFonts w:ascii="宋体" w:hAnsi="宋体" w:cs="宋体"/>
          <w:b/>
          <w:bCs/>
        </w:rPr>
        <w:t>26、其他流动负债</w:t>
      </w:r>
      <w:bookmarkEnd w:id="22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8,005,429.75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6,230,407.68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未终止确认已背书但尚未到期的应收票据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28,630,000.00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27,050,430.00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37,635,429.75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34,280,837.68</w:t>
            </w:r>
          </w:p>
        </w:tc>
      </w:tr>
    </w:tbl>
    <w:p w:rsidR="00B72ACA" w:rsidRDefault="00674F05">
      <w:pPr>
        <w:pStyle w:val="3"/>
        <w:spacing w:line="280" w:lineRule="exact"/>
        <w:jc w:val="left"/>
        <w:rPr>
          <w:rFonts w:ascii="宋体" w:hAnsi="宋体" w:cs="宋体"/>
          <w:b/>
          <w:bCs/>
        </w:rPr>
      </w:pPr>
      <w:bookmarkStart w:id="230" w:name="_Toc989120"/>
      <w:r>
        <w:rPr>
          <w:rFonts w:ascii="宋体" w:hAnsi="宋体" w:cs="宋体"/>
          <w:b/>
          <w:bCs/>
        </w:rPr>
        <w:t>27、股本</w:t>
      </w:r>
      <w:bookmarkEnd w:id="23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B72ACA">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B72ACA" w:rsidRDefault="00674F05">
      <w:pPr>
        <w:pStyle w:val="3"/>
        <w:spacing w:line="280" w:lineRule="exact"/>
        <w:jc w:val="left"/>
        <w:rPr>
          <w:rFonts w:ascii="宋体" w:hAnsi="宋体" w:cs="宋体"/>
          <w:b/>
          <w:bCs/>
        </w:rPr>
      </w:pPr>
      <w:bookmarkStart w:id="231" w:name="_Toc989121"/>
      <w:r>
        <w:rPr>
          <w:rFonts w:ascii="宋体" w:hAnsi="宋体" w:cs="宋体"/>
          <w:b/>
          <w:bCs/>
        </w:rPr>
        <w:t>28、资本公积</w:t>
      </w:r>
      <w:bookmarkEnd w:id="23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375,027,661.91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375,027,661.91</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16,036,256.23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14,979,708.46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391,063,918.14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390,007,370.37</w:t>
            </w:r>
          </w:p>
        </w:tc>
      </w:tr>
    </w:tbl>
    <w:p w:rsidR="00B72ACA" w:rsidRDefault="00674F05">
      <w:pPr>
        <w:pStyle w:val="3"/>
        <w:spacing w:line="280" w:lineRule="exact"/>
        <w:jc w:val="left"/>
        <w:rPr>
          <w:rFonts w:ascii="宋体" w:hAnsi="宋体" w:cs="宋体"/>
          <w:b/>
          <w:bCs/>
        </w:rPr>
      </w:pPr>
      <w:bookmarkStart w:id="232" w:name="_Toc989122"/>
      <w:r>
        <w:rPr>
          <w:rFonts w:ascii="宋体" w:hAnsi="宋体" w:cs="宋体"/>
          <w:b/>
          <w:bCs/>
        </w:rPr>
        <w:t>29、其他综合收益</w:t>
      </w:r>
      <w:bookmarkEnd w:id="23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B72ACA">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其中：重新计量设定受益计划变动额</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权益法下不能转损益的其他综合收益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企业自身信用风险公允价值变动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-8,971,411.64</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-8,971,411.64</w:t>
            </w: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其他债权投资公允价值变动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金融资产重分类计入其他综合收益的金额</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其他债权投资信用减值准备</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现金流量套期储备</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外币财务报表折算差额</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-20,801,622.91</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-8,971,411.64</w:t>
            </w:r>
          </w:p>
        </w:tc>
      </w:tr>
    </w:tbl>
    <w:p w:rsidR="00B72ACA" w:rsidRDefault="00674F05">
      <w:pPr>
        <w:pStyle w:val="3"/>
        <w:spacing w:line="280" w:lineRule="exact"/>
        <w:jc w:val="left"/>
        <w:rPr>
          <w:rFonts w:ascii="宋体" w:hAnsi="宋体" w:cs="宋体"/>
          <w:b/>
          <w:bCs/>
        </w:rPr>
      </w:pPr>
      <w:bookmarkStart w:id="233" w:name="_Toc989123"/>
      <w:r>
        <w:rPr>
          <w:rFonts w:ascii="宋体" w:hAnsi="宋体" w:cs="宋体"/>
          <w:b/>
          <w:bCs/>
        </w:rPr>
        <w:t>30、盈余公积</w:t>
      </w:r>
      <w:bookmarkEnd w:id="23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bl>
    <w:p w:rsidR="00B72ACA" w:rsidRDefault="00674F05">
      <w:pPr>
        <w:pStyle w:val="3"/>
        <w:spacing w:line="280" w:lineRule="exact"/>
        <w:jc w:val="left"/>
        <w:rPr>
          <w:rFonts w:ascii="宋体" w:hAnsi="宋体" w:cs="宋体"/>
          <w:b/>
          <w:bCs/>
        </w:rPr>
      </w:pPr>
      <w:bookmarkStart w:id="234" w:name="_Toc989124"/>
      <w:r>
        <w:rPr>
          <w:rFonts w:ascii="宋体" w:hAnsi="宋体" w:cs="宋体"/>
          <w:b/>
          <w:bCs/>
        </w:rPr>
        <w:t>31、未分配利润</w:t>
      </w:r>
      <w:bookmarkEnd w:id="23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3,366,413,504.27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3,366,413,504.27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98,728,051.07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3,393,070,316.85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3,268,290,976.15</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4)、由于同一控制导致的合并范围变更，影响期初未分配利润0.00元。</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B72ACA" w:rsidRDefault="00674F05">
      <w:pPr>
        <w:pStyle w:val="3"/>
        <w:spacing w:line="280" w:lineRule="exact"/>
        <w:jc w:val="left"/>
        <w:rPr>
          <w:rFonts w:ascii="宋体" w:hAnsi="宋体" w:cs="宋体"/>
          <w:b/>
          <w:bCs/>
        </w:rPr>
      </w:pPr>
      <w:bookmarkStart w:id="235" w:name="_Toc989125"/>
      <w:r>
        <w:rPr>
          <w:rFonts w:ascii="宋体" w:hAnsi="宋体" w:cs="宋体"/>
          <w:b/>
          <w:bCs/>
        </w:rPr>
        <w:t>32、营业收入和营业成本</w:t>
      </w:r>
      <w:bookmarkEnd w:id="23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1,329,528,619.83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1,245,617,052.99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1,445,417,892.92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1,338,937,856.08</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2,335,374.97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29,898,190.43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1,247,952,427.96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1,368,836,046.51</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收入相关信息：</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1,229,061,953.89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1,229,061,953.89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码头仓储服务收入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100,466,665.94</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材料销售收入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1,108,917,515.25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1,108,917,515.25</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国外</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224,889,989.58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224,889,989.58</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1,333,807,504.83</w:t>
            </w:r>
          </w:p>
        </w:tc>
      </w:tr>
    </w:tbl>
    <w:p w:rsidR="00B72ACA" w:rsidRDefault="00674F05" w:rsidP="00A64A59">
      <w:pPr>
        <w:spacing w:before="100" w:after="100"/>
        <w:rPr>
          <w:rFonts w:ascii="宋体" w:eastAsia="宋体" w:hAnsi="宋体" w:cs="宋体"/>
          <w:sz w:val="18"/>
          <w:szCs w:val="18"/>
        </w:rPr>
      </w:pPr>
      <w:r>
        <w:rPr>
          <w:rFonts w:ascii="宋体" w:eastAsia="宋体" w:hAnsi="宋体" w:cs="宋体"/>
          <w:sz w:val="18"/>
          <w:szCs w:val="18"/>
        </w:rPr>
        <w:t>与履约义务相关的信息：</w:t>
      </w:r>
    </w:p>
    <w:p w:rsidR="00674F05" w:rsidRDefault="00674F05" w:rsidP="00A64A59">
      <w:pPr>
        <w:pStyle w:val="a3"/>
        <w:spacing w:before="0" w:beforeAutospacing="0" w:after="0" w:afterAutospacing="0"/>
        <w:ind w:firstLine="360"/>
        <w:jc w:val="both"/>
        <w:divId w:val="871302765"/>
      </w:pPr>
      <w:r>
        <w:rPr>
          <w:rFonts w:hint="eastAsia"/>
          <w:sz w:val="18"/>
          <w:szCs w:val="18"/>
        </w:rPr>
        <w:t>本公司收入主要来源于销售商品和码头仓储服务，销售商品属于在某一时</w:t>
      </w:r>
      <w:proofErr w:type="gramStart"/>
      <w:r>
        <w:rPr>
          <w:rFonts w:hint="eastAsia"/>
          <w:sz w:val="18"/>
          <w:szCs w:val="18"/>
        </w:rPr>
        <w:t>点履行</w:t>
      </w:r>
      <w:proofErr w:type="gramEnd"/>
      <w:r>
        <w:rPr>
          <w:rFonts w:hint="eastAsia"/>
          <w:sz w:val="18"/>
          <w:szCs w:val="18"/>
        </w:rPr>
        <w:t>履约义务。公司在满足下列条件时确认收入：</w:t>
      </w:r>
    </w:p>
    <w:p w:rsidR="00674F05" w:rsidRDefault="00674F05" w:rsidP="00A64A59">
      <w:pPr>
        <w:pStyle w:val="a3"/>
        <w:spacing w:before="0" w:beforeAutospacing="0" w:after="0" w:afterAutospacing="0"/>
        <w:ind w:firstLine="360"/>
        <w:jc w:val="both"/>
        <w:divId w:val="871302765"/>
      </w:pPr>
      <w:r>
        <w:rPr>
          <w:rFonts w:hint="eastAsia"/>
          <w:sz w:val="18"/>
          <w:szCs w:val="18"/>
        </w:rPr>
        <w:t>购买方在确认接收商品后享有自行销售和使用产品的权利并承担该产品可能发生价格波动或毁损的风险。其中：</w:t>
      </w:r>
    </w:p>
    <w:p w:rsidR="00674F05" w:rsidRDefault="00674F05" w:rsidP="00A64A59">
      <w:pPr>
        <w:pStyle w:val="a3"/>
        <w:spacing w:before="0" w:beforeAutospacing="0" w:after="0" w:afterAutospacing="0"/>
        <w:ind w:firstLine="360"/>
        <w:jc w:val="both"/>
        <w:divId w:val="871302765"/>
      </w:pPr>
      <w:r>
        <w:rPr>
          <w:rFonts w:hint="eastAsia"/>
          <w:sz w:val="18"/>
          <w:szCs w:val="18"/>
        </w:rPr>
        <w:t>①国内销售收入确认需满足以下条件：公司已根据合同约定将产品交付给客户且客户已接受该商品，已经收回货款或取得了收款权利的凭证等；</w:t>
      </w:r>
    </w:p>
    <w:p w:rsidR="00674F05" w:rsidRDefault="00674F05" w:rsidP="00A64A59">
      <w:pPr>
        <w:pStyle w:val="a3"/>
        <w:spacing w:before="0" w:beforeAutospacing="0" w:after="0" w:afterAutospacing="0"/>
        <w:ind w:firstLine="360"/>
        <w:jc w:val="both"/>
        <w:divId w:val="871302765"/>
      </w:pPr>
      <w:r>
        <w:rPr>
          <w:rFonts w:hint="eastAsia"/>
          <w:sz w:val="18"/>
          <w:szCs w:val="18"/>
        </w:rPr>
        <w:t>②对于国外销售的产品，以产品发运、办理出口清关手续并取得报关单及货运提单时确认销售收入。</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A64A59" w:rsidRDefault="00674F05" w:rsidP="00E8788E">
      <w:pPr>
        <w:spacing w:before="100" w:after="100" w:line="240" w:lineRule="exact"/>
        <w:ind w:firstLineChars="200" w:firstLine="360"/>
        <w:jc w:val="both"/>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签订合同、但尚未履行或尚未履行完毕的履约义务所对应的收入金额为190,407,552.81元，其中，190,407,552.81元预计将于2023年度确认收入</w:t>
      </w:r>
      <w:r w:rsidR="00A64A59">
        <w:rPr>
          <w:rFonts w:ascii="宋体" w:eastAsia="宋体" w:hAnsi="宋体" w:cs="宋体"/>
          <w:sz w:val="18"/>
          <w:szCs w:val="18"/>
        </w:rPr>
        <w:t>。</w:t>
      </w:r>
    </w:p>
    <w:p w:rsidR="00674F05" w:rsidRDefault="00674F05" w:rsidP="00A64A59">
      <w:pPr>
        <w:spacing w:before="100" w:after="100" w:line="240" w:lineRule="exact"/>
        <w:ind w:firstLineChars="200" w:firstLine="360"/>
        <w:rPr>
          <w:sz w:val="18"/>
          <w:szCs w:val="18"/>
        </w:rPr>
      </w:pPr>
      <w:r>
        <w:rPr>
          <w:rFonts w:hint="eastAsia"/>
          <w:sz w:val="18"/>
          <w:szCs w:val="18"/>
        </w:rPr>
        <w:t>前五名客户的营业收入情况：</w:t>
      </w:r>
      <w:r w:rsidR="00AB2EF6">
        <w:rPr>
          <w:rFonts w:hint="eastAsia"/>
          <w:sz w:val="18"/>
          <w:szCs w:val="18"/>
        </w:rPr>
        <w:t xml:space="preserve">                                                                                                                                     </w:t>
      </w:r>
      <w:r w:rsidR="00AB2EF6">
        <w:rPr>
          <w:rFonts w:hint="eastAsia"/>
          <w:sz w:val="18"/>
          <w:szCs w:val="18"/>
        </w:rPr>
        <w:t>单位：元</w:t>
      </w:r>
    </w:p>
    <w:tbl>
      <w:tblPr>
        <w:tblW w:w="5000" w:type="pct"/>
        <w:tblCellMar>
          <w:left w:w="0" w:type="dxa"/>
          <w:right w:w="0" w:type="dxa"/>
        </w:tblCellMar>
        <w:tblLook w:val="04A0" w:firstRow="1" w:lastRow="0" w:firstColumn="1" w:lastColumn="0" w:noHBand="0" w:noVBand="1"/>
      </w:tblPr>
      <w:tblGrid>
        <w:gridCol w:w="3959"/>
        <w:gridCol w:w="2706"/>
        <w:gridCol w:w="3028"/>
      </w:tblGrid>
      <w:tr w:rsidR="00674F05">
        <w:trPr>
          <w:divId w:val="373775371"/>
          <w:trHeight w:val="360"/>
          <w:tblHeader/>
        </w:trPr>
        <w:tc>
          <w:tcPr>
            <w:tcW w:w="204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39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6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上期金额</w:t>
            </w:r>
          </w:p>
        </w:tc>
      </w:tr>
      <w:tr w:rsidR="00674F05">
        <w:trPr>
          <w:divId w:val="373775371"/>
          <w:trHeight w:val="360"/>
        </w:trPr>
        <w:tc>
          <w:tcPr>
            <w:tcW w:w="204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销售前五名客户收入总额</w:t>
            </w:r>
          </w:p>
        </w:tc>
        <w:tc>
          <w:tcPr>
            <w:tcW w:w="1396" w:type="pct"/>
            <w:tcBorders>
              <w:top w:val="nil"/>
              <w:left w:val="nil"/>
              <w:bottom w:val="single" w:sz="8" w:space="0" w:color="auto"/>
              <w:right w:val="single" w:sz="8" w:space="0" w:color="auto"/>
            </w:tcBorders>
            <w:noWrap/>
            <w:tcMar>
              <w:top w:w="0" w:type="dxa"/>
              <w:left w:w="28" w:type="dxa"/>
              <w:bottom w:w="0" w:type="dxa"/>
              <w:right w:w="2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396,454,282.92</w:t>
            </w:r>
          </w:p>
        </w:tc>
        <w:tc>
          <w:tcPr>
            <w:tcW w:w="156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381,244,053.15</w:t>
            </w:r>
          </w:p>
        </w:tc>
      </w:tr>
      <w:tr w:rsidR="00674F05">
        <w:trPr>
          <w:divId w:val="373775371"/>
          <w:trHeight w:val="360"/>
        </w:trPr>
        <w:tc>
          <w:tcPr>
            <w:tcW w:w="204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占营业收入总额的比例</w:t>
            </w:r>
          </w:p>
        </w:tc>
        <w:tc>
          <w:tcPr>
            <w:tcW w:w="13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29.72%</w:t>
            </w:r>
          </w:p>
        </w:tc>
        <w:tc>
          <w:tcPr>
            <w:tcW w:w="156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25.81%</w:t>
            </w:r>
          </w:p>
        </w:tc>
      </w:tr>
    </w:tbl>
    <w:p w:rsidR="00674F05" w:rsidRDefault="00674F05">
      <w:pPr>
        <w:divId w:val="373775371"/>
        <w:rPr>
          <w:sz w:val="24"/>
          <w:szCs w:val="24"/>
        </w:rPr>
      </w:pPr>
    </w:p>
    <w:p w:rsidR="00B72ACA" w:rsidRDefault="00674F05">
      <w:pPr>
        <w:pStyle w:val="3"/>
        <w:spacing w:line="280" w:lineRule="exact"/>
        <w:jc w:val="left"/>
        <w:rPr>
          <w:rFonts w:ascii="宋体" w:hAnsi="宋体" w:cs="宋体"/>
          <w:b/>
          <w:bCs/>
        </w:rPr>
      </w:pPr>
      <w:bookmarkStart w:id="236" w:name="_Toc989126"/>
      <w:r>
        <w:rPr>
          <w:rFonts w:ascii="宋体" w:hAnsi="宋体" w:cs="宋体"/>
          <w:b/>
          <w:bCs/>
        </w:rPr>
        <w:t>33、税金及附加</w:t>
      </w:r>
      <w:bookmarkEnd w:id="23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833,971.94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1,178,336.93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763,198.11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1,078,193.48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1,203,029.58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1,139,281.77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256,090.00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214,926.60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5,820.00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7,140.00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1,019,347.70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519,579.60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16,694.86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50,055.92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4,098,152.19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4,187,514.30</w:t>
            </w:r>
          </w:p>
        </w:tc>
      </w:tr>
    </w:tbl>
    <w:p w:rsidR="00674F05" w:rsidRDefault="00674F05">
      <w:pPr>
        <w:divId w:val="867789593"/>
        <w:rPr>
          <w:sz w:val="18"/>
          <w:szCs w:val="18"/>
        </w:rPr>
      </w:pPr>
    </w:p>
    <w:p w:rsidR="00B72ACA" w:rsidRDefault="00674F05">
      <w:pPr>
        <w:pStyle w:val="3"/>
        <w:spacing w:line="280" w:lineRule="exact"/>
        <w:jc w:val="left"/>
        <w:rPr>
          <w:rFonts w:ascii="宋体" w:hAnsi="宋体" w:cs="宋体"/>
          <w:b/>
          <w:bCs/>
        </w:rPr>
      </w:pPr>
      <w:bookmarkStart w:id="237" w:name="_Toc989127"/>
      <w:r>
        <w:rPr>
          <w:rFonts w:ascii="宋体" w:hAnsi="宋体" w:cs="宋体"/>
          <w:b/>
          <w:bCs/>
        </w:rPr>
        <w:lastRenderedPageBreak/>
        <w:t>34、销售费用</w:t>
      </w:r>
      <w:bookmarkEnd w:id="23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1,268,167.27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814,563.73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100,772.98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327,741.70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18,136.24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12,161.01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1,897,076.49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1,664,466.44</w:t>
            </w:r>
          </w:p>
        </w:tc>
      </w:tr>
    </w:tbl>
    <w:p w:rsidR="00B72ACA" w:rsidRDefault="00674F05">
      <w:pPr>
        <w:pStyle w:val="3"/>
        <w:spacing w:line="280" w:lineRule="exact"/>
        <w:jc w:val="left"/>
        <w:rPr>
          <w:rFonts w:ascii="宋体" w:hAnsi="宋体" w:cs="宋体"/>
          <w:b/>
          <w:bCs/>
        </w:rPr>
      </w:pPr>
      <w:bookmarkStart w:id="238" w:name="_Toc989128"/>
      <w:r>
        <w:rPr>
          <w:rFonts w:ascii="宋体" w:hAnsi="宋体" w:cs="宋体"/>
          <w:b/>
          <w:bCs/>
        </w:rPr>
        <w:t>35、管理费用</w:t>
      </w:r>
      <w:bookmarkEnd w:id="23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9,399,220.29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12,873,551.94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1,271,312.57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1,247,479.64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3,173,926.43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2,936,983.75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4,421,242.39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4,194,371.35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711,523.14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827,028.46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1,377,174.51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2,722,182.90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672,651.36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172,579.21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装修费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11,203.54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256,412.85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车辆费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492,321.87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260,332.18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财产保险费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568,472.77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534,785.91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58,411.51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280,890.92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诉讼费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477,856.25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166,037.74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1,368,859.65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959,052.81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24,004,176.28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27,431,689.66</w:t>
            </w:r>
          </w:p>
        </w:tc>
      </w:tr>
    </w:tbl>
    <w:p w:rsidR="00B72ACA" w:rsidRDefault="00674F05">
      <w:pPr>
        <w:pStyle w:val="3"/>
        <w:spacing w:line="280" w:lineRule="exact"/>
        <w:jc w:val="left"/>
        <w:rPr>
          <w:rFonts w:ascii="宋体" w:hAnsi="宋体" w:cs="宋体"/>
          <w:b/>
          <w:bCs/>
        </w:rPr>
      </w:pPr>
      <w:bookmarkStart w:id="239" w:name="_Toc989129"/>
      <w:r>
        <w:rPr>
          <w:rFonts w:ascii="宋体" w:hAnsi="宋体" w:cs="宋体"/>
          <w:b/>
          <w:bCs/>
        </w:rPr>
        <w:t>36、研发费用</w:t>
      </w:r>
      <w:bookmarkEnd w:id="23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3,390,000.00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3,309,600.00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1,121,337.97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1,049,298.81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334,239.54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334,239.54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47,260.84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59,411.31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4,892,838.35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4,752,549.66</w:t>
            </w:r>
          </w:p>
        </w:tc>
      </w:tr>
    </w:tbl>
    <w:p w:rsidR="00B72ACA" w:rsidRDefault="00674F05">
      <w:pPr>
        <w:pStyle w:val="3"/>
        <w:spacing w:line="280" w:lineRule="exact"/>
        <w:jc w:val="left"/>
        <w:rPr>
          <w:rFonts w:ascii="宋体" w:hAnsi="宋体" w:cs="宋体"/>
          <w:b/>
          <w:bCs/>
        </w:rPr>
      </w:pPr>
      <w:bookmarkStart w:id="240" w:name="_Toc989130"/>
      <w:r>
        <w:rPr>
          <w:rFonts w:ascii="宋体" w:hAnsi="宋体" w:cs="宋体"/>
          <w:b/>
          <w:bCs/>
        </w:rPr>
        <w:t>37、财务费用</w:t>
      </w:r>
      <w:bookmarkEnd w:id="24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18,706,193.02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23,741,751.29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其中：银行等金融机构借款利息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18,706,193.02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23,741,751.29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3,937,658.03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2,232,665.77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汇兑损失</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-8,185,855.70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-11,660,789.13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1,438,430.95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1,713,402.15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8,021,110.24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11,561,698.54</w:t>
            </w:r>
          </w:p>
        </w:tc>
      </w:tr>
    </w:tbl>
    <w:p w:rsidR="00674F05" w:rsidRDefault="00674F05">
      <w:pPr>
        <w:divId w:val="1150751691"/>
        <w:rPr>
          <w:sz w:val="18"/>
          <w:szCs w:val="18"/>
        </w:rPr>
      </w:pPr>
    </w:p>
    <w:p w:rsidR="00B72ACA" w:rsidRDefault="00674F05">
      <w:pPr>
        <w:pStyle w:val="3"/>
        <w:spacing w:line="280" w:lineRule="exact"/>
        <w:jc w:val="left"/>
        <w:rPr>
          <w:rFonts w:ascii="宋体" w:hAnsi="宋体" w:cs="宋体"/>
          <w:b/>
          <w:bCs/>
        </w:rPr>
      </w:pPr>
      <w:bookmarkStart w:id="241" w:name="_Toc989131"/>
      <w:r>
        <w:rPr>
          <w:rFonts w:ascii="宋体" w:hAnsi="宋体" w:cs="宋体"/>
          <w:b/>
          <w:bCs/>
        </w:rPr>
        <w:lastRenderedPageBreak/>
        <w:t>38、其他收益</w:t>
      </w:r>
      <w:bookmarkEnd w:id="24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政府补助（注）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1,534,000.00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1,134,822.21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代扣个人所得税手续费返还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44,677.89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43,799.79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60,500.86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116,509.16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1,639,178.75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1,295,131.16</w:t>
            </w:r>
          </w:p>
        </w:tc>
      </w:tr>
    </w:tbl>
    <w:p w:rsidR="00A64A59" w:rsidRPr="00A64A59" w:rsidRDefault="00A64A59" w:rsidP="00A64A59">
      <w:pPr>
        <w:spacing w:before="100" w:after="100" w:line="240" w:lineRule="exact"/>
        <w:ind w:firstLineChars="200" w:firstLine="360"/>
        <w:rPr>
          <w:rFonts w:asciiTheme="minorEastAsia" w:hAnsiTheme="minorEastAsia"/>
          <w:sz w:val="18"/>
          <w:szCs w:val="18"/>
        </w:rPr>
      </w:pPr>
      <w:bookmarkStart w:id="242" w:name="_Toc989132"/>
      <w:r w:rsidRPr="00A64A59">
        <w:rPr>
          <w:rFonts w:asciiTheme="minorEastAsia" w:hAnsiTheme="minorEastAsia"/>
          <w:sz w:val="18"/>
          <w:szCs w:val="18"/>
        </w:rPr>
        <w:t>注：政府补助的具体信息，详见附注七、</w:t>
      </w:r>
      <w:r w:rsidRPr="00A64A59">
        <w:rPr>
          <w:rFonts w:asciiTheme="minorEastAsia" w:hAnsiTheme="minorEastAsia" w:hint="eastAsia"/>
          <w:sz w:val="18"/>
          <w:szCs w:val="18"/>
        </w:rPr>
        <w:t>51</w:t>
      </w:r>
      <w:r w:rsidR="0030340F">
        <w:rPr>
          <w:rFonts w:asciiTheme="minorEastAsia" w:hAnsiTheme="minorEastAsia" w:hint="eastAsia"/>
          <w:sz w:val="18"/>
          <w:szCs w:val="18"/>
        </w:rPr>
        <w:t>、政府</w:t>
      </w:r>
      <w:r w:rsidRPr="00A64A59">
        <w:rPr>
          <w:rFonts w:asciiTheme="minorEastAsia" w:hAnsiTheme="minorEastAsia" w:hint="eastAsia"/>
          <w:sz w:val="18"/>
          <w:szCs w:val="18"/>
        </w:rPr>
        <w:t>补助。</w:t>
      </w:r>
    </w:p>
    <w:p w:rsidR="00B72ACA" w:rsidRDefault="00674F05">
      <w:pPr>
        <w:pStyle w:val="3"/>
        <w:spacing w:line="280" w:lineRule="exact"/>
        <w:jc w:val="left"/>
        <w:rPr>
          <w:rFonts w:ascii="宋体" w:hAnsi="宋体" w:cs="宋体"/>
          <w:b/>
          <w:bCs/>
        </w:rPr>
      </w:pPr>
      <w:r>
        <w:rPr>
          <w:rFonts w:ascii="宋体" w:hAnsi="宋体" w:cs="宋体"/>
          <w:b/>
          <w:bCs/>
        </w:rPr>
        <w:t>39、投资收益</w:t>
      </w:r>
      <w:bookmarkEnd w:id="24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-4,810,851.14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36,101,101.16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27,499,552.00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15,459,166.90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17,303,893.06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10,648,315.76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80,904,546.22</w:t>
            </w:r>
          </w:p>
        </w:tc>
      </w:tr>
    </w:tbl>
    <w:p w:rsidR="00B72ACA" w:rsidRDefault="00674F05">
      <w:pPr>
        <w:pStyle w:val="3"/>
        <w:spacing w:line="280" w:lineRule="exact"/>
        <w:jc w:val="left"/>
        <w:rPr>
          <w:rFonts w:ascii="宋体" w:hAnsi="宋体" w:cs="宋体"/>
          <w:b/>
          <w:bCs/>
        </w:rPr>
      </w:pPr>
      <w:bookmarkStart w:id="243" w:name="_Toc989133"/>
      <w:r>
        <w:rPr>
          <w:rFonts w:ascii="宋体" w:hAnsi="宋体" w:cs="宋体"/>
          <w:b/>
          <w:bCs/>
        </w:rPr>
        <w:t>40、公允价值变动收益</w:t>
      </w:r>
      <w:bookmarkEnd w:id="24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10,834,577.04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-7,728,357.75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6,748,211.48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-7,728,357.75</w:t>
            </w:r>
          </w:p>
        </w:tc>
      </w:tr>
    </w:tbl>
    <w:p w:rsidR="00B72ACA" w:rsidRDefault="00674F05">
      <w:pPr>
        <w:pStyle w:val="3"/>
        <w:spacing w:line="280" w:lineRule="exact"/>
        <w:jc w:val="left"/>
        <w:rPr>
          <w:rFonts w:ascii="宋体" w:hAnsi="宋体" w:cs="宋体"/>
          <w:b/>
          <w:bCs/>
        </w:rPr>
      </w:pPr>
      <w:bookmarkStart w:id="244" w:name="_Toc989134"/>
      <w:r>
        <w:rPr>
          <w:rFonts w:ascii="宋体" w:hAnsi="宋体" w:cs="宋体"/>
          <w:b/>
          <w:bCs/>
        </w:rPr>
        <w:t>41、信用减值损失</w:t>
      </w:r>
      <w:bookmarkEnd w:id="24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-62,599.49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-37,726.22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-821,082.05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-3,492,244.88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-883,681.54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-3,529,971.10</w:t>
            </w:r>
          </w:p>
        </w:tc>
      </w:tr>
    </w:tbl>
    <w:p w:rsidR="00B72ACA" w:rsidRDefault="00674F05">
      <w:pPr>
        <w:pStyle w:val="3"/>
        <w:spacing w:line="280" w:lineRule="exact"/>
        <w:jc w:val="left"/>
        <w:rPr>
          <w:rFonts w:ascii="宋体" w:hAnsi="宋体" w:cs="宋体"/>
          <w:b/>
          <w:bCs/>
        </w:rPr>
      </w:pPr>
      <w:bookmarkStart w:id="245" w:name="_Toc989135"/>
      <w:r>
        <w:rPr>
          <w:rFonts w:ascii="宋体" w:hAnsi="宋体" w:cs="宋体"/>
          <w:b/>
          <w:bCs/>
        </w:rPr>
        <w:t>42、资产减值损失</w:t>
      </w:r>
      <w:bookmarkEnd w:id="24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-57,593.64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-57,593.64</w:t>
            </w:r>
          </w:p>
        </w:tc>
      </w:tr>
    </w:tbl>
    <w:p w:rsidR="00674F05" w:rsidRDefault="00674F05">
      <w:pPr>
        <w:divId w:val="534469918"/>
        <w:rPr>
          <w:sz w:val="18"/>
          <w:szCs w:val="18"/>
        </w:rPr>
      </w:pPr>
    </w:p>
    <w:p w:rsidR="00B72ACA" w:rsidRDefault="00674F05">
      <w:pPr>
        <w:pStyle w:val="3"/>
        <w:spacing w:line="280" w:lineRule="exact"/>
        <w:jc w:val="left"/>
        <w:rPr>
          <w:rFonts w:ascii="宋体" w:hAnsi="宋体" w:cs="宋体"/>
          <w:b/>
          <w:bCs/>
        </w:rPr>
      </w:pPr>
      <w:bookmarkStart w:id="246" w:name="_Toc989136"/>
      <w:r>
        <w:rPr>
          <w:rFonts w:ascii="宋体" w:hAnsi="宋体" w:cs="宋体"/>
          <w:b/>
          <w:bCs/>
        </w:rPr>
        <w:lastRenderedPageBreak/>
        <w:t>43、营业外收入</w:t>
      </w:r>
      <w:bookmarkEnd w:id="24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补偿金</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1,412,721.87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226,700.00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1,412,721.87</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34,440.00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34,440.00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1,447,161.87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226,700.00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1,447,161.87</w:t>
            </w:r>
          </w:p>
        </w:tc>
      </w:tr>
    </w:tbl>
    <w:p w:rsidR="00B72ACA" w:rsidRDefault="00674F05">
      <w:pPr>
        <w:pStyle w:val="3"/>
        <w:spacing w:line="280" w:lineRule="exact"/>
        <w:jc w:val="left"/>
        <w:rPr>
          <w:rFonts w:ascii="宋体" w:hAnsi="宋体" w:cs="宋体"/>
          <w:b/>
          <w:bCs/>
        </w:rPr>
      </w:pPr>
      <w:bookmarkStart w:id="247" w:name="_Toc989137"/>
      <w:r>
        <w:rPr>
          <w:rFonts w:ascii="宋体" w:hAnsi="宋体" w:cs="宋体"/>
          <w:b/>
          <w:bCs/>
        </w:rPr>
        <w:t>44、营业外支出</w:t>
      </w:r>
      <w:bookmarkEnd w:id="24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2,607.38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21,551.35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2,607.38</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357,802.09</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626,133.88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357,802.09</w:t>
            </w:r>
          </w:p>
        </w:tc>
      </w:tr>
    </w:tbl>
    <w:p w:rsidR="00B72ACA" w:rsidRDefault="00674F05">
      <w:pPr>
        <w:pStyle w:val="3"/>
        <w:spacing w:line="280" w:lineRule="exact"/>
        <w:jc w:val="left"/>
        <w:rPr>
          <w:rFonts w:ascii="宋体" w:hAnsi="宋体" w:cs="宋体"/>
          <w:b/>
          <w:bCs/>
        </w:rPr>
      </w:pPr>
      <w:bookmarkStart w:id="248" w:name="_Toc989138"/>
      <w:r>
        <w:rPr>
          <w:rFonts w:ascii="宋体" w:hAnsi="宋体" w:cs="宋体"/>
          <w:b/>
          <w:bCs/>
        </w:rPr>
        <w:t>45、所得税费用</w:t>
      </w:r>
      <w:bookmarkEnd w:id="248"/>
    </w:p>
    <w:p w:rsidR="00B72ACA" w:rsidRDefault="00674F05">
      <w:pPr>
        <w:keepNext/>
        <w:keepLines/>
        <w:spacing w:before="300" w:after="300" w:line="280" w:lineRule="exact"/>
        <w:outlineLvl w:val="3"/>
        <w:rPr>
          <w:rFonts w:ascii="宋体" w:eastAsia="宋体" w:hAnsi="宋体" w:cs="宋体"/>
          <w:b/>
          <w:bCs/>
          <w:szCs w:val="21"/>
        </w:rPr>
      </w:pPr>
      <w:bookmarkStart w:id="249" w:name="_Toc989139"/>
      <w:r>
        <w:rPr>
          <w:rFonts w:ascii="宋体" w:eastAsia="宋体" w:hAnsi="宋体" w:cs="宋体"/>
          <w:b/>
          <w:bCs/>
          <w:szCs w:val="21"/>
        </w:rPr>
        <w:t>（1） 所得税费用表</w:t>
      </w:r>
      <w:bookmarkEnd w:id="24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25,531,467.07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28,994,932.06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-8,185,280.53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-10,551,342.94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17,346,186.54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18,443,589.12</w:t>
            </w:r>
          </w:p>
        </w:tc>
      </w:tr>
    </w:tbl>
    <w:p w:rsidR="00B72ACA" w:rsidRDefault="00674F05">
      <w:pPr>
        <w:keepNext/>
        <w:keepLines/>
        <w:spacing w:before="300" w:after="300" w:line="280" w:lineRule="exact"/>
        <w:outlineLvl w:val="3"/>
        <w:rPr>
          <w:rFonts w:ascii="宋体" w:eastAsia="宋体" w:hAnsi="宋体" w:cs="宋体"/>
          <w:b/>
          <w:bCs/>
          <w:szCs w:val="21"/>
        </w:rPr>
      </w:pPr>
      <w:bookmarkStart w:id="250" w:name="_Toc989140"/>
      <w:r>
        <w:rPr>
          <w:rFonts w:ascii="宋体" w:eastAsia="宋体" w:hAnsi="宋体" w:cs="宋体"/>
          <w:b/>
          <w:bCs/>
          <w:szCs w:val="21"/>
        </w:rPr>
        <w:t>（2） 会计利润与所得税费用调整过程</w:t>
      </w:r>
      <w:bookmarkEnd w:id="25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61,723,256.86</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15,430,814.22</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-535,518.99</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664,565.32</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560,682.35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22,930.87</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1,202,712.77</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17,346,186.54</w:t>
            </w:r>
          </w:p>
        </w:tc>
      </w:tr>
    </w:tbl>
    <w:p w:rsidR="00674F05" w:rsidRDefault="00674F05">
      <w:pPr>
        <w:divId w:val="2122213937"/>
        <w:rPr>
          <w:sz w:val="18"/>
          <w:szCs w:val="18"/>
        </w:rPr>
      </w:pPr>
    </w:p>
    <w:p w:rsidR="00B72ACA" w:rsidRDefault="00674F05">
      <w:pPr>
        <w:pStyle w:val="3"/>
        <w:spacing w:line="280" w:lineRule="exact"/>
        <w:jc w:val="left"/>
        <w:rPr>
          <w:rFonts w:ascii="宋体" w:hAnsi="宋体" w:cs="宋体"/>
          <w:b/>
          <w:bCs/>
        </w:rPr>
      </w:pPr>
      <w:bookmarkStart w:id="251" w:name="_Toc989141"/>
      <w:r>
        <w:rPr>
          <w:rFonts w:ascii="宋体" w:hAnsi="宋体" w:cs="宋体"/>
          <w:b/>
          <w:bCs/>
        </w:rPr>
        <w:lastRenderedPageBreak/>
        <w:t>46、其他综合收益</w:t>
      </w:r>
      <w:bookmarkEnd w:id="251"/>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详见附注七、29、其他综合收益。</w:t>
      </w:r>
    </w:p>
    <w:p w:rsidR="00B72ACA" w:rsidRDefault="00674F05">
      <w:pPr>
        <w:pStyle w:val="3"/>
        <w:spacing w:line="280" w:lineRule="exact"/>
        <w:jc w:val="left"/>
        <w:rPr>
          <w:rFonts w:ascii="宋体" w:hAnsi="宋体" w:cs="宋体"/>
          <w:b/>
          <w:bCs/>
        </w:rPr>
      </w:pPr>
      <w:bookmarkStart w:id="252" w:name="_Toc989142"/>
      <w:r>
        <w:rPr>
          <w:rFonts w:ascii="宋体" w:hAnsi="宋体" w:cs="宋体"/>
          <w:b/>
          <w:bCs/>
        </w:rPr>
        <w:t>47、现金流量表项目</w:t>
      </w:r>
      <w:bookmarkEnd w:id="252"/>
    </w:p>
    <w:p w:rsidR="00B72ACA" w:rsidRDefault="00674F05">
      <w:pPr>
        <w:keepNext/>
        <w:keepLines/>
        <w:spacing w:before="300" w:after="300" w:line="280" w:lineRule="exact"/>
        <w:outlineLvl w:val="3"/>
        <w:rPr>
          <w:rFonts w:ascii="宋体" w:eastAsia="宋体" w:hAnsi="宋体" w:cs="宋体"/>
          <w:b/>
          <w:bCs/>
          <w:szCs w:val="21"/>
        </w:rPr>
      </w:pPr>
      <w:bookmarkStart w:id="253" w:name="_Toc989143"/>
      <w:r>
        <w:rPr>
          <w:rFonts w:ascii="宋体" w:eastAsia="宋体" w:hAnsi="宋体" w:cs="宋体"/>
          <w:b/>
          <w:bCs/>
          <w:szCs w:val="21"/>
        </w:rPr>
        <w:t>（1） 收到的其他与经营活动有关的现金</w:t>
      </w:r>
      <w:bookmarkEnd w:id="25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3,937,658.03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2,232,665.77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收到的其他暂收暂付款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76,800,000.00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31,500,000.00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收到的政府补助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1,578,677.89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1,178,622.00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2,221,132.29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1,767,237.57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84,537,468.21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36,678,525.34</w:t>
            </w:r>
          </w:p>
        </w:tc>
      </w:tr>
    </w:tbl>
    <w:p w:rsidR="00B72ACA" w:rsidRDefault="00674F05">
      <w:pPr>
        <w:keepNext/>
        <w:keepLines/>
        <w:spacing w:before="300" w:after="300" w:line="280" w:lineRule="exact"/>
        <w:outlineLvl w:val="3"/>
        <w:rPr>
          <w:rFonts w:ascii="宋体" w:eastAsia="宋体" w:hAnsi="宋体" w:cs="宋体"/>
          <w:b/>
          <w:bCs/>
          <w:szCs w:val="21"/>
        </w:rPr>
      </w:pPr>
      <w:bookmarkStart w:id="254" w:name="_Toc989144"/>
      <w:r>
        <w:rPr>
          <w:rFonts w:ascii="宋体" w:eastAsia="宋体" w:hAnsi="宋体" w:cs="宋体"/>
          <w:b/>
          <w:bCs/>
          <w:szCs w:val="21"/>
        </w:rPr>
        <w:t>（2） 支付的其他与经营活动有关的现金</w:t>
      </w:r>
      <w:bookmarkEnd w:id="25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14,696,719.11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13,607,732.83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1,438,430.95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1,713,402.15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76,866,945.02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30,786,041.51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295,543.16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621,544.21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93,297,638.24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46,728,720.70</w:t>
            </w:r>
          </w:p>
        </w:tc>
      </w:tr>
    </w:tbl>
    <w:p w:rsidR="00B72ACA" w:rsidRDefault="00674F05">
      <w:pPr>
        <w:keepNext/>
        <w:keepLines/>
        <w:spacing w:before="300" w:after="300" w:line="280" w:lineRule="exact"/>
        <w:outlineLvl w:val="3"/>
        <w:rPr>
          <w:rFonts w:ascii="宋体" w:eastAsia="宋体" w:hAnsi="宋体" w:cs="宋体"/>
          <w:b/>
          <w:bCs/>
          <w:szCs w:val="21"/>
        </w:rPr>
      </w:pPr>
      <w:bookmarkStart w:id="255" w:name="_Toc989145"/>
      <w:r>
        <w:rPr>
          <w:rFonts w:ascii="宋体" w:eastAsia="宋体" w:hAnsi="宋体" w:cs="宋体"/>
          <w:b/>
          <w:bCs/>
          <w:szCs w:val="21"/>
        </w:rPr>
        <w:t>（3） 收到的其他与投资活动有关的现金</w:t>
      </w:r>
      <w:bookmarkEnd w:id="25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股权分红款质押</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bl>
    <w:p w:rsidR="00B72ACA" w:rsidRDefault="00674F05">
      <w:pPr>
        <w:keepNext/>
        <w:keepLines/>
        <w:spacing w:before="300" w:after="300" w:line="280" w:lineRule="exact"/>
        <w:outlineLvl w:val="3"/>
        <w:rPr>
          <w:rFonts w:ascii="宋体" w:eastAsia="宋体" w:hAnsi="宋体" w:cs="宋体"/>
          <w:b/>
          <w:bCs/>
          <w:szCs w:val="21"/>
        </w:rPr>
      </w:pPr>
      <w:bookmarkStart w:id="256" w:name="_Toc989146"/>
      <w:r>
        <w:rPr>
          <w:rFonts w:ascii="宋体" w:eastAsia="宋体" w:hAnsi="宋体" w:cs="宋体"/>
          <w:b/>
          <w:bCs/>
          <w:szCs w:val="21"/>
        </w:rPr>
        <w:t>（4） 支付的其他与筹资活动有关的现金</w:t>
      </w:r>
      <w:bookmarkEnd w:id="25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121,118,352.00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129,500,000.00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121,118,352.00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129,500,000.00</w:t>
            </w:r>
          </w:p>
        </w:tc>
      </w:tr>
    </w:tbl>
    <w:p w:rsidR="00B72ACA" w:rsidRDefault="00674F05">
      <w:pPr>
        <w:pStyle w:val="3"/>
        <w:spacing w:line="280" w:lineRule="exact"/>
        <w:jc w:val="left"/>
        <w:rPr>
          <w:rFonts w:ascii="宋体" w:hAnsi="宋体" w:cs="宋体"/>
          <w:b/>
          <w:bCs/>
        </w:rPr>
      </w:pPr>
      <w:bookmarkStart w:id="257" w:name="_Toc989147"/>
      <w:r>
        <w:rPr>
          <w:rFonts w:ascii="宋体" w:hAnsi="宋体" w:cs="宋体"/>
          <w:b/>
          <w:bCs/>
        </w:rPr>
        <w:t>48、现金流量表补充资料</w:t>
      </w:r>
      <w:bookmarkEnd w:id="257"/>
    </w:p>
    <w:p w:rsidR="00B72ACA" w:rsidRDefault="00674F05">
      <w:pPr>
        <w:keepNext/>
        <w:keepLines/>
        <w:spacing w:before="300" w:after="300" w:line="280" w:lineRule="exact"/>
        <w:outlineLvl w:val="3"/>
        <w:rPr>
          <w:rFonts w:ascii="宋体" w:eastAsia="宋体" w:hAnsi="宋体" w:cs="宋体"/>
          <w:b/>
          <w:bCs/>
          <w:szCs w:val="21"/>
        </w:rPr>
      </w:pPr>
      <w:bookmarkStart w:id="258" w:name="_Toc989148"/>
      <w:r>
        <w:rPr>
          <w:rFonts w:ascii="宋体" w:eastAsia="宋体" w:hAnsi="宋体" w:cs="宋体"/>
          <w:b/>
          <w:bCs/>
          <w:szCs w:val="21"/>
        </w:rPr>
        <w:t>（1） 现金流量表补充资料</w:t>
      </w:r>
      <w:bookmarkEnd w:id="25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110,997,780.92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57,593.64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24,786,320.23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21,869,326.90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389,796.83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4,582.53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-6,748,211.48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7,728,357.75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10,520,337.32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12,080,962.16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-10,648,315.76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-80,904,546.22</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-498,939.25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-363,907.53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-7,686,341.28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-10,187,435.41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-1,709,899.12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97,254,355.89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-33,524,789.29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-20,730,170.08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-37,277,235.53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-234,177,535.31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5612C7">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883,681.54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3,529,971.10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-92,450,866.83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456,570,478.55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648,130,822.13</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34,015,928.07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122,351,651.66</w:t>
            </w:r>
          </w:p>
        </w:tc>
      </w:tr>
    </w:tbl>
    <w:p w:rsidR="00B72ACA" w:rsidRDefault="00674F05">
      <w:pPr>
        <w:keepNext/>
        <w:keepLines/>
        <w:spacing w:before="300" w:after="300" w:line="280" w:lineRule="exact"/>
        <w:outlineLvl w:val="3"/>
        <w:rPr>
          <w:rFonts w:ascii="宋体" w:eastAsia="宋体" w:hAnsi="宋体" w:cs="宋体"/>
          <w:b/>
          <w:bCs/>
          <w:szCs w:val="21"/>
        </w:rPr>
      </w:pPr>
      <w:bookmarkStart w:id="259" w:name="_Toc989149"/>
      <w:r>
        <w:rPr>
          <w:rFonts w:ascii="宋体" w:eastAsia="宋体" w:hAnsi="宋体" w:cs="宋体"/>
          <w:b/>
          <w:bCs/>
          <w:szCs w:val="21"/>
        </w:rPr>
        <w:t>（2） 现金和现金等价物的构成</w:t>
      </w:r>
      <w:bookmarkEnd w:id="25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456,570,478.55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385,260,805.69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373,599,389.79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71,309,672.86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48,955,160.69</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456,570,478.55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bl>
    <w:p w:rsidR="00B72ACA" w:rsidRDefault="00674F05">
      <w:pPr>
        <w:pStyle w:val="3"/>
        <w:spacing w:line="280" w:lineRule="exact"/>
        <w:jc w:val="left"/>
        <w:rPr>
          <w:rFonts w:ascii="宋体" w:hAnsi="宋体" w:cs="宋体"/>
          <w:b/>
          <w:bCs/>
        </w:rPr>
      </w:pPr>
      <w:bookmarkStart w:id="260" w:name="_Toc989150"/>
      <w:r>
        <w:rPr>
          <w:rFonts w:ascii="宋体" w:hAnsi="宋体" w:cs="宋体"/>
          <w:b/>
          <w:bCs/>
        </w:rPr>
        <w:t>49、所有权或使用权受到限制的资产</w:t>
      </w:r>
      <w:bookmarkEnd w:id="26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19,472,195.09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国际信用证保证金</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20,588,935.10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339,818,352.00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借款保证金</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28,630,000.00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未终止确认已背书或贴现但尚未到期的应收票据</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129,921,160.36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江阴华西化工码头有限公司75%股权</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483,579,663.79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rsidP="00960694">
            <w:pPr>
              <w:spacing w:line="240" w:lineRule="exact"/>
              <w:jc w:val="both"/>
              <w:rPr>
                <w:rFonts w:ascii="宋体" w:eastAsia="宋体" w:hAnsi="宋体" w:cs="宋体"/>
                <w:sz w:val="18"/>
                <w:szCs w:val="18"/>
              </w:rPr>
            </w:pPr>
            <w:r>
              <w:rPr>
                <w:rFonts w:ascii="宋体" w:eastAsia="宋体" w:hAnsi="宋体" w:cs="宋体"/>
                <w:sz w:val="18"/>
                <w:szCs w:val="18"/>
              </w:rPr>
              <w:t>工商银行借款4,200万元由江苏华西集团有限公司提供担保及公司持有的江阴华西化工码头</w:t>
            </w:r>
            <w:r w:rsidR="00960694">
              <w:rPr>
                <w:rFonts w:ascii="宋体" w:eastAsia="宋体" w:hAnsi="宋体" w:cs="宋体"/>
                <w:sz w:val="18"/>
                <w:szCs w:val="18"/>
              </w:rPr>
              <w:t>有限公司</w:t>
            </w:r>
            <w:r>
              <w:rPr>
                <w:rFonts w:ascii="宋体" w:eastAsia="宋体" w:hAnsi="宋体" w:cs="宋体"/>
                <w:sz w:val="18"/>
                <w:szCs w:val="18"/>
              </w:rPr>
              <w:t>75%股权质押</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1,022,010,306.34</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pStyle w:val="3"/>
        <w:spacing w:line="280" w:lineRule="exact"/>
        <w:jc w:val="left"/>
        <w:rPr>
          <w:rFonts w:ascii="宋体" w:hAnsi="宋体" w:cs="宋体"/>
          <w:b/>
          <w:bCs/>
        </w:rPr>
      </w:pPr>
      <w:bookmarkStart w:id="261" w:name="_Toc989151"/>
      <w:r>
        <w:rPr>
          <w:rFonts w:ascii="宋体" w:hAnsi="宋体" w:cs="宋体"/>
          <w:b/>
          <w:bCs/>
        </w:rPr>
        <w:t>50、外币货币性项目</w:t>
      </w:r>
      <w:bookmarkEnd w:id="261"/>
    </w:p>
    <w:p w:rsidR="00B72ACA" w:rsidRDefault="00674F05">
      <w:pPr>
        <w:keepNext/>
        <w:keepLines/>
        <w:spacing w:before="300" w:after="300" w:line="280" w:lineRule="exact"/>
        <w:outlineLvl w:val="3"/>
        <w:rPr>
          <w:rFonts w:ascii="宋体" w:eastAsia="宋体" w:hAnsi="宋体" w:cs="宋体"/>
          <w:b/>
          <w:bCs/>
          <w:szCs w:val="21"/>
        </w:rPr>
      </w:pPr>
      <w:bookmarkStart w:id="262" w:name="_Toc989152"/>
      <w:r>
        <w:rPr>
          <w:rFonts w:ascii="宋体" w:eastAsia="宋体" w:hAnsi="宋体" w:cs="宋体"/>
          <w:b/>
          <w:bCs/>
          <w:szCs w:val="21"/>
        </w:rPr>
        <w:t>（1） 外币货币性项目</w:t>
      </w:r>
      <w:bookmarkEnd w:id="262"/>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83,124,069.49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11,503,785.38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83,124,052.40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7.8771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108,833,206.55</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13,617,791.93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98,399,440.93</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1,324,569.40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7.8771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10,433,765.62</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25,807,660.92</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3,571,599.12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25,807,660.92</w:t>
            </w:r>
          </w:p>
        </w:tc>
      </w:tr>
    </w:tbl>
    <w:p w:rsidR="00674F05" w:rsidRDefault="00674F05">
      <w:pPr>
        <w:divId w:val="670840756"/>
        <w:rPr>
          <w:sz w:val="18"/>
          <w:szCs w:val="18"/>
        </w:rPr>
      </w:pPr>
    </w:p>
    <w:p w:rsidR="00B72ACA" w:rsidRDefault="00674F05">
      <w:pPr>
        <w:keepNext/>
        <w:keepLines/>
        <w:spacing w:before="300" w:after="300" w:line="280" w:lineRule="exact"/>
        <w:outlineLvl w:val="3"/>
        <w:rPr>
          <w:rFonts w:ascii="宋体" w:eastAsia="宋体" w:hAnsi="宋体" w:cs="宋体"/>
          <w:b/>
          <w:bCs/>
          <w:szCs w:val="21"/>
        </w:rPr>
      </w:pPr>
      <w:bookmarkStart w:id="263" w:name="_Toc989153"/>
      <w:r>
        <w:rPr>
          <w:rFonts w:ascii="宋体" w:eastAsia="宋体" w:hAnsi="宋体" w:cs="宋体"/>
          <w:b/>
          <w:bCs/>
          <w:szCs w:val="21"/>
        </w:rPr>
        <w:lastRenderedPageBreak/>
        <w:t>（2） 境外经营实体说明，包括对于重要的境外经营实体，应披露其境外主要经营地、记账本位币及选择依据，记账本位币发生变化的还应披露原因。</w:t>
      </w:r>
      <w:bookmarkEnd w:id="263"/>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264" w:name="_Toc989154"/>
      <w:r>
        <w:rPr>
          <w:rFonts w:ascii="宋体" w:hAnsi="宋体" w:cs="宋体"/>
          <w:b/>
          <w:bCs/>
        </w:rPr>
        <w:t>51、政府补助</w:t>
      </w:r>
      <w:bookmarkEnd w:id="264"/>
    </w:p>
    <w:p w:rsidR="00B72ACA" w:rsidRDefault="00674F05">
      <w:pPr>
        <w:keepNext/>
        <w:keepLines/>
        <w:spacing w:before="300" w:after="300" w:line="280" w:lineRule="exact"/>
        <w:outlineLvl w:val="3"/>
        <w:rPr>
          <w:rFonts w:ascii="宋体" w:eastAsia="宋体" w:hAnsi="宋体" w:cs="宋体"/>
          <w:b/>
          <w:bCs/>
          <w:szCs w:val="21"/>
        </w:rPr>
      </w:pPr>
      <w:bookmarkStart w:id="265" w:name="_Toc989155"/>
      <w:r>
        <w:rPr>
          <w:rFonts w:ascii="宋体" w:eastAsia="宋体" w:hAnsi="宋体" w:cs="宋体"/>
          <w:b/>
          <w:bCs/>
          <w:szCs w:val="21"/>
        </w:rPr>
        <w:t>（1） 政府补助基本情况</w:t>
      </w:r>
      <w:bookmarkEnd w:id="26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列</w:t>
            </w:r>
            <w:proofErr w:type="gramStart"/>
            <w:r>
              <w:rPr>
                <w:rFonts w:ascii="宋体" w:eastAsia="宋体" w:hAnsi="宋体" w:cs="宋体"/>
                <w:sz w:val="18"/>
                <w:szCs w:val="18"/>
              </w:rPr>
              <w:t>报项目</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计入当期损益的金额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节能专项资金</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400,000.00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江阴临港开发区产业强区奖励</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proofErr w:type="gramStart"/>
            <w:r>
              <w:rPr>
                <w:rFonts w:ascii="宋体" w:eastAsia="宋体" w:hAnsi="宋体" w:cs="宋体"/>
                <w:sz w:val="18"/>
                <w:szCs w:val="18"/>
              </w:rPr>
              <w:t>稳岗补贴</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商务发展专项资金</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税收返还</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28,000.00</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1,534,000.00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1,534,000.00</w:t>
            </w:r>
          </w:p>
        </w:tc>
      </w:tr>
    </w:tbl>
    <w:p w:rsidR="00B72ACA" w:rsidRDefault="00674F05">
      <w:pPr>
        <w:keepNext/>
        <w:keepLines/>
        <w:spacing w:before="300" w:after="300" w:line="280" w:lineRule="exact"/>
        <w:outlineLvl w:val="3"/>
        <w:rPr>
          <w:rFonts w:ascii="宋体" w:eastAsia="宋体" w:hAnsi="宋体" w:cs="宋体"/>
          <w:b/>
          <w:bCs/>
          <w:szCs w:val="21"/>
        </w:rPr>
      </w:pPr>
      <w:bookmarkStart w:id="266" w:name="_Toc989156"/>
      <w:r>
        <w:rPr>
          <w:rFonts w:ascii="宋体" w:eastAsia="宋体" w:hAnsi="宋体" w:cs="宋体"/>
          <w:b/>
          <w:bCs/>
          <w:szCs w:val="21"/>
        </w:rPr>
        <w:t>（2） 政府补助退回情况</w:t>
      </w:r>
      <w:bookmarkEnd w:id="266"/>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267" w:name="_Toc989157"/>
      <w:r>
        <w:rPr>
          <w:rFonts w:ascii="宋体" w:eastAsia="宋体" w:hAnsi="宋体" w:cs="宋体"/>
          <w:b/>
          <w:bCs/>
          <w:sz w:val="24"/>
          <w:szCs w:val="24"/>
        </w:rPr>
        <w:t>八、合并范围的变更</w:t>
      </w:r>
      <w:bookmarkEnd w:id="267"/>
    </w:p>
    <w:p w:rsidR="00B72ACA" w:rsidRDefault="00674F05">
      <w:pPr>
        <w:pStyle w:val="3"/>
        <w:spacing w:line="280" w:lineRule="exact"/>
        <w:jc w:val="left"/>
        <w:rPr>
          <w:rFonts w:ascii="宋体" w:hAnsi="宋体" w:cs="宋体"/>
          <w:b/>
          <w:bCs/>
        </w:rPr>
      </w:pPr>
      <w:bookmarkStart w:id="268" w:name="_Toc989158"/>
      <w:r>
        <w:rPr>
          <w:rFonts w:ascii="宋体" w:hAnsi="宋体" w:cs="宋体"/>
          <w:b/>
          <w:bCs/>
        </w:rPr>
        <w:t>1、非同一控制下企业合并</w:t>
      </w:r>
      <w:bookmarkEnd w:id="268"/>
    </w:p>
    <w:p w:rsidR="00B72ACA" w:rsidRDefault="00674F05">
      <w:pPr>
        <w:keepNext/>
        <w:keepLines/>
        <w:spacing w:before="300" w:after="300" w:line="280" w:lineRule="exact"/>
        <w:outlineLvl w:val="3"/>
        <w:rPr>
          <w:rFonts w:ascii="宋体" w:eastAsia="宋体" w:hAnsi="宋体" w:cs="宋体"/>
          <w:b/>
          <w:bCs/>
          <w:sz w:val="18"/>
          <w:szCs w:val="18"/>
        </w:rPr>
      </w:pPr>
      <w:bookmarkStart w:id="269" w:name="_Toc989159"/>
      <w:r>
        <w:rPr>
          <w:rFonts w:ascii="宋体" w:eastAsia="宋体" w:hAnsi="宋体" w:cs="宋体"/>
          <w:b/>
          <w:bCs/>
          <w:sz w:val="18"/>
          <w:szCs w:val="18"/>
        </w:rPr>
        <w:t>（1） 本期发生的非同一控制下企业合并</w:t>
      </w:r>
      <w:bookmarkEnd w:id="269"/>
    </w:p>
    <w:p w:rsidR="00674F05" w:rsidRDefault="00674F05">
      <w:pPr>
        <w:pStyle w:val="a3"/>
        <w:divId w:val="1165559596"/>
        <w:rPr>
          <w:sz w:val="18"/>
          <w:szCs w:val="18"/>
        </w:rPr>
      </w:pPr>
      <w:r>
        <w:rPr>
          <w:rFonts w:hint="eastAsia"/>
          <w:sz w:val="18"/>
          <w:szCs w:val="18"/>
        </w:rPr>
        <w:t>无。</w:t>
      </w:r>
    </w:p>
    <w:p w:rsidR="00B72ACA" w:rsidRDefault="00674F05">
      <w:pPr>
        <w:pStyle w:val="3"/>
        <w:spacing w:line="280" w:lineRule="exact"/>
        <w:jc w:val="left"/>
        <w:rPr>
          <w:rFonts w:ascii="宋体" w:hAnsi="宋体" w:cs="宋体"/>
          <w:b/>
          <w:bCs/>
        </w:rPr>
      </w:pPr>
      <w:bookmarkStart w:id="270" w:name="_Toc989160"/>
      <w:r>
        <w:rPr>
          <w:rFonts w:ascii="宋体" w:hAnsi="宋体" w:cs="宋体"/>
          <w:b/>
          <w:bCs/>
        </w:rPr>
        <w:t>2、同一控制下企业合并</w:t>
      </w:r>
      <w:bookmarkEnd w:id="270"/>
    </w:p>
    <w:p w:rsidR="00B72ACA" w:rsidRDefault="00674F05">
      <w:pPr>
        <w:keepNext/>
        <w:keepLines/>
        <w:spacing w:before="300" w:after="300" w:line="280" w:lineRule="exact"/>
        <w:outlineLvl w:val="3"/>
        <w:rPr>
          <w:rFonts w:ascii="宋体" w:eastAsia="宋体" w:hAnsi="宋体" w:cs="宋体"/>
          <w:b/>
          <w:bCs/>
          <w:sz w:val="18"/>
          <w:szCs w:val="18"/>
        </w:rPr>
      </w:pPr>
      <w:bookmarkStart w:id="271" w:name="_Toc989161"/>
      <w:r>
        <w:rPr>
          <w:rFonts w:ascii="宋体" w:eastAsia="宋体" w:hAnsi="宋体" w:cs="宋体"/>
          <w:b/>
          <w:bCs/>
          <w:sz w:val="18"/>
          <w:szCs w:val="18"/>
        </w:rPr>
        <w:t>（1） 本期发生的同一控制下企业合并</w:t>
      </w:r>
      <w:bookmarkEnd w:id="271"/>
    </w:p>
    <w:p w:rsidR="00674F05" w:rsidRDefault="00674F05">
      <w:pPr>
        <w:pStyle w:val="a3"/>
        <w:divId w:val="884217803"/>
        <w:rPr>
          <w:sz w:val="18"/>
          <w:szCs w:val="18"/>
        </w:rPr>
      </w:pPr>
      <w:r>
        <w:rPr>
          <w:rFonts w:hint="eastAsia"/>
          <w:sz w:val="18"/>
          <w:szCs w:val="18"/>
        </w:rPr>
        <w:t>无。</w:t>
      </w:r>
    </w:p>
    <w:p w:rsidR="00B72ACA" w:rsidRDefault="00674F05">
      <w:pPr>
        <w:pStyle w:val="3"/>
        <w:spacing w:line="280" w:lineRule="exact"/>
        <w:jc w:val="left"/>
        <w:rPr>
          <w:rFonts w:ascii="宋体" w:hAnsi="宋体" w:cs="宋体"/>
          <w:b/>
          <w:bCs/>
        </w:rPr>
      </w:pPr>
      <w:bookmarkStart w:id="272" w:name="_Toc989162"/>
      <w:r>
        <w:rPr>
          <w:rFonts w:ascii="宋体" w:hAnsi="宋体" w:cs="宋体"/>
          <w:b/>
          <w:bCs/>
        </w:rPr>
        <w:t>3、处置子公司</w:t>
      </w:r>
      <w:bookmarkEnd w:id="272"/>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是否存在单次处置对子公司投资即丧失控制权的情形</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72ACA" w:rsidRDefault="00674F05">
      <w:pPr>
        <w:pStyle w:val="3"/>
        <w:spacing w:line="280" w:lineRule="exact"/>
        <w:jc w:val="left"/>
        <w:rPr>
          <w:rFonts w:ascii="宋体" w:hAnsi="宋体" w:cs="宋体"/>
          <w:b/>
          <w:bCs/>
        </w:rPr>
      </w:pPr>
      <w:bookmarkStart w:id="273" w:name="_Toc989163"/>
      <w:r>
        <w:rPr>
          <w:rFonts w:ascii="宋体" w:hAnsi="宋体" w:cs="宋体"/>
          <w:b/>
          <w:bCs/>
        </w:rPr>
        <w:t>4、其他原因的合并范围变动</w:t>
      </w:r>
      <w:bookmarkEnd w:id="273"/>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说明其他原因导致的合并范围变动（如，新设子公司、清算子公司等）及其相关情况：</w:t>
      </w:r>
    </w:p>
    <w:p w:rsidR="00674F05" w:rsidRDefault="00674F05">
      <w:pPr>
        <w:pStyle w:val="a3"/>
        <w:divId w:val="1145315450"/>
        <w:rPr>
          <w:sz w:val="18"/>
          <w:szCs w:val="18"/>
        </w:rPr>
      </w:pPr>
      <w:r>
        <w:rPr>
          <w:rFonts w:hint="eastAsia"/>
          <w:sz w:val="18"/>
          <w:szCs w:val="18"/>
        </w:rPr>
        <w:t>无。</w:t>
      </w:r>
    </w:p>
    <w:p w:rsidR="00B72ACA" w:rsidRDefault="00674F05">
      <w:pPr>
        <w:pStyle w:val="2"/>
        <w:spacing w:before="300" w:after="300" w:line="320" w:lineRule="exact"/>
        <w:rPr>
          <w:rFonts w:ascii="宋体" w:eastAsia="宋体" w:hAnsi="宋体" w:cs="宋体"/>
          <w:b/>
          <w:bCs/>
          <w:sz w:val="24"/>
          <w:szCs w:val="24"/>
        </w:rPr>
      </w:pPr>
      <w:bookmarkStart w:id="274" w:name="_Toc989164"/>
      <w:r>
        <w:rPr>
          <w:rFonts w:ascii="宋体" w:eastAsia="宋体" w:hAnsi="宋体" w:cs="宋体"/>
          <w:b/>
          <w:bCs/>
          <w:sz w:val="24"/>
          <w:szCs w:val="24"/>
        </w:rPr>
        <w:lastRenderedPageBreak/>
        <w:t>九、在其他主体中的权益</w:t>
      </w:r>
      <w:bookmarkEnd w:id="274"/>
    </w:p>
    <w:p w:rsidR="00B72ACA" w:rsidRDefault="00674F05">
      <w:pPr>
        <w:pStyle w:val="3"/>
        <w:spacing w:line="280" w:lineRule="exact"/>
        <w:jc w:val="left"/>
        <w:rPr>
          <w:rFonts w:ascii="宋体" w:hAnsi="宋体" w:cs="宋体"/>
          <w:b/>
          <w:bCs/>
        </w:rPr>
      </w:pPr>
      <w:bookmarkStart w:id="275" w:name="_Toc989165"/>
      <w:r>
        <w:rPr>
          <w:rFonts w:ascii="宋体" w:hAnsi="宋体" w:cs="宋体"/>
          <w:b/>
          <w:bCs/>
        </w:rPr>
        <w:t>1、在子公司中的权益</w:t>
      </w:r>
      <w:bookmarkEnd w:id="275"/>
    </w:p>
    <w:p w:rsidR="00B72ACA" w:rsidRDefault="00674F05">
      <w:pPr>
        <w:keepNext/>
        <w:keepLines/>
        <w:spacing w:before="300" w:after="300" w:line="280" w:lineRule="exact"/>
        <w:outlineLvl w:val="3"/>
        <w:rPr>
          <w:rFonts w:ascii="宋体" w:eastAsia="宋体" w:hAnsi="宋体" w:cs="宋体"/>
          <w:b/>
          <w:bCs/>
          <w:sz w:val="18"/>
          <w:szCs w:val="18"/>
        </w:rPr>
      </w:pPr>
      <w:bookmarkStart w:id="276" w:name="_Toc989166"/>
      <w:r>
        <w:rPr>
          <w:rFonts w:ascii="宋体" w:eastAsia="宋体" w:hAnsi="宋体" w:cs="宋体"/>
          <w:b/>
          <w:bCs/>
          <w:sz w:val="18"/>
          <w:szCs w:val="18"/>
        </w:rPr>
        <w:t>（1） 企业集团的构成</w:t>
      </w:r>
      <w:bookmarkEnd w:id="276"/>
    </w:p>
    <w:p w:rsidR="005612C7" w:rsidRDefault="005612C7">
      <w:pPr>
        <w:keepNext/>
        <w:keepLines/>
        <w:spacing w:before="300" w:after="300" w:line="280" w:lineRule="exact"/>
        <w:outlineLvl w:val="3"/>
        <w:rPr>
          <w:rFonts w:ascii="宋体" w:eastAsia="宋体" w:hAnsi="宋体" w:cs="宋体"/>
          <w:b/>
          <w:bCs/>
          <w:sz w:val="18"/>
          <w:szCs w:val="18"/>
        </w:rPr>
      </w:pPr>
      <w:r>
        <w:rPr>
          <w:rFonts w:ascii="宋体" w:eastAsia="宋体" w:hAnsi="宋体" w:cs="宋体" w:hint="eastAsia"/>
          <w:b/>
          <w:bCs/>
          <w:sz w:val="18"/>
          <w:szCs w:val="18"/>
        </w:rPr>
        <w:t>①纳入合并范围的子公司</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设立</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新材料的技术开发</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设立</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产业用纺织制成品的生产与销售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设立</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合成纤维销售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设立</w:t>
            </w:r>
          </w:p>
        </w:tc>
      </w:tr>
    </w:tbl>
    <w:p w:rsidR="00674F05" w:rsidRPr="005612C7" w:rsidRDefault="00674F05" w:rsidP="005612C7">
      <w:pPr>
        <w:keepNext/>
        <w:keepLines/>
        <w:spacing w:before="300" w:after="300" w:line="280" w:lineRule="exact"/>
        <w:outlineLvl w:val="3"/>
        <w:divId w:val="1121152498"/>
        <w:rPr>
          <w:rFonts w:ascii="宋体" w:eastAsia="宋体" w:hAnsi="宋体" w:cs="宋体"/>
          <w:b/>
          <w:bCs/>
          <w:sz w:val="18"/>
          <w:szCs w:val="18"/>
        </w:rPr>
      </w:pPr>
      <w:r w:rsidRPr="005612C7">
        <w:rPr>
          <w:rFonts w:ascii="宋体" w:eastAsia="宋体" w:hAnsi="宋体" w:cs="宋体" w:hint="eastAsia"/>
          <w:b/>
          <w:bCs/>
          <w:sz w:val="18"/>
          <w:szCs w:val="18"/>
        </w:rPr>
        <w:t>②纳入合并范围的结构化主体</w:t>
      </w:r>
    </w:p>
    <w:p w:rsidR="00674F05" w:rsidRDefault="00674F05">
      <w:pPr>
        <w:pStyle w:val="a3"/>
        <w:spacing w:before="0" w:beforeAutospacing="0" w:after="0" w:afterAutospacing="0" w:line="400" w:lineRule="atLeast"/>
        <w:ind w:firstLine="360"/>
        <w:jc w:val="both"/>
        <w:divId w:val="1121152498"/>
        <w:rPr>
          <w:rFonts w:ascii="Times New Roman" w:hAnsi="Times New Roman" w:cs="Times New Roman"/>
          <w:sz w:val="21"/>
          <w:szCs w:val="21"/>
        </w:rPr>
      </w:pPr>
      <w:r>
        <w:rPr>
          <w:rFonts w:cs="Times New Roman" w:hint="eastAsia"/>
          <w:sz w:val="18"/>
          <w:szCs w:val="18"/>
        </w:rPr>
        <w:t>截至2023年6月30日，纳入公司合并财务报表范围的结构化主体的净资产为人民币98,668.13万元。公司确定是否合并特定结构化主体是基于：对结构化主体所拥有的权力；通过参与结构化主体的相关活动而享有的可变回报；以及有能力运用对结构化主体的权力影响公司回报金额的评估结果。基于上述标准，2023年6月末纳入公司合并报表范围的结构化主体信息如下：</w:t>
      </w:r>
    </w:p>
    <w:tbl>
      <w:tblPr>
        <w:tblW w:w="0" w:type="auto"/>
        <w:tblCellMar>
          <w:left w:w="0" w:type="dxa"/>
          <w:right w:w="0" w:type="dxa"/>
        </w:tblCellMar>
        <w:tblLook w:val="04A0" w:firstRow="1" w:lastRow="0" w:firstColumn="1" w:lastColumn="0" w:noHBand="0" w:noVBand="1"/>
      </w:tblPr>
      <w:tblGrid>
        <w:gridCol w:w="2660"/>
        <w:gridCol w:w="1134"/>
        <w:gridCol w:w="992"/>
        <w:gridCol w:w="1411"/>
        <w:gridCol w:w="999"/>
        <w:gridCol w:w="992"/>
        <w:gridCol w:w="1276"/>
      </w:tblGrid>
      <w:tr w:rsidR="00674F05" w:rsidTr="005612C7">
        <w:trPr>
          <w:divId w:val="1121152498"/>
          <w:tblHeader/>
        </w:trPr>
        <w:tc>
          <w:tcPr>
            <w:tcW w:w="26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结构化主体名称</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主要经营地</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注册地</w:t>
            </w:r>
          </w:p>
        </w:tc>
        <w:tc>
          <w:tcPr>
            <w:tcW w:w="14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业务性质</w:t>
            </w:r>
          </w:p>
        </w:tc>
        <w:tc>
          <w:tcPr>
            <w:tcW w:w="19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出资比例（%）</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取得方式</w:t>
            </w:r>
          </w:p>
        </w:tc>
      </w:tr>
      <w:tr w:rsidR="00674F05" w:rsidTr="005612C7">
        <w:trPr>
          <w:divId w:val="1121152498"/>
          <w:tblHeader/>
        </w:trPr>
        <w:tc>
          <w:tcPr>
            <w:tcW w:w="2660" w:type="dxa"/>
            <w:vMerge/>
            <w:tcBorders>
              <w:top w:val="single" w:sz="8" w:space="0" w:color="auto"/>
              <w:left w:val="single" w:sz="8" w:space="0" w:color="auto"/>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c>
          <w:tcPr>
            <w:tcW w:w="1134" w:type="dxa"/>
            <w:vMerge/>
            <w:tcBorders>
              <w:top w:val="single" w:sz="8" w:space="0" w:color="auto"/>
              <w:left w:val="nil"/>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c>
          <w:tcPr>
            <w:tcW w:w="992" w:type="dxa"/>
            <w:vMerge/>
            <w:tcBorders>
              <w:top w:val="single" w:sz="8" w:space="0" w:color="auto"/>
              <w:left w:val="nil"/>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c>
          <w:tcPr>
            <w:tcW w:w="1411" w:type="dxa"/>
            <w:vMerge/>
            <w:tcBorders>
              <w:top w:val="single" w:sz="8" w:space="0" w:color="auto"/>
              <w:left w:val="nil"/>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直接</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间接</w:t>
            </w:r>
          </w:p>
        </w:tc>
        <w:tc>
          <w:tcPr>
            <w:tcW w:w="1276" w:type="dxa"/>
            <w:vMerge/>
            <w:tcBorders>
              <w:top w:val="single" w:sz="8" w:space="0" w:color="auto"/>
              <w:left w:val="nil"/>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r>
      <w:tr w:rsidR="00674F05" w:rsidTr="005612C7">
        <w:trPr>
          <w:divId w:val="1121152498"/>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上海启</w:t>
            </w:r>
            <w:proofErr w:type="gramStart"/>
            <w:r>
              <w:rPr>
                <w:rFonts w:cs="Times New Roman" w:hint="eastAsia"/>
                <w:sz w:val="18"/>
                <w:szCs w:val="18"/>
              </w:rPr>
              <w:t>澜</w:t>
            </w:r>
            <w:proofErr w:type="gramEnd"/>
            <w:r>
              <w:rPr>
                <w:rFonts w:cs="Times New Roman" w:hint="eastAsia"/>
                <w:sz w:val="18"/>
                <w:szCs w:val="18"/>
              </w:rPr>
              <w:t>企业管理咨询合伙企业（有限合伙）</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企业管理咨询</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100.00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设立</w:t>
            </w:r>
          </w:p>
        </w:tc>
      </w:tr>
    </w:tbl>
    <w:p w:rsidR="00674F05" w:rsidRDefault="00674F05">
      <w:pPr>
        <w:divId w:val="99880702"/>
        <w:rPr>
          <w:sz w:val="18"/>
          <w:szCs w:val="18"/>
        </w:rPr>
      </w:pPr>
    </w:p>
    <w:p w:rsidR="00B72ACA" w:rsidRDefault="00674F05">
      <w:pPr>
        <w:pStyle w:val="3"/>
        <w:spacing w:line="280" w:lineRule="exact"/>
        <w:jc w:val="left"/>
        <w:rPr>
          <w:rFonts w:ascii="宋体" w:hAnsi="宋体" w:cs="宋体"/>
          <w:b/>
          <w:bCs/>
        </w:rPr>
      </w:pPr>
      <w:bookmarkStart w:id="277" w:name="_Toc989167"/>
      <w:r>
        <w:rPr>
          <w:rFonts w:ascii="宋体" w:hAnsi="宋体" w:cs="宋体"/>
          <w:b/>
          <w:bCs/>
        </w:rPr>
        <w:t>2、在合营安排或联营企业中的权益</w:t>
      </w:r>
      <w:bookmarkEnd w:id="277"/>
    </w:p>
    <w:p w:rsidR="00B72ACA" w:rsidRDefault="00674F05">
      <w:pPr>
        <w:keepNext/>
        <w:keepLines/>
        <w:spacing w:before="300" w:after="300" w:line="280" w:lineRule="exact"/>
        <w:outlineLvl w:val="3"/>
        <w:rPr>
          <w:rFonts w:ascii="宋体" w:eastAsia="宋体" w:hAnsi="宋体" w:cs="宋体"/>
          <w:b/>
          <w:bCs/>
          <w:szCs w:val="21"/>
        </w:rPr>
      </w:pPr>
      <w:bookmarkStart w:id="278" w:name="_Toc989168"/>
      <w:r>
        <w:rPr>
          <w:rFonts w:ascii="宋体" w:eastAsia="宋体" w:hAnsi="宋体" w:cs="宋体"/>
          <w:b/>
          <w:bCs/>
          <w:szCs w:val="21"/>
        </w:rPr>
        <w:t>（1） 重要的合营企业或联营企业</w:t>
      </w:r>
      <w:bookmarkEnd w:id="27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矿石开采销售</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权益法</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联储证券有限</w:t>
            </w:r>
            <w:r>
              <w:rPr>
                <w:rFonts w:ascii="宋体" w:eastAsia="宋体" w:hAnsi="宋体" w:cs="宋体"/>
                <w:sz w:val="18"/>
                <w:szCs w:val="18"/>
              </w:rPr>
              <w:lastRenderedPageBreak/>
              <w:t>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青岛市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证券经纪</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11.73%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权益法</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江阴华西船务有限公司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港口拖轮服务等</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14.40%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权益法</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投资与管理</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40.92%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权益法</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SOURCE PHOTONICS HOLDING</w:t>
            </w:r>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中国、美国</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权益法</w:t>
            </w:r>
          </w:p>
        </w:tc>
      </w:tr>
    </w:tbl>
    <w:p w:rsidR="00674F05" w:rsidRDefault="00674F05">
      <w:pPr>
        <w:pStyle w:val="a3"/>
        <w:spacing w:before="0" w:beforeAutospacing="0" w:after="0" w:afterAutospacing="0" w:line="400" w:lineRule="atLeast"/>
        <w:ind w:firstLine="360"/>
        <w:jc w:val="both"/>
        <w:divId w:val="567693267"/>
        <w:rPr>
          <w:rFonts w:ascii="Times New Roman" w:hAnsi="Times New Roman" w:cs="Times New Roman"/>
          <w:sz w:val="21"/>
          <w:szCs w:val="21"/>
        </w:rPr>
      </w:pPr>
      <w:r>
        <w:rPr>
          <w:rFonts w:cs="Times New Roman" w:hint="eastAsia"/>
          <w:sz w:val="18"/>
          <w:szCs w:val="18"/>
        </w:rPr>
        <w:t>注：公司在上述公司董事会均派有代表，对其有重要影响，公司对上述公司长期股权投资采用权益法核算。</w:t>
      </w:r>
    </w:p>
    <w:p w:rsidR="00B72ACA" w:rsidRDefault="00674F05">
      <w:pPr>
        <w:keepNext/>
        <w:keepLines/>
        <w:spacing w:before="300" w:after="300" w:line="280" w:lineRule="exact"/>
        <w:outlineLvl w:val="3"/>
        <w:rPr>
          <w:rFonts w:ascii="宋体" w:eastAsia="宋体" w:hAnsi="宋体" w:cs="宋体"/>
          <w:b/>
          <w:bCs/>
          <w:szCs w:val="21"/>
        </w:rPr>
      </w:pPr>
      <w:bookmarkStart w:id="279" w:name="_Toc989169"/>
      <w:r>
        <w:rPr>
          <w:rFonts w:ascii="宋体" w:eastAsia="宋体" w:hAnsi="宋体" w:cs="宋体"/>
          <w:b/>
          <w:bCs/>
          <w:szCs w:val="21"/>
        </w:rPr>
        <w:t>（2） 重要联营企业的主要财务信息</w:t>
      </w:r>
      <w:bookmarkEnd w:id="27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联储证券有限责任公司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SOURCE PHOTONICS HOLDING (CAYMAN)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联储证券有限责任公司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SOURCE PHOTONICS HOLDING (CAYMAN) LIMITED</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15,559,261,456.03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280,170,231.95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1,057,468,604.34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16,551,254,635.08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517,116,383.72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1,194,670,612.78</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5,567,593,871.23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4,919,223,559.28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1,247,498,015.41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7,709,239,755.87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4,759,168,966.83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1,274,589,044.81</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21,126,855,327.26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5,199,393,791.23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2,304,966,619.75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24,260,494,390.95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5,276,285,350.55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2,469,259,657.60</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10,305,460,632.67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188,324,567.22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848,502,452.86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12,687,556,744.53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236,185,758.42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915,169,379.70</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3,023,506,478.65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310,046,961.54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393,660,586.19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3,765,655,641.52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283,081,160.09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439,401,792.53</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13,328,967,111.32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498,371,528.76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1,242,163,039.05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16,453,212,386.05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519,266,918.51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1,354,571,172.23</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1,088,146,063.43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9,626,791.43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1,117,170,369.54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9,738,625.51</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7,797,888,215.94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3,612,876,199.04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1,053,176,789.27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7,807,282,004.90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3,639,848,062.50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1,104,949,859.86</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914,620,771.61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1,478,540,715.34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296,812,736.52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915,722,576.90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1,489,578,700.79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311,276,429.88</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687,443,924.80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687,443,924.80</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1,266,026,991.91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1,341,349,680.62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984,256,661.32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1,267,128,797.20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998,720,354.68</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w:t>
            </w:r>
            <w:r>
              <w:rPr>
                <w:rFonts w:ascii="宋体" w:eastAsia="宋体" w:hAnsi="宋体" w:cs="宋体"/>
                <w:sz w:val="18"/>
                <w:szCs w:val="18"/>
              </w:rPr>
              <w:lastRenderedPageBreak/>
              <w:t>益投资的公允价值</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营业收入</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218,270,649.62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19,127,296.53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514,630,005.03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242,192,043.66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16,419,571.09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735,115,183.94</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-114,184,652.74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71,196,011.64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-49,706,620.77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-89,120,076.21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76,503,507.07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53,013,011.03</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104,790,863.78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-1,635,705.17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11,887,617.58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24,372,867.62</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-9,393,788.96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71,196,011.64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-51,342,325.94</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-77,232,458.63</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76,503,507.07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77,385,878.65</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bl>
    <w:p w:rsidR="00674F05" w:rsidRDefault="00674F05">
      <w:pPr>
        <w:divId w:val="1737166972"/>
        <w:rPr>
          <w:sz w:val="18"/>
          <w:szCs w:val="18"/>
        </w:rPr>
      </w:pPr>
    </w:p>
    <w:p w:rsidR="00B72ACA" w:rsidRDefault="00674F05">
      <w:pPr>
        <w:keepNext/>
        <w:keepLines/>
        <w:spacing w:before="300" w:after="300" w:line="280" w:lineRule="exact"/>
        <w:outlineLvl w:val="3"/>
        <w:rPr>
          <w:rFonts w:ascii="宋体" w:eastAsia="宋体" w:hAnsi="宋体" w:cs="宋体"/>
          <w:b/>
          <w:bCs/>
          <w:szCs w:val="21"/>
        </w:rPr>
      </w:pPr>
      <w:bookmarkStart w:id="280" w:name="_Toc989170"/>
      <w:r>
        <w:rPr>
          <w:rFonts w:ascii="宋体" w:eastAsia="宋体" w:hAnsi="宋体" w:cs="宋体"/>
          <w:b/>
          <w:bCs/>
          <w:szCs w:val="21"/>
        </w:rPr>
        <w:t>（3） 不重要的合营企业和联营企业的汇总财务信息</w:t>
      </w:r>
      <w:bookmarkEnd w:id="28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19,129,305.82</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20,022,335.46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-173,029.64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311,276.94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-173,029.64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311,276.94</w:t>
            </w:r>
          </w:p>
        </w:tc>
      </w:tr>
    </w:tbl>
    <w:p w:rsidR="00B72ACA" w:rsidRDefault="00B72ACA">
      <w:pPr>
        <w:spacing w:before="100" w:after="100" w:line="240" w:lineRule="exact"/>
        <w:rPr>
          <w:rFonts w:ascii="宋体" w:eastAsia="宋体" w:hAnsi="宋体" w:cs="宋体"/>
          <w:sz w:val="18"/>
          <w:szCs w:val="18"/>
        </w:rPr>
      </w:pPr>
    </w:p>
    <w:tbl>
      <w:tblPr>
        <w:tblW w:w="9454" w:type="dxa"/>
        <w:jc w:val="center"/>
        <w:tblInd w:w="-238" w:type="dxa"/>
        <w:tblCellMar>
          <w:left w:w="0" w:type="dxa"/>
          <w:right w:w="0" w:type="dxa"/>
        </w:tblCellMar>
        <w:tblLook w:val="04A0" w:firstRow="1" w:lastRow="0" w:firstColumn="1" w:lastColumn="0" w:noHBand="0" w:noVBand="1"/>
      </w:tblPr>
      <w:tblGrid>
        <w:gridCol w:w="4243"/>
        <w:gridCol w:w="2580"/>
        <w:gridCol w:w="2631"/>
      </w:tblGrid>
      <w:tr w:rsidR="00674F05" w:rsidTr="00DC5FB1">
        <w:trPr>
          <w:divId w:val="343944545"/>
          <w:trHeight w:val="360"/>
          <w:tblHeader/>
          <w:jc w:val="center"/>
        </w:trPr>
        <w:tc>
          <w:tcPr>
            <w:tcW w:w="42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258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期末余额/本期金额</w:t>
            </w:r>
          </w:p>
        </w:tc>
        <w:tc>
          <w:tcPr>
            <w:tcW w:w="263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上年年末余额/上期金额</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联营企业：</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云南屏边华西村矿业有限公司</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14,545,720.98</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14,951,212.61</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江阴华西船务有限公司</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4,583,584.84</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5,071,122.85</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投资账面价值合计</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19,129,305.82</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20,022,335.46</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下列各项按持股比例计算的合计数</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proofErr w:type="gramStart"/>
            <w:r>
              <w:rPr>
                <w:rFonts w:cs="Times New Roman" w:hint="eastAsia"/>
                <w:sz w:val="18"/>
                <w:szCs w:val="18"/>
              </w:rPr>
              <w:t>—净利润</w:t>
            </w:r>
            <w:proofErr w:type="gramEnd"/>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-173,029.64</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311,276.94</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proofErr w:type="gramStart"/>
            <w:r>
              <w:rPr>
                <w:rFonts w:cs="Times New Roman" w:hint="eastAsia"/>
                <w:sz w:val="18"/>
                <w:szCs w:val="18"/>
              </w:rPr>
              <w:t>—其他</w:t>
            </w:r>
            <w:proofErr w:type="gramEnd"/>
            <w:r>
              <w:rPr>
                <w:rFonts w:cs="Times New Roman" w:hint="eastAsia"/>
                <w:sz w:val="18"/>
                <w:szCs w:val="18"/>
              </w:rPr>
              <w:t>综合收益</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rsidTr="00DC5FB1">
        <w:trPr>
          <w:divId w:val="343944545"/>
          <w:trHeight w:val="360"/>
          <w:jc w:val="center"/>
        </w:trPr>
        <w:tc>
          <w:tcPr>
            <w:tcW w:w="42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—综合收益总额</w:t>
            </w:r>
          </w:p>
        </w:tc>
        <w:tc>
          <w:tcPr>
            <w:tcW w:w="25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-173,029.64</w:t>
            </w:r>
          </w:p>
        </w:tc>
        <w:tc>
          <w:tcPr>
            <w:tcW w:w="26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311,276.94</w:t>
            </w:r>
          </w:p>
        </w:tc>
      </w:tr>
    </w:tbl>
    <w:p w:rsidR="00674F05" w:rsidRDefault="00674F05">
      <w:pPr>
        <w:divId w:val="343944545"/>
        <w:rPr>
          <w:sz w:val="24"/>
          <w:szCs w:val="24"/>
        </w:rPr>
      </w:pPr>
    </w:p>
    <w:p w:rsidR="00B72ACA" w:rsidRDefault="00674F05">
      <w:pPr>
        <w:pStyle w:val="2"/>
        <w:spacing w:before="300" w:after="300" w:line="320" w:lineRule="exact"/>
        <w:rPr>
          <w:rFonts w:ascii="宋体" w:eastAsia="宋体" w:hAnsi="宋体" w:cs="宋体"/>
          <w:b/>
          <w:bCs/>
          <w:sz w:val="24"/>
          <w:szCs w:val="24"/>
        </w:rPr>
      </w:pPr>
      <w:bookmarkStart w:id="281" w:name="_Toc989171"/>
      <w:r>
        <w:rPr>
          <w:rFonts w:ascii="宋体" w:eastAsia="宋体" w:hAnsi="宋体" w:cs="宋体"/>
          <w:b/>
          <w:bCs/>
          <w:sz w:val="24"/>
          <w:szCs w:val="24"/>
        </w:rPr>
        <w:lastRenderedPageBreak/>
        <w:t>十、与金融工具相关的风险</w:t>
      </w:r>
      <w:bookmarkEnd w:id="281"/>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本公司的主要金融工具包括股权投资、债权投资、借款、应收账款、应付账款等，各项金融工具的详细情况说明见本</w:t>
      </w:r>
      <w:proofErr w:type="gramStart"/>
      <w:r>
        <w:rPr>
          <w:rFonts w:cs="Times New Roman" w:hint="eastAsia"/>
          <w:sz w:val="18"/>
          <w:szCs w:val="18"/>
        </w:rPr>
        <w:t>附注七相关</w:t>
      </w:r>
      <w:proofErr w:type="gramEnd"/>
      <w:r>
        <w:rPr>
          <w:rFonts w:cs="Times New Roman" w:hint="eastAsia"/>
          <w:sz w:val="18"/>
          <w:szCs w:val="18"/>
        </w:rPr>
        <w:t>项目。与这些金融工具有关的风险，以及本公司为降低这些风险所采取的风险管理政策如下所述。本公司管理层对这些风险敞口进行管理和监控以确保将上述风险控制在限定的范围之内。</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（一）风险管理目标和政策</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1、市场风险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（1）外汇风险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外汇风险指因汇率变动产生损失的风险。本公司承受外汇风险主要与美元有关。于2023年6月30日，除下表所述资产或负债为美元余额外，本公司的资产及负债均为人民币余额。该等外币余额的资产和负债产生的外汇风险可能对本公司的经营业绩产生影响。</w:t>
      </w:r>
    </w:p>
    <w:tbl>
      <w:tblPr>
        <w:tblW w:w="5000" w:type="pct"/>
        <w:tblCellMar>
          <w:left w:w="0" w:type="dxa"/>
          <w:right w:w="0" w:type="dxa"/>
        </w:tblCellMar>
        <w:tblLook w:val="04A0" w:firstRow="1" w:lastRow="0" w:firstColumn="1" w:lastColumn="0" w:noHBand="0" w:noVBand="1"/>
      </w:tblPr>
      <w:tblGrid>
        <w:gridCol w:w="3393"/>
        <w:gridCol w:w="3230"/>
        <w:gridCol w:w="3230"/>
      </w:tblGrid>
      <w:tr w:rsidR="00674F05">
        <w:trPr>
          <w:divId w:val="209077939"/>
          <w:trHeight w:val="206"/>
          <w:tblHeader/>
        </w:trPr>
        <w:tc>
          <w:tcPr>
            <w:tcW w:w="17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6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2023年6月30日</w:t>
            </w:r>
          </w:p>
        </w:tc>
        <w:tc>
          <w:tcPr>
            <w:tcW w:w="1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2022年12月31日</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现金及现金等价物</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83,124,069.49</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82,105,234.24</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83,124,052.40</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82,105,220.95</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17.09</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13.29</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应收账款</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108,833,206.55</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95,307,136.18</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98,399,440.93</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82,514,120.62</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10,433,765.62</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12,793,015.56</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应付账款</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25,807,660.92</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15,116,534.76</w:t>
            </w:r>
          </w:p>
        </w:tc>
      </w:tr>
      <w:tr w:rsidR="00674F05">
        <w:trPr>
          <w:divId w:val="20907793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25,807,660.92</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15,116,534.76</w:t>
            </w:r>
          </w:p>
        </w:tc>
      </w:tr>
    </w:tbl>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外汇风险敏感性分析：</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外汇风险敏感性分析假设：所有境外经营净投资套期及现金流量套期均高度有效。在上述假设的基础上，在其他变量不变的情况下，汇率可能发生的合理变动对当期损益和股东权益的税前影响如下：</w:t>
      </w:r>
    </w:p>
    <w:tbl>
      <w:tblPr>
        <w:tblW w:w="5000" w:type="pct"/>
        <w:tblCellMar>
          <w:left w:w="0" w:type="dxa"/>
          <w:right w:w="0" w:type="dxa"/>
        </w:tblCellMar>
        <w:tblLook w:val="04A0" w:firstRow="1" w:lastRow="0" w:firstColumn="1" w:lastColumn="0" w:noHBand="0" w:noVBand="1"/>
      </w:tblPr>
      <w:tblGrid>
        <w:gridCol w:w="2171"/>
        <w:gridCol w:w="1837"/>
        <w:gridCol w:w="2071"/>
        <w:gridCol w:w="1614"/>
        <w:gridCol w:w="2160"/>
      </w:tblGrid>
      <w:tr w:rsidR="00674F05">
        <w:trPr>
          <w:divId w:val="209077939"/>
        </w:trPr>
        <w:tc>
          <w:tcPr>
            <w:tcW w:w="110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汇率变动</w:t>
            </w:r>
          </w:p>
        </w:tc>
        <w:tc>
          <w:tcPr>
            <w:tcW w:w="19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w:t>
            </w:r>
          </w:p>
        </w:tc>
        <w:tc>
          <w:tcPr>
            <w:tcW w:w="19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w:t>
            </w:r>
          </w:p>
        </w:tc>
      </w:tr>
      <w:tr w:rsidR="00674F05">
        <w:trPr>
          <w:divId w:val="2090779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c>
          <w:tcPr>
            <w:tcW w:w="9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c>
          <w:tcPr>
            <w:tcW w:w="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r>
      <w:tr w:rsidR="00674F05">
        <w:trPr>
          <w:divId w:val="209077939"/>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对人民币升值1%</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c>
          <w:tcPr>
            <w:tcW w:w="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1,678,444.18</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1,678,444.18</w:t>
            </w:r>
          </w:p>
        </w:tc>
      </w:tr>
      <w:tr w:rsidR="00674F05">
        <w:trPr>
          <w:divId w:val="209077939"/>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对人民币贬值1%</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c>
          <w:tcPr>
            <w:tcW w:w="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-1,678,444.18</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-1,678,444.18</w:t>
            </w:r>
          </w:p>
        </w:tc>
      </w:tr>
    </w:tbl>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lastRenderedPageBreak/>
        <w:t>（2）利率风险－现金流量变动风险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利率风险，是指金融工具的公允价值或未来现金流量因市场利率变动而发生波动的风险。利率风险可源于已确认的计息金融工具和未确认的金融工具（如某些货款承诺）。</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的利率风险主要产生于银行借款。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本公司密切关注利率变动对本公司利率风险的影响。本公司目前并未采取利率对冲政策。但管理</w:t>
      </w:r>
      <w:proofErr w:type="gramStart"/>
      <w:r>
        <w:rPr>
          <w:rFonts w:cs="Times New Roman" w:hint="eastAsia"/>
          <w:sz w:val="18"/>
          <w:szCs w:val="18"/>
        </w:rPr>
        <w:t>层负责</w:t>
      </w:r>
      <w:proofErr w:type="gramEnd"/>
      <w:r>
        <w:rPr>
          <w:rFonts w:cs="Times New Roman" w:hint="eastAsia"/>
          <w:sz w:val="18"/>
          <w:szCs w:val="18"/>
        </w:rPr>
        <w:t>监控利率风险，并将于需要时考虑对</w:t>
      </w:r>
      <w:proofErr w:type="gramStart"/>
      <w:r>
        <w:rPr>
          <w:rFonts w:cs="Times New Roman" w:hint="eastAsia"/>
          <w:sz w:val="18"/>
          <w:szCs w:val="18"/>
        </w:rPr>
        <w:t>冲重大</w:t>
      </w:r>
      <w:proofErr w:type="gramEnd"/>
      <w:r>
        <w:rPr>
          <w:rFonts w:cs="Times New Roman" w:hint="eastAsia"/>
          <w:sz w:val="18"/>
          <w:szCs w:val="18"/>
        </w:rPr>
        <w:t>利率风险。由于定期存款为短期存款，故银行存款的公允价值利率风险并不重大。</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（3）其他价格风险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持有的分类为以公允价值计量且其变动计入当期损益、以公允价值计量且其变动计入其他综合收益的金融资产的投资在资产负债表日以公允价值计量。因此，本公司承担着证券市场变动的风险。本公司采取持有多种权益证券组合的方式降低权益证券投资的价格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其他价格风险敏感性分析：</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于2023年6月30</w:t>
      </w:r>
      <w:r w:rsidR="0030340F">
        <w:rPr>
          <w:rFonts w:cs="Times New Roman" w:hint="eastAsia"/>
          <w:sz w:val="18"/>
          <w:szCs w:val="18"/>
        </w:rPr>
        <w:t>日，如上述公允价值的交易性金融资产中理财</w:t>
      </w:r>
      <w:r>
        <w:rPr>
          <w:rFonts w:cs="Times New Roman" w:hint="eastAsia"/>
          <w:sz w:val="18"/>
          <w:szCs w:val="18"/>
        </w:rPr>
        <w:t>产品、货币基金利率上升/下降50个基点；以公允价值计价的交易性金融资产中权益工具投资、以公允价值计价的债权投资、以公允价值计价的其他非流动金融资产的价格升高/降低10%，则公司的归属于母公司股东权益的增减变动情况如下：</w:t>
      </w:r>
    </w:p>
    <w:tbl>
      <w:tblPr>
        <w:tblW w:w="9464" w:type="dxa"/>
        <w:tblCellMar>
          <w:left w:w="0" w:type="dxa"/>
          <w:right w:w="0" w:type="dxa"/>
        </w:tblCellMar>
        <w:tblLook w:val="04A0" w:firstRow="1" w:lastRow="0" w:firstColumn="1" w:lastColumn="0" w:noHBand="0" w:noVBand="1"/>
      </w:tblPr>
      <w:tblGrid>
        <w:gridCol w:w="4967"/>
        <w:gridCol w:w="2371"/>
        <w:gridCol w:w="2126"/>
      </w:tblGrid>
      <w:tr w:rsidR="00674F05" w:rsidTr="000D4D72">
        <w:trPr>
          <w:divId w:val="209077939"/>
          <w:trHeight w:val="330"/>
        </w:trPr>
        <w:tc>
          <w:tcPr>
            <w:tcW w:w="4967"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金融资产</w:t>
            </w:r>
          </w:p>
        </w:tc>
        <w:tc>
          <w:tcPr>
            <w:tcW w:w="237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价格升高</w:t>
            </w:r>
          </w:p>
        </w:tc>
        <w:tc>
          <w:tcPr>
            <w:tcW w:w="212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价格降低</w:t>
            </w:r>
          </w:p>
        </w:tc>
      </w:tr>
      <w:tr w:rsidR="00674F05" w:rsidTr="000D4D72">
        <w:trPr>
          <w:divId w:val="209077939"/>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74F05" w:rsidRDefault="00674F05">
            <w:pPr>
              <w:rPr>
                <w:rFonts w:ascii="Times New Roman" w:eastAsia="宋体" w:hAnsi="Times New Roman" w:cs="Times New Roman"/>
                <w:szCs w:val="21"/>
              </w:rPr>
            </w:pPr>
          </w:p>
        </w:tc>
        <w:tc>
          <w:tcPr>
            <w:tcW w:w="237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归母股东权益增加</w:t>
            </w:r>
          </w:p>
        </w:tc>
        <w:tc>
          <w:tcPr>
            <w:tcW w:w="21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归母股东权益减少</w:t>
            </w:r>
          </w:p>
        </w:tc>
      </w:tr>
      <w:tr w:rsidR="00674F05" w:rsidTr="000D4D72">
        <w:trPr>
          <w:divId w:val="209077939"/>
          <w:trHeight w:val="330"/>
        </w:trPr>
        <w:tc>
          <w:tcPr>
            <w:tcW w:w="496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以公允价值计量且其变动计入当期损益的金融资产</w:t>
            </w:r>
          </w:p>
        </w:tc>
        <w:tc>
          <w:tcPr>
            <w:tcW w:w="23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25,124,967.02</w:t>
            </w:r>
          </w:p>
        </w:tc>
        <w:tc>
          <w:tcPr>
            <w:tcW w:w="21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-25,124,967.02</w:t>
            </w:r>
          </w:p>
        </w:tc>
      </w:tr>
      <w:tr w:rsidR="00674F05" w:rsidTr="000D4D72">
        <w:trPr>
          <w:divId w:val="209077939"/>
          <w:trHeight w:val="330"/>
        </w:trPr>
        <w:tc>
          <w:tcPr>
            <w:tcW w:w="496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以公允价值计量的其他非流动金融资产</w:t>
            </w:r>
          </w:p>
        </w:tc>
        <w:tc>
          <w:tcPr>
            <w:tcW w:w="23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49,150,863.46</w:t>
            </w:r>
          </w:p>
        </w:tc>
        <w:tc>
          <w:tcPr>
            <w:tcW w:w="21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-49,150,863.46</w:t>
            </w:r>
          </w:p>
        </w:tc>
      </w:tr>
    </w:tbl>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2、信用风险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2023年6月30日，可能引起本公司财务损失的最大信用风险敞口主要来自于合同另一方未能履行义务而导致本公司金融资产产生的损失以及本公司承担的财务担保，具体包括：合并资产负债表中已确认的金融资产的账面金额；对于以公允价值计量的金融工具而言，账面价值反映了其风险敞口，但并非最大风险敞口，其最大风险敞口将随着未来公允价值的变化而改变。</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本公司的流动资金存放在信用评级较高的银行，故流动资金的信用风险较低。</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3、流动风险</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674F05" w:rsidRDefault="00674F05">
      <w:pPr>
        <w:pStyle w:val="a3"/>
        <w:spacing w:before="0" w:beforeAutospacing="0" w:after="0" w:afterAutospacing="0" w:line="400" w:lineRule="atLeast"/>
        <w:ind w:firstLine="360"/>
        <w:jc w:val="both"/>
        <w:divId w:val="209077939"/>
        <w:rPr>
          <w:rFonts w:ascii="Times New Roman" w:hAnsi="Times New Roman" w:cs="Times New Roman"/>
          <w:sz w:val="21"/>
          <w:szCs w:val="21"/>
        </w:rPr>
      </w:pPr>
      <w:r>
        <w:rPr>
          <w:rFonts w:cs="Times New Roman" w:hint="eastAsia"/>
          <w:sz w:val="18"/>
          <w:szCs w:val="18"/>
        </w:rPr>
        <w:t>于2023年6月30日，本公司持有的金融负债按未折现剩余合同义务的到期期限分析如下：</w:t>
      </w:r>
    </w:p>
    <w:tbl>
      <w:tblPr>
        <w:tblW w:w="5000" w:type="pct"/>
        <w:tblCellMar>
          <w:left w:w="0" w:type="dxa"/>
          <w:right w:w="0" w:type="dxa"/>
        </w:tblCellMar>
        <w:tblLook w:val="04A0" w:firstRow="1" w:lastRow="0" w:firstColumn="1" w:lastColumn="0" w:noHBand="0" w:noVBand="1"/>
      </w:tblPr>
      <w:tblGrid>
        <w:gridCol w:w="3390"/>
        <w:gridCol w:w="2333"/>
        <w:gridCol w:w="1797"/>
        <w:gridCol w:w="2333"/>
      </w:tblGrid>
      <w:tr w:rsidR="00674F05">
        <w:trPr>
          <w:divId w:val="209077939"/>
          <w:tblHead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1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1年以内</w:t>
            </w:r>
          </w:p>
        </w:tc>
        <w:tc>
          <w:tcPr>
            <w:tcW w:w="91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1-5年</w:t>
            </w:r>
          </w:p>
        </w:tc>
        <w:tc>
          <w:tcPr>
            <w:tcW w:w="11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5年以上</w:t>
            </w:r>
          </w:p>
        </w:tc>
      </w:tr>
      <w:tr w:rsidR="00674F05">
        <w:trPr>
          <w:divId w:val="209077939"/>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lastRenderedPageBreak/>
              <w:t>短期借款</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1,241,216,960.91</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trPr>
          <w:divId w:val="209077939"/>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应付账款</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71,505,618.20</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trPr>
          <w:divId w:val="209077939"/>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其他应付款</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18,804,067.81</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trPr>
          <w:divId w:val="209077939"/>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其他流动负债</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37,635,429.75</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674F05">
        <w:trPr>
          <w:divId w:val="209077939"/>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公司为关联方提供担保</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666,100,000.00</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195,000,000.00</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bl>
    <w:p w:rsidR="00674F05" w:rsidRDefault="00674F05">
      <w:pPr>
        <w:divId w:val="209077939"/>
        <w:rPr>
          <w:rFonts w:ascii="宋体" w:hAnsi="宋体" w:cs="宋体"/>
          <w:sz w:val="24"/>
          <w:szCs w:val="24"/>
        </w:rPr>
      </w:pPr>
    </w:p>
    <w:p w:rsidR="00B72ACA" w:rsidRDefault="00674F05">
      <w:pPr>
        <w:pStyle w:val="2"/>
        <w:spacing w:before="300" w:after="300" w:line="320" w:lineRule="exact"/>
        <w:rPr>
          <w:rFonts w:ascii="宋体" w:eastAsia="宋体" w:hAnsi="宋体" w:cs="宋体"/>
          <w:b/>
          <w:bCs/>
          <w:sz w:val="24"/>
          <w:szCs w:val="24"/>
        </w:rPr>
      </w:pPr>
      <w:bookmarkStart w:id="282" w:name="_Toc989172"/>
      <w:r>
        <w:rPr>
          <w:rFonts w:ascii="宋体" w:eastAsia="宋体" w:hAnsi="宋体" w:cs="宋体"/>
          <w:b/>
          <w:bCs/>
          <w:sz w:val="24"/>
          <w:szCs w:val="24"/>
        </w:rPr>
        <w:t>十一、公允价值的披露</w:t>
      </w:r>
      <w:bookmarkEnd w:id="282"/>
    </w:p>
    <w:p w:rsidR="00B72ACA" w:rsidRDefault="00674F05">
      <w:pPr>
        <w:pStyle w:val="3"/>
        <w:spacing w:line="280" w:lineRule="exact"/>
        <w:jc w:val="left"/>
        <w:rPr>
          <w:rFonts w:ascii="宋体" w:hAnsi="宋体" w:cs="宋体"/>
          <w:b/>
          <w:bCs/>
        </w:rPr>
      </w:pPr>
      <w:bookmarkStart w:id="283" w:name="_Toc989173"/>
      <w:r>
        <w:rPr>
          <w:rFonts w:ascii="宋体" w:hAnsi="宋体" w:cs="宋体"/>
          <w:b/>
          <w:bCs/>
        </w:rPr>
        <w:t>1、以公允价值计量的资产和负债的期末公允价值</w:t>
      </w:r>
      <w:bookmarkEnd w:id="28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（1）理财产品</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326,565,403.41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326,565,403.41</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（3）基金</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84,341,568.69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84,341,568.69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sidRPr="00ED3154">
              <w:rPr>
                <w:rFonts w:ascii="宋体" w:eastAsia="宋体" w:hAnsi="宋体" w:cs="宋体"/>
                <w:sz w:val="18"/>
                <w:szCs w:val="18"/>
                <w:shd w:val="pct15" w:color="auto" w:fill="FFFFFF"/>
              </w:rPr>
              <w:t>2、指定为以公允价值计量且其变动计入当期损益的金融资产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810,750,882.40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410,906,972.10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155,406,036.26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1,221,657,854.50</w:t>
            </w:r>
          </w:p>
        </w:tc>
      </w:tr>
      <w:tr w:rsidR="00ED315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D3154" w:rsidRDefault="00ED3154">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交易性金融负债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ED3154" w:rsidRDefault="00ED3154">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1928" w:type="dxa"/>
            <w:tcBorders>
              <w:top w:val="single" w:sz="2" w:space="0" w:color="auto"/>
              <w:left w:val="single" w:sz="2" w:space="0" w:color="auto"/>
              <w:bottom w:val="single" w:sz="2" w:space="0" w:color="auto"/>
              <w:right w:val="single" w:sz="2" w:space="0" w:color="auto"/>
            </w:tcBorders>
            <w:vAlign w:val="center"/>
          </w:tcPr>
          <w:p w:rsidR="00ED3154" w:rsidRDefault="00ED315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D3154" w:rsidRDefault="00ED315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D3154" w:rsidRDefault="00953E2E">
            <w:pPr>
              <w:spacing w:line="240" w:lineRule="exact"/>
              <w:jc w:val="right"/>
              <w:rPr>
                <w:rFonts w:ascii="宋体" w:eastAsia="宋体" w:hAnsi="宋体" w:cs="宋体"/>
                <w:sz w:val="18"/>
                <w:szCs w:val="18"/>
              </w:rPr>
            </w:pPr>
            <w:r>
              <w:rPr>
                <w:rFonts w:ascii="宋体" w:eastAsia="宋体" w:hAnsi="宋体" w:cs="宋体"/>
                <w:sz w:val="18"/>
                <w:szCs w:val="18"/>
              </w:rPr>
              <w:t>4,086,365.56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ED3154">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其中：</w:t>
            </w:r>
            <w:r w:rsidR="00953E2E">
              <w:rPr>
                <w:rFonts w:ascii="宋体" w:eastAsia="宋体" w:hAnsi="宋体" w:cs="宋体"/>
                <w:sz w:val="18"/>
                <w:szCs w:val="18"/>
              </w:rPr>
              <w:t>衍生金融负债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4,086,365.56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72ACA" w:rsidRDefault="00674F05">
      <w:pPr>
        <w:pStyle w:val="3"/>
        <w:spacing w:line="280" w:lineRule="exact"/>
        <w:jc w:val="left"/>
        <w:rPr>
          <w:rFonts w:ascii="宋体" w:hAnsi="宋体" w:cs="宋体"/>
          <w:b/>
          <w:bCs/>
        </w:rPr>
      </w:pPr>
      <w:bookmarkStart w:id="284" w:name="_Toc989174"/>
      <w:r>
        <w:rPr>
          <w:rFonts w:ascii="宋体" w:hAnsi="宋体" w:cs="宋体"/>
          <w:b/>
          <w:bCs/>
        </w:rPr>
        <w:t>2、持续和非持续第一层次公允价值计量项目市价的确定依据</w:t>
      </w:r>
      <w:bookmarkEnd w:id="284"/>
    </w:p>
    <w:p w:rsidR="00674F05" w:rsidRDefault="00674F05">
      <w:pPr>
        <w:pStyle w:val="a3"/>
        <w:spacing w:before="0" w:beforeAutospacing="0" w:after="0" w:afterAutospacing="0" w:line="400" w:lineRule="atLeast"/>
        <w:ind w:firstLine="360"/>
        <w:jc w:val="both"/>
        <w:divId w:val="1860773229"/>
        <w:rPr>
          <w:rFonts w:ascii="Times New Roman" w:hAnsi="Times New Roman" w:cs="Times New Roman"/>
          <w:sz w:val="21"/>
          <w:szCs w:val="21"/>
        </w:rPr>
      </w:pPr>
      <w:r>
        <w:rPr>
          <w:rFonts w:cs="Times New Roman" w:hint="eastAsia"/>
          <w:sz w:val="18"/>
          <w:szCs w:val="18"/>
        </w:rPr>
        <w:t>第一层输入值是在计量</w:t>
      </w:r>
      <w:proofErr w:type="gramStart"/>
      <w:r>
        <w:rPr>
          <w:rFonts w:cs="Times New Roman" w:hint="eastAsia"/>
          <w:sz w:val="18"/>
          <w:szCs w:val="18"/>
        </w:rPr>
        <w:t>日能够</w:t>
      </w:r>
      <w:proofErr w:type="gramEnd"/>
      <w:r>
        <w:rPr>
          <w:rFonts w:cs="Times New Roman" w:hint="eastAsia"/>
          <w:sz w:val="18"/>
          <w:szCs w:val="18"/>
        </w:rPr>
        <w:t>取得的相同资产或负债在活跃市场上未经调整的报价。</w:t>
      </w:r>
    </w:p>
    <w:p w:rsidR="00B72ACA" w:rsidRDefault="00674F05">
      <w:pPr>
        <w:pStyle w:val="3"/>
        <w:spacing w:line="280" w:lineRule="exact"/>
        <w:jc w:val="left"/>
        <w:rPr>
          <w:rFonts w:ascii="宋体" w:hAnsi="宋体" w:cs="宋体"/>
          <w:b/>
          <w:bCs/>
        </w:rPr>
      </w:pPr>
      <w:bookmarkStart w:id="285" w:name="_Toc989175"/>
      <w:r>
        <w:rPr>
          <w:rFonts w:ascii="宋体" w:hAnsi="宋体" w:cs="宋体"/>
          <w:b/>
          <w:bCs/>
        </w:rPr>
        <w:lastRenderedPageBreak/>
        <w:t>3、持续和非持续第二层次公允价值计量项目，采用的估值技术和重要参数的定性及定量信息</w:t>
      </w:r>
      <w:bookmarkEnd w:id="285"/>
    </w:p>
    <w:p w:rsidR="00674F05" w:rsidRDefault="0030340F">
      <w:pPr>
        <w:pStyle w:val="a3"/>
        <w:spacing w:before="0" w:beforeAutospacing="0" w:after="0" w:afterAutospacing="0" w:line="400" w:lineRule="atLeast"/>
        <w:ind w:firstLine="360"/>
        <w:jc w:val="both"/>
        <w:divId w:val="1754233040"/>
        <w:rPr>
          <w:rFonts w:ascii="Times New Roman" w:hAnsi="Times New Roman" w:cs="Times New Roman"/>
          <w:sz w:val="21"/>
          <w:szCs w:val="21"/>
        </w:rPr>
      </w:pPr>
      <w:r>
        <w:rPr>
          <w:rFonts w:cs="Times New Roman" w:hint="eastAsia"/>
          <w:sz w:val="18"/>
          <w:szCs w:val="18"/>
        </w:rPr>
        <w:t>第二层次输入值：除第一层次输入</w:t>
      </w:r>
      <w:proofErr w:type="gramStart"/>
      <w:r>
        <w:rPr>
          <w:rFonts w:cs="Times New Roman" w:hint="eastAsia"/>
          <w:sz w:val="18"/>
          <w:szCs w:val="18"/>
        </w:rPr>
        <w:t>值外相关</w:t>
      </w:r>
      <w:proofErr w:type="gramEnd"/>
      <w:r>
        <w:rPr>
          <w:rFonts w:cs="Times New Roman" w:hint="eastAsia"/>
          <w:sz w:val="18"/>
          <w:szCs w:val="18"/>
        </w:rPr>
        <w:t>资产或负债直接或</w:t>
      </w:r>
      <w:proofErr w:type="gramStart"/>
      <w:r>
        <w:rPr>
          <w:rFonts w:cs="Times New Roman" w:hint="eastAsia"/>
          <w:sz w:val="18"/>
          <w:szCs w:val="18"/>
        </w:rPr>
        <w:t>间</w:t>
      </w:r>
      <w:r w:rsidR="00674F05">
        <w:rPr>
          <w:rFonts w:cs="Times New Roman" w:hint="eastAsia"/>
          <w:sz w:val="18"/>
          <w:szCs w:val="18"/>
        </w:rPr>
        <w:t>接可</w:t>
      </w:r>
      <w:proofErr w:type="gramEnd"/>
      <w:r w:rsidR="00674F05">
        <w:rPr>
          <w:rFonts w:cs="Times New Roman" w:hint="eastAsia"/>
          <w:sz w:val="18"/>
          <w:szCs w:val="18"/>
        </w:rPr>
        <w:t>观察的输入值，期末公司持续和非持续第二层次公允价值计量项目主要为应收款项融资。</w:t>
      </w:r>
    </w:p>
    <w:tbl>
      <w:tblPr>
        <w:tblW w:w="5000" w:type="pct"/>
        <w:tblCellMar>
          <w:left w:w="0" w:type="dxa"/>
          <w:right w:w="0" w:type="dxa"/>
        </w:tblCellMar>
        <w:tblLook w:val="04A0" w:firstRow="1" w:lastRow="0" w:firstColumn="1" w:lastColumn="0" w:noHBand="0" w:noVBand="1"/>
      </w:tblPr>
      <w:tblGrid>
        <w:gridCol w:w="2760"/>
        <w:gridCol w:w="2509"/>
        <w:gridCol w:w="1896"/>
        <w:gridCol w:w="2528"/>
      </w:tblGrid>
      <w:tr w:rsidR="00674F05">
        <w:trPr>
          <w:divId w:val="1754233040"/>
          <w:trHeight w:val="345"/>
          <w:tblHeader/>
        </w:trPr>
        <w:tc>
          <w:tcPr>
            <w:tcW w:w="142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29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9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130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可间接观察输入值</w:t>
            </w:r>
          </w:p>
        </w:tc>
      </w:tr>
      <w:tr w:rsidR="00674F05">
        <w:trPr>
          <w:divId w:val="1754233040"/>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应收款项融资</w:t>
            </w:r>
          </w:p>
        </w:tc>
        <w:tc>
          <w:tcPr>
            <w:tcW w:w="129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155,406,036.26</w:t>
            </w:r>
          </w:p>
        </w:tc>
        <w:tc>
          <w:tcPr>
            <w:tcW w:w="978"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现金流量折现法</w:t>
            </w:r>
          </w:p>
        </w:tc>
        <w:tc>
          <w:tcPr>
            <w:tcW w:w="130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折现率（注）</w:t>
            </w:r>
          </w:p>
        </w:tc>
      </w:tr>
    </w:tbl>
    <w:p w:rsidR="00674F05" w:rsidRDefault="00674F05">
      <w:pPr>
        <w:pStyle w:val="a3"/>
        <w:spacing w:before="0" w:beforeAutospacing="0" w:after="0" w:afterAutospacing="0" w:line="400" w:lineRule="atLeast"/>
        <w:ind w:firstLine="360"/>
        <w:jc w:val="both"/>
        <w:divId w:val="1754233040"/>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w:t>
      </w:r>
      <w:r w:rsidR="000D4D72">
        <w:rPr>
          <w:rFonts w:cs="Times New Roman" w:hint="eastAsia"/>
          <w:sz w:val="18"/>
          <w:szCs w:val="18"/>
        </w:rPr>
        <w:t>为</w:t>
      </w:r>
      <w:r>
        <w:rPr>
          <w:rFonts w:cs="Times New Roman" w:hint="eastAsia"/>
          <w:sz w:val="18"/>
          <w:szCs w:val="18"/>
        </w:rPr>
        <w:t>公允价值。</w:t>
      </w:r>
    </w:p>
    <w:p w:rsidR="00B72ACA" w:rsidRDefault="00674F05">
      <w:pPr>
        <w:pStyle w:val="3"/>
        <w:spacing w:line="280" w:lineRule="exact"/>
        <w:jc w:val="left"/>
        <w:rPr>
          <w:rFonts w:ascii="宋体" w:hAnsi="宋体" w:cs="宋体"/>
          <w:b/>
          <w:bCs/>
        </w:rPr>
      </w:pPr>
      <w:bookmarkStart w:id="286" w:name="_Toc989176"/>
      <w:r>
        <w:rPr>
          <w:rFonts w:ascii="宋体" w:hAnsi="宋体" w:cs="宋体"/>
          <w:b/>
          <w:bCs/>
        </w:rPr>
        <w:t>4、持续和非持续第三层次公允价值计量项目，采用的估值技术和重要参数的定性及定量信息</w:t>
      </w:r>
      <w:bookmarkEnd w:id="286"/>
    </w:p>
    <w:p w:rsidR="00674F05" w:rsidRDefault="00674F05">
      <w:pPr>
        <w:pStyle w:val="a3"/>
        <w:spacing w:before="0" w:beforeAutospacing="0" w:after="0" w:afterAutospacing="0" w:line="400" w:lineRule="atLeast"/>
        <w:ind w:firstLine="360"/>
        <w:jc w:val="both"/>
        <w:divId w:val="1001662681"/>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674F05" w:rsidRDefault="00674F05">
      <w:pPr>
        <w:pStyle w:val="a3"/>
        <w:spacing w:before="0" w:beforeAutospacing="0" w:after="0" w:afterAutospacing="0" w:line="400" w:lineRule="atLeast"/>
        <w:ind w:firstLine="360"/>
        <w:jc w:val="both"/>
        <w:divId w:val="1001662681"/>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5000" w:type="pct"/>
        <w:tblCellMar>
          <w:left w:w="0" w:type="dxa"/>
          <w:right w:w="0" w:type="dxa"/>
        </w:tblCellMar>
        <w:tblLook w:val="04A0" w:firstRow="1" w:lastRow="0" w:firstColumn="1" w:lastColumn="0" w:noHBand="0" w:noVBand="1"/>
      </w:tblPr>
      <w:tblGrid>
        <w:gridCol w:w="2761"/>
        <w:gridCol w:w="1669"/>
        <w:gridCol w:w="3489"/>
        <w:gridCol w:w="1774"/>
      </w:tblGrid>
      <w:tr w:rsidR="00674F05">
        <w:trPr>
          <w:divId w:val="1001662681"/>
          <w:trHeight w:val="345"/>
          <w:tblHeader/>
        </w:trPr>
        <w:tc>
          <w:tcPr>
            <w:tcW w:w="142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86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80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91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不可观察输入值</w:t>
            </w:r>
          </w:p>
        </w:tc>
      </w:tr>
      <w:tr w:rsidR="00674F05">
        <w:trPr>
          <w:divId w:val="1001662681"/>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其他非流动金融资产汇总</w:t>
            </w:r>
          </w:p>
        </w:tc>
        <w:tc>
          <w:tcPr>
            <w:tcW w:w="86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655,344,846.14</w:t>
            </w:r>
          </w:p>
        </w:tc>
        <w:tc>
          <w:tcPr>
            <w:tcW w:w="18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参照可比上市</w:t>
            </w:r>
            <w:proofErr w:type="gramStart"/>
            <w:r>
              <w:rPr>
                <w:rFonts w:cs="Times New Roman" w:hint="eastAsia"/>
                <w:sz w:val="18"/>
                <w:szCs w:val="18"/>
              </w:rPr>
              <w:t>公司市净率</w:t>
            </w:r>
            <w:proofErr w:type="gramEnd"/>
            <w:r>
              <w:rPr>
                <w:rFonts w:cs="Times New Roman" w:hint="eastAsia"/>
                <w:sz w:val="18"/>
                <w:szCs w:val="18"/>
              </w:rPr>
              <w:t>、流动性系数计算</w:t>
            </w:r>
          </w:p>
        </w:tc>
        <w:tc>
          <w:tcPr>
            <w:tcW w:w="91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流动性折扣系数</w:t>
            </w:r>
          </w:p>
        </w:tc>
      </w:tr>
      <w:tr w:rsidR="00674F05">
        <w:trPr>
          <w:divId w:val="1001662681"/>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86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655,344,846.14</w:t>
            </w:r>
          </w:p>
        </w:tc>
        <w:tc>
          <w:tcPr>
            <w:tcW w:w="18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c>
          <w:tcPr>
            <w:tcW w:w="91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r>
    </w:tbl>
    <w:p w:rsidR="00674F05" w:rsidRDefault="00674F05">
      <w:pPr>
        <w:divId w:val="1001662681"/>
        <w:rPr>
          <w:rFonts w:ascii="宋体" w:hAnsi="宋体" w:cs="宋体"/>
          <w:sz w:val="24"/>
          <w:szCs w:val="24"/>
        </w:rPr>
      </w:pPr>
    </w:p>
    <w:p w:rsidR="00B72ACA" w:rsidRDefault="00674F05">
      <w:pPr>
        <w:pStyle w:val="2"/>
        <w:spacing w:before="300" w:after="300" w:line="320" w:lineRule="exact"/>
        <w:rPr>
          <w:rFonts w:ascii="宋体" w:eastAsia="宋体" w:hAnsi="宋体" w:cs="宋体"/>
          <w:b/>
          <w:bCs/>
          <w:sz w:val="24"/>
          <w:szCs w:val="24"/>
        </w:rPr>
      </w:pPr>
      <w:bookmarkStart w:id="287" w:name="_Toc989177"/>
      <w:r>
        <w:rPr>
          <w:rFonts w:ascii="宋体" w:eastAsia="宋体" w:hAnsi="宋体" w:cs="宋体"/>
          <w:b/>
          <w:bCs/>
          <w:sz w:val="24"/>
          <w:szCs w:val="24"/>
        </w:rPr>
        <w:t>十二、关联方及关联交易</w:t>
      </w:r>
      <w:bookmarkEnd w:id="287"/>
    </w:p>
    <w:p w:rsidR="00B72ACA" w:rsidRDefault="00674F05">
      <w:pPr>
        <w:pStyle w:val="3"/>
        <w:spacing w:line="280" w:lineRule="exact"/>
        <w:jc w:val="left"/>
        <w:rPr>
          <w:rFonts w:ascii="宋体" w:hAnsi="宋体" w:cs="宋体"/>
          <w:b/>
          <w:bCs/>
        </w:rPr>
      </w:pPr>
      <w:bookmarkStart w:id="288" w:name="_Toc989178"/>
      <w:r>
        <w:rPr>
          <w:rFonts w:ascii="宋体" w:hAnsi="宋体" w:cs="宋体"/>
          <w:b/>
          <w:bCs/>
        </w:rPr>
        <w:t>1、本企业的母公司情况</w:t>
      </w:r>
      <w:bookmarkEnd w:id="28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900,000万元人民币</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29.34%</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rsidR="00674F05" w:rsidRDefault="00674F05" w:rsidP="002E0F0A">
      <w:pPr>
        <w:pStyle w:val="a3"/>
        <w:snapToGrid w:val="0"/>
        <w:spacing w:before="0" w:beforeAutospacing="0" w:after="0" w:afterAutospacing="0"/>
        <w:divId w:val="590505469"/>
        <w:rPr>
          <w:sz w:val="18"/>
          <w:szCs w:val="18"/>
        </w:rPr>
      </w:pPr>
      <w:r>
        <w:rPr>
          <w:rFonts w:hint="eastAsia"/>
          <w:sz w:val="18"/>
          <w:szCs w:val="18"/>
        </w:rPr>
        <w:t>注：截至2023年6月30日，江苏华西集团有限公司累计持有本公司29.34%股份，持股数量260,000,000股。</w:t>
      </w:r>
    </w:p>
    <w:p w:rsidR="00674F05" w:rsidRDefault="00674F05">
      <w:pPr>
        <w:pStyle w:val="a3"/>
        <w:spacing w:before="0" w:beforeAutospacing="0" w:after="0" w:afterAutospacing="0" w:line="400" w:lineRule="atLeast"/>
        <w:ind w:firstLine="360"/>
        <w:jc w:val="both"/>
        <w:divId w:val="590505469"/>
        <w:rPr>
          <w:rFonts w:ascii="Times New Roman" w:hAnsi="Times New Roman" w:cs="Times New Roman"/>
          <w:sz w:val="21"/>
          <w:szCs w:val="21"/>
        </w:rPr>
      </w:pPr>
      <w:r>
        <w:rPr>
          <w:rFonts w:cs="Times New Roman" w:hint="eastAsia"/>
          <w:sz w:val="18"/>
          <w:szCs w:val="18"/>
        </w:rPr>
        <w:t>华西集团已将上述2.6亿股华西股份股权全部质押，用于融资担保，质权人为中国工商银行股份有限公司江阴支行。</w:t>
      </w:r>
    </w:p>
    <w:p w:rsidR="002E0F0A" w:rsidRDefault="002E0F0A" w:rsidP="002E0F0A">
      <w:pPr>
        <w:spacing w:before="100" w:after="100" w:line="240" w:lineRule="exact"/>
        <w:rPr>
          <w:rFonts w:ascii="宋体" w:eastAsia="宋体" w:hAnsi="宋体" w:cs="宋体"/>
          <w:sz w:val="18"/>
          <w:szCs w:val="18"/>
        </w:rPr>
      </w:pPr>
    </w:p>
    <w:p w:rsidR="00B72ACA" w:rsidRDefault="00674F05" w:rsidP="002E0F0A">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本企业最终控制方是江阴市华士镇华西新市村村民委员会。</w:t>
      </w:r>
    </w:p>
    <w:p w:rsidR="002E0F0A" w:rsidRPr="002E0F0A" w:rsidRDefault="002E0F0A">
      <w:pPr>
        <w:spacing w:before="100" w:after="100" w:line="240" w:lineRule="exact"/>
        <w:rPr>
          <w:rFonts w:ascii="宋体" w:eastAsia="宋体" w:hAnsi="宋体" w:cs="宋体"/>
          <w:sz w:val="18"/>
          <w:szCs w:val="18"/>
        </w:rPr>
      </w:pP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674F05" w:rsidRDefault="00674F05" w:rsidP="000D4D72">
      <w:pPr>
        <w:pStyle w:val="a3"/>
        <w:jc w:val="both"/>
        <w:divId w:val="794371202"/>
        <w:rPr>
          <w:sz w:val="18"/>
          <w:szCs w:val="18"/>
        </w:rPr>
      </w:pPr>
      <w:r>
        <w:rPr>
          <w:rFonts w:hint="eastAsia"/>
          <w:sz w:val="18"/>
          <w:szCs w:val="18"/>
        </w:rPr>
        <w:t>2023</w:t>
      </w:r>
      <w:r w:rsidR="000D4D72">
        <w:rPr>
          <w:rFonts w:hint="eastAsia"/>
          <w:sz w:val="18"/>
          <w:szCs w:val="18"/>
        </w:rPr>
        <w:t>年</w:t>
      </w:r>
      <w:r>
        <w:rPr>
          <w:rFonts w:hint="eastAsia"/>
          <w:sz w:val="18"/>
          <w:szCs w:val="18"/>
        </w:rPr>
        <w:t>7月19日，江阴市华士镇华西新市村村民委员会（以下简称“华西村委会”）、江阴联华优化调整产业投资合伙企业（有限合伙）（以下简称“联华基金”）签署了《关于江苏华西集团有限公司的股权转让协议》，华西村委会拟将其持有的华西集团80%股权</w:t>
      </w:r>
      <w:proofErr w:type="gramStart"/>
      <w:r>
        <w:rPr>
          <w:rFonts w:hint="eastAsia"/>
          <w:sz w:val="18"/>
          <w:szCs w:val="18"/>
        </w:rPr>
        <w:t>转让给联华</w:t>
      </w:r>
      <w:proofErr w:type="gramEnd"/>
      <w:r>
        <w:rPr>
          <w:rFonts w:hint="eastAsia"/>
          <w:sz w:val="18"/>
          <w:szCs w:val="18"/>
        </w:rPr>
        <w:t>基金。本次股权转让完成后，华西集团仍为公司的控股股东，公司实际控制人将由华西村委会变更为江阴市国资办。截至目前，该股权转让事项尚在进展过程中。</w:t>
      </w:r>
    </w:p>
    <w:p w:rsidR="00B72ACA" w:rsidRDefault="00674F05">
      <w:pPr>
        <w:pStyle w:val="3"/>
        <w:spacing w:line="280" w:lineRule="exact"/>
        <w:jc w:val="left"/>
        <w:rPr>
          <w:rFonts w:ascii="宋体" w:hAnsi="宋体" w:cs="宋体"/>
          <w:b/>
          <w:bCs/>
        </w:rPr>
      </w:pPr>
      <w:bookmarkStart w:id="289" w:name="_Toc989179"/>
      <w:r>
        <w:rPr>
          <w:rFonts w:ascii="宋体" w:hAnsi="宋体" w:cs="宋体"/>
          <w:b/>
          <w:bCs/>
        </w:rPr>
        <w:t>2、本企业的子公司情况</w:t>
      </w:r>
      <w:bookmarkEnd w:id="289"/>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本企业子公司的情况详见附注九、1</w:t>
      </w:r>
      <w:r w:rsidR="000D4D72">
        <w:rPr>
          <w:rFonts w:ascii="宋体" w:eastAsia="宋体" w:hAnsi="宋体" w:cs="宋体"/>
          <w:sz w:val="18"/>
          <w:szCs w:val="18"/>
        </w:rPr>
        <w:t>、在子公司（含结构化主体）中的权益</w:t>
      </w:r>
      <w:r>
        <w:rPr>
          <w:rFonts w:ascii="宋体" w:eastAsia="宋体" w:hAnsi="宋体" w:cs="宋体"/>
          <w:sz w:val="18"/>
          <w:szCs w:val="18"/>
        </w:rPr>
        <w:t>。</w:t>
      </w:r>
    </w:p>
    <w:p w:rsidR="00B72ACA" w:rsidRDefault="00674F05">
      <w:pPr>
        <w:pStyle w:val="3"/>
        <w:spacing w:line="280" w:lineRule="exact"/>
        <w:jc w:val="left"/>
        <w:rPr>
          <w:rFonts w:ascii="宋体" w:hAnsi="宋体" w:cs="宋体"/>
          <w:b/>
          <w:bCs/>
        </w:rPr>
      </w:pPr>
      <w:bookmarkStart w:id="290" w:name="_Toc989180"/>
      <w:r>
        <w:rPr>
          <w:rFonts w:ascii="宋体" w:hAnsi="宋体" w:cs="宋体"/>
          <w:b/>
          <w:bCs/>
        </w:rPr>
        <w:lastRenderedPageBreak/>
        <w:t>3、本企业合营和联营企业情况</w:t>
      </w:r>
      <w:bookmarkEnd w:id="290"/>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本企业重要的合营或联营企业详见附注九、2、在合营企业或联营企业中的权益。</w:t>
      </w:r>
    </w:p>
    <w:p w:rsidR="00B72ACA" w:rsidRDefault="00674F05">
      <w:pPr>
        <w:pStyle w:val="3"/>
        <w:spacing w:line="280" w:lineRule="exact"/>
        <w:jc w:val="left"/>
        <w:rPr>
          <w:rFonts w:ascii="宋体" w:hAnsi="宋体" w:cs="宋体"/>
          <w:b/>
          <w:bCs/>
        </w:rPr>
      </w:pPr>
      <w:bookmarkStart w:id="291" w:name="_Toc989181"/>
      <w:r>
        <w:rPr>
          <w:rFonts w:ascii="宋体" w:hAnsi="宋体" w:cs="宋体"/>
          <w:b/>
          <w:bCs/>
        </w:rPr>
        <w:t>4、其他关联方情况</w:t>
      </w:r>
      <w:bookmarkEnd w:id="29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实际控制人的参股企业</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同一实际控制人</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联营企业</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华西华</w:t>
            </w:r>
            <w:proofErr w:type="gramEnd"/>
            <w:r>
              <w:rPr>
                <w:rFonts w:ascii="宋体" w:eastAsia="宋体" w:hAnsi="宋体" w:cs="宋体"/>
                <w:sz w:val="18"/>
                <w:szCs w:val="18"/>
              </w:rPr>
              <w:t>新针织品有限公司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同一母公司</w:t>
            </w:r>
          </w:p>
        </w:tc>
      </w:tr>
    </w:tbl>
    <w:p w:rsidR="00B72ACA" w:rsidRDefault="00674F05">
      <w:pPr>
        <w:pStyle w:val="3"/>
        <w:spacing w:line="280" w:lineRule="exact"/>
        <w:jc w:val="left"/>
        <w:rPr>
          <w:rFonts w:ascii="宋体" w:hAnsi="宋体" w:cs="宋体"/>
          <w:b/>
          <w:bCs/>
        </w:rPr>
      </w:pPr>
      <w:bookmarkStart w:id="292" w:name="_Toc989182"/>
      <w:r>
        <w:rPr>
          <w:rFonts w:ascii="宋体" w:hAnsi="宋体" w:cs="宋体"/>
          <w:b/>
          <w:bCs/>
        </w:rPr>
        <w:t>5、关联交易情况</w:t>
      </w:r>
      <w:bookmarkEnd w:id="292"/>
    </w:p>
    <w:p w:rsidR="00B72ACA" w:rsidRDefault="00674F05">
      <w:pPr>
        <w:keepNext/>
        <w:keepLines/>
        <w:spacing w:before="300" w:after="300" w:line="280" w:lineRule="exact"/>
        <w:outlineLvl w:val="3"/>
        <w:rPr>
          <w:rFonts w:ascii="宋体" w:eastAsia="宋体" w:hAnsi="宋体" w:cs="宋体"/>
          <w:b/>
          <w:bCs/>
          <w:szCs w:val="21"/>
        </w:rPr>
      </w:pPr>
      <w:bookmarkStart w:id="293" w:name="_Toc989183"/>
      <w:r>
        <w:rPr>
          <w:rFonts w:ascii="宋体" w:eastAsia="宋体" w:hAnsi="宋体" w:cs="宋体"/>
          <w:b/>
          <w:bCs/>
          <w:szCs w:val="21"/>
        </w:rPr>
        <w:t>（1） 购销商品、提供和接受劳务的关联交易</w:t>
      </w:r>
      <w:bookmarkEnd w:id="293"/>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rsidTr="00633F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0D4D72" w:rsidTr="00CA1AAF">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jc w:val="right"/>
              <w:rPr>
                <w:rFonts w:ascii="宋体" w:eastAsia="宋体" w:hAnsi="宋体" w:cs="宋体"/>
                <w:sz w:val="18"/>
                <w:szCs w:val="18"/>
              </w:rPr>
            </w:pPr>
            <w:r>
              <w:rPr>
                <w:rFonts w:ascii="宋体" w:eastAsia="宋体" w:hAnsi="宋体" w:cs="宋体"/>
                <w:sz w:val="18"/>
                <w:szCs w:val="18"/>
              </w:rPr>
              <w:t>26,199,377.95</w:t>
            </w:r>
          </w:p>
        </w:tc>
        <w:tc>
          <w:tcPr>
            <w:tcW w:w="1606" w:type="dxa"/>
            <w:vMerge w:val="restart"/>
            <w:tcBorders>
              <w:top w:val="single" w:sz="2" w:space="0" w:color="auto"/>
              <w:left w:val="single" w:sz="2" w:space="0" w:color="auto"/>
              <w:right w:val="single" w:sz="2" w:space="0" w:color="auto"/>
            </w:tcBorders>
            <w:vAlign w:val="center"/>
          </w:tcPr>
          <w:p w:rsidR="000D4D72" w:rsidRDefault="000D4D72" w:rsidP="00A64A59">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606" w:type="dxa"/>
            <w:vMerge w:val="restart"/>
            <w:tcBorders>
              <w:top w:val="single" w:sz="2" w:space="0" w:color="auto"/>
              <w:left w:val="single" w:sz="2" w:space="0" w:color="auto"/>
              <w:right w:val="single" w:sz="2" w:space="0" w:color="auto"/>
            </w:tcBorders>
            <w:vAlign w:val="center"/>
          </w:tcPr>
          <w:p w:rsidR="000D4D72" w:rsidRDefault="000D4D72" w:rsidP="00CA1AAF">
            <w:pPr>
              <w:spacing w:line="24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jc w:val="right"/>
              <w:rPr>
                <w:rFonts w:ascii="宋体" w:eastAsia="宋体" w:hAnsi="宋体" w:cs="宋体"/>
                <w:sz w:val="18"/>
                <w:szCs w:val="18"/>
              </w:rPr>
            </w:pPr>
            <w:r>
              <w:rPr>
                <w:rFonts w:ascii="宋体" w:eastAsia="宋体" w:hAnsi="宋体" w:cs="宋体"/>
                <w:sz w:val="18"/>
                <w:szCs w:val="18"/>
              </w:rPr>
              <w:t>27,598,586.66</w:t>
            </w:r>
          </w:p>
        </w:tc>
      </w:tr>
      <w:tr w:rsidR="000D4D72" w:rsidTr="00CA1AAF">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jc w:val="right"/>
              <w:rPr>
                <w:rFonts w:ascii="宋体" w:eastAsia="宋体" w:hAnsi="宋体" w:cs="宋体"/>
                <w:sz w:val="18"/>
                <w:szCs w:val="18"/>
              </w:rPr>
            </w:pPr>
            <w:r>
              <w:rPr>
                <w:rFonts w:ascii="宋体" w:eastAsia="宋体" w:hAnsi="宋体" w:cs="宋体"/>
                <w:sz w:val="18"/>
                <w:szCs w:val="18"/>
              </w:rPr>
              <w:t>23,139,932.51</w:t>
            </w:r>
          </w:p>
        </w:tc>
        <w:tc>
          <w:tcPr>
            <w:tcW w:w="1607" w:type="dxa"/>
            <w:vMerge/>
            <w:tcBorders>
              <w:left w:val="single" w:sz="2" w:space="0" w:color="auto"/>
              <w:bottom w:val="single" w:sz="2" w:space="0" w:color="auto"/>
              <w:right w:val="single" w:sz="2" w:space="0" w:color="auto"/>
            </w:tcBorders>
            <w:vAlign w:val="center"/>
          </w:tcPr>
          <w:p w:rsidR="000D4D72" w:rsidRDefault="000D4D72">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0D4D72" w:rsidRDefault="000D4D72">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0D4D72" w:rsidRDefault="000D4D72">
            <w:pPr>
              <w:spacing w:line="240" w:lineRule="exact"/>
              <w:jc w:val="right"/>
              <w:rPr>
                <w:rFonts w:ascii="宋体" w:eastAsia="宋体" w:hAnsi="宋体" w:cs="宋体"/>
                <w:sz w:val="18"/>
                <w:szCs w:val="18"/>
              </w:rPr>
            </w:pPr>
            <w:r>
              <w:rPr>
                <w:rFonts w:ascii="宋体" w:eastAsia="宋体" w:hAnsi="宋体" w:cs="宋体"/>
                <w:sz w:val="18"/>
                <w:szCs w:val="18"/>
              </w:rPr>
              <w:t>17,541,004.54</w:t>
            </w:r>
          </w:p>
        </w:tc>
      </w:tr>
      <w:tr w:rsidR="00B72ACA" w:rsidTr="00633F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江苏华西集团有限公司及其他下属子公司</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932,668.74</w:t>
            </w:r>
          </w:p>
        </w:tc>
        <w:tc>
          <w:tcPr>
            <w:tcW w:w="160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60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5,848,659.41</w:t>
            </w:r>
          </w:p>
        </w:tc>
      </w:tr>
    </w:tbl>
    <w:p w:rsidR="00B72ACA" w:rsidRDefault="00674F05">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19,780.28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91,061.32</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华西华</w:t>
            </w:r>
            <w:proofErr w:type="gramEnd"/>
            <w:r>
              <w:rPr>
                <w:rFonts w:ascii="宋体" w:eastAsia="宋体" w:hAnsi="宋体" w:cs="宋体"/>
                <w:sz w:val="18"/>
                <w:szCs w:val="18"/>
              </w:rPr>
              <w:t>新针织品有限公司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仓储费</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16,130.19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商品</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1,910,034.70</w:t>
            </w:r>
          </w:p>
        </w:tc>
      </w:tr>
    </w:tbl>
    <w:p w:rsidR="00B72ACA" w:rsidRDefault="00674F05">
      <w:pPr>
        <w:keepNext/>
        <w:keepLines/>
        <w:spacing w:before="300" w:after="300" w:line="280" w:lineRule="exact"/>
        <w:outlineLvl w:val="3"/>
        <w:rPr>
          <w:rFonts w:ascii="宋体" w:eastAsia="宋体" w:hAnsi="宋体" w:cs="宋体"/>
          <w:b/>
          <w:bCs/>
          <w:szCs w:val="21"/>
        </w:rPr>
      </w:pPr>
      <w:bookmarkStart w:id="294" w:name="_Toc989184"/>
      <w:r>
        <w:rPr>
          <w:rFonts w:ascii="宋体" w:eastAsia="宋体" w:hAnsi="宋体" w:cs="宋体"/>
          <w:b/>
          <w:bCs/>
          <w:szCs w:val="21"/>
        </w:rPr>
        <w:t>（2） 关联租赁情况</w:t>
      </w:r>
      <w:bookmarkEnd w:id="294"/>
    </w:p>
    <w:p w:rsidR="00B72ACA" w:rsidRDefault="00674F05">
      <w:pPr>
        <w:spacing w:before="100" w:after="40" w:line="240" w:lineRule="exact"/>
        <w:rPr>
          <w:rFonts w:ascii="宋体" w:eastAsia="宋体" w:hAnsi="宋体" w:cs="宋体"/>
          <w:sz w:val="18"/>
          <w:szCs w:val="18"/>
        </w:rPr>
      </w:pPr>
      <w:r>
        <w:rPr>
          <w:rFonts w:ascii="宋体" w:eastAsia="宋体" w:hAnsi="宋体" w:cs="宋体"/>
          <w:sz w:val="18"/>
          <w:szCs w:val="18"/>
        </w:rPr>
        <w:t>本公司作为承租方：</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B72ACA">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B72ACA">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803" w:type="dxa"/>
            <w:vMerge/>
            <w:tcBorders>
              <w:top w:val="single" w:sz="2" w:space="0" w:color="auto"/>
              <w:left w:val="single" w:sz="2" w:space="0" w:color="auto"/>
              <w:bottom w:val="single" w:sz="2" w:space="0" w:color="auto"/>
              <w:right w:val="single" w:sz="2" w:space="0" w:color="auto"/>
            </w:tcBorders>
            <w:vAlign w:val="center"/>
          </w:tcPr>
          <w:p w:rsidR="00B72ACA" w:rsidRDefault="00B72ACA"/>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w:t>
            </w:r>
            <w:r>
              <w:rPr>
                <w:rFonts w:ascii="宋体" w:eastAsia="宋体" w:hAnsi="宋体" w:cs="宋体"/>
                <w:sz w:val="18"/>
                <w:szCs w:val="18"/>
              </w:rPr>
              <w:lastRenderedPageBreak/>
              <w:t>西集团有限公司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土地使</w:t>
            </w:r>
            <w:r>
              <w:rPr>
                <w:rFonts w:ascii="宋体" w:eastAsia="宋体" w:hAnsi="宋体" w:cs="宋体"/>
                <w:sz w:val="18"/>
                <w:szCs w:val="18"/>
              </w:rPr>
              <w:lastRenderedPageBreak/>
              <w:t>用权</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35,560</w:t>
            </w:r>
            <w:r>
              <w:rPr>
                <w:rFonts w:ascii="宋体" w:eastAsia="宋体" w:hAnsi="宋体" w:cs="宋体"/>
                <w:sz w:val="18"/>
                <w:szCs w:val="18"/>
              </w:rPr>
              <w:lastRenderedPageBreak/>
              <w:t>.15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35,560</w:t>
            </w:r>
            <w:r>
              <w:rPr>
                <w:rFonts w:ascii="宋体" w:eastAsia="宋体" w:hAnsi="宋体" w:cs="宋体"/>
                <w:sz w:val="18"/>
                <w:szCs w:val="18"/>
              </w:rPr>
              <w:lastRenderedPageBreak/>
              <w:t>.15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35,560</w:t>
            </w:r>
            <w:r>
              <w:rPr>
                <w:rFonts w:ascii="宋体" w:eastAsia="宋体" w:hAnsi="宋体" w:cs="宋体"/>
                <w:sz w:val="18"/>
                <w:szCs w:val="18"/>
              </w:rPr>
              <w:lastRenderedPageBreak/>
              <w:t>.15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35,560</w:t>
            </w:r>
            <w:r>
              <w:rPr>
                <w:rFonts w:ascii="宋体" w:eastAsia="宋体" w:hAnsi="宋体" w:cs="宋体"/>
                <w:sz w:val="18"/>
                <w:szCs w:val="18"/>
              </w:rPr>
              <w:lastRenderedPageBreak/>
              <w:t>.15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江阴市华士镇华西新市村股份经济合作社</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房屋、土地使用权</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3,110,843.34</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2,884,455.30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3,110,843.34</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2,884,455.30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bl>
    <w:p w:rsidR="00B72ACA" w:rsidRDefault="00674F05">
      <w:pPr>
        <w:keepNext/>
        <w:keepLines/>
        <w:spacing w:before="300" w:after="300" w:line="280" w:lineRule="exact"/>
        <w:outlineLvl w:val="3"/>
        <w:rPr>
          <w:rFonts w:ascii="宋体" w:eastAsia="宋体" w:hAnsi="宋体" w:cs="宋体"/>
          <w:b/>
          <w:bCs/>
          <w:szCs w:val="21"/>
        </w:rPr>
      </w:pPr>
      <w:bookmarkStart w:id="295" w:name="_Toc989185"/>
      <w:r>
        <w:rPr>
          <w:rFonts w:ascii="宋体" w:eastAsia="宋体" w:hAnsi="宋体" w:cs="宋体"/>
          <w:b/>
          <w:bCs/>
          <w:szCs w:val="21"/>
        </w:rPr>
        <w:t>（3） 关联担保情况</w:t>
      </w:r>
      <w:bookmarkEnd w:id="295"/>
    </w:p>
    <w:p w:rsidR="00B72ACA" w:rsidRDefault="006A4BD5">
      <w:pPr>
        <w:spacing w:before="40" w:after="40" w:line="240" w:lineRule="exact"/>
        <w:rPr>
          <w:rFonts w:ascii="宋体" w:eastAsia="宋体" w:hAnsi="宋体" w:cs="宋体"/>
          <w:sz w:val="18"/>
          <w:szCs w:val="18"/>
        </w:rPr>
      </w:pPr>
      <w:r>
        <w:rPr>
          <w:rFonts w:ascii="宋体" w:eastAsia="宋体" w:hAnsi="宋体" w:cs="宋体" w:hint="eastAsia"/>
          <w:sz w:val="18"/>
          <w:szCs w:val="18"/>
        </w:rPr>
        <w:t>①</w:t>
      </w:r>
      <w:r w:rsidR="00674F05">
        <w:rPr>
          <w:rFonts w:ascii="宋体" w:eastAsia="宋体" w:hAnsi="宋体" w:cs="宋体"/>
          <w:sz w:val="18"/>
          <w:szCs w:val="18"/>
        </w:rPr>
        <w:t>本公司作为担保方</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2023年05月30日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2023年11月29日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2023年06月01日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2023年07月05日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2022年07月07日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2022年07月20日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2023年07月20日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2022年08月12日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99,960,000.00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2022年08月15日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2023年08月14日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2023年09月04日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195,000,000.00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2026年03月29日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2022年10月31日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2023年10月31日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31,100,000.00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2024年03月20日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2022年12月02日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2023年12月01日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2023年01月29日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2023年07月28日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6A4BD5">
            <w:pPr>
              <w:spacing w:line="360" w:lineRule="auto"/>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rsidP="006A4BD5">
            <w:pPr>
              <w:spacing w:line="360" w:lineRule="auto"/>
              <w:jc w:val="right"/>
              <w:rPr>
                <w:rFonts w:ascii="宋体" w:eastAsia="宋体" w:hAnsi="宋体" w:cs="宋体"/>
                <w:sz w:val="18"/>
                <w:szCs w:val="18"/>
              </w:rPr>
            </w:pPr>
            <w:r>
              <w:rPr>
                <w:rFonts w:ascii="宋体" w:eastAsia="宋体" w:hAnsi="宋体" w:cs="宋体"/>
                <w:sz w:val="18"/>
                <w:szCs w:val="18"/>
              </w:rPr>
              <w:t>1,061,060,000.00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rsidP="006A4BD5">
            <w:pPr>
              <w:spacing w:line="360" w:lineRule="auto"/>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rsidP="006A4BD5">
            <w:pPr>
              <w:spacing w:line="360" w:lineRule="auto"/>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rsidP="006A4BD5">
            <w:pPr>
              <w:spacing w:line="360" w:lineRule="auto"/>
              <w:rPr>
                <w:rFonts w:ascii="宋体" w:eastAsia="宋体" w:hAnsi="宋体" w:cs="宋体"/>
                <w:sz w:val="18"/>
                <w:szCs w:val="18"/>
              </w:rPr>
            </w:pPr>
          </w:p>
        </w:tc>
      </w:tr>
    </w:tbl>
    <w:p w:rsidR="000D4D72" w:rsidRDefault="000D4D72" w:rsidP="000D4D72">
      <w:pPr>
        <w:spacing w:before="100" w:after="40" w:line="240" w:lineRule="exact"/>
        <w:ind w:firstLineChars="200" w:firstLine="360"/>
        <w:rPr>
          <w:rFonts w:ascii="宋体" w:eastAsia="宋体" w:hAnsi="宋体" w:cs="宋体"/>
          <w:sz w:val="18"/>
          <w:szCs w:val="18"/>
        </w:rPr>
      </w:pPr>
      <w:r>
        <w:rPr>
          <w:rFonts w:ascii="宋体" w:eastAsia="宋体" w:hAnsi="宋体" w:cs="宋体" w:hint="eastAsia"/>
          <w:sz w:val="18"/>
          <w:szCs w:val="18"/>
        </w:rPr>
        <w:t>截至报告</w:t>
      </w:r>
      <w:r w:rsidR="00A303DA">
        <w:rPr>
          <w:rFonts w:ascii="宋体" w:eastAsia="宋体" w:hAnsi="宋体" w:cs="宋体" w:hint="eastAsia"/>
          <w:sz w:val="18"/>
          <w:szCs w:val="18"/>
        </w:rPr>
        <w:t>日，公司对江苏华西集团有限公司及关联人实际担保总额为8.611亿元。</w:t>
      </w:r>
    </w:p>
    <w:p w:rsidR="00A303DA" w:rsidRDefault="00A303DA" w:rsidP="000D4D72">
      <w:pPr>
        <w:spacing w:before="100" w:after="40" w:line="240" w:lineRule="exact"/>
        <w:ind w:firstLineChars="200" w:firstLine="360"/>
        <w:rPr>
          <w:rFonts w:ascii="宋体" w:eastAsia="宋体" w:hAnsi="宋体" w:cs="宋体"/>
          <w:sz w:val="18"/>
          <w:szCs w:val="18"/>
        </w:rPr>
      </w:pPr>
    </w:p>
    <w:p w:rsidR="00A303DA" w:rsidRDefault="00A303DA" w:rsidP="000D4D72">
      <w:pPr>
        <w:spacing w:before="100" w:after="40" w:line="240" w:lineRule="exact"/>
        <w:ind w:firstLineChars="200" w:firstLine="360"/>
        <w:rPr>
          <w:rFonts w:ascii="宋体" w:eastAsia="宋体" w:hAnsi="宋体" w:cs="宋体"/>
          <w:sz w:val="18"/>
          <w:szCs w:val="18"/>
        </w:rPr>
      </w:pPr>
    </w:p>
    <w:p w:rsidR="00B72ACA" w:rsidRDefault="006A4BD5">
      <w:pPr>
        <w:spacing w:before="100" w:after="40" w:line="240" w:lineRule="exact"/>
        <w:rPr>
          <w:rFonts w:ascii="宋体" w:eastAsia="宋体" w:hAnsi="宋体" w:cs="宋体"/>
          <w:sz w:val="18"/>
          <w:szCs w:val="18"/>
        </w:rPr>
      </w:pPr>
      <w:r>
        <w:rPr>
          <w:rFonts w:ascii="宋体" w:eastAsia="宋体" w:hAnsi="宋体" w:cs="宋体" w:hint="eastAsia"/>
          <w:sz w:val="18"/>
          <w:szCs w:val="18"/>
        </w:rPr>
        <w:t>②</w:t>
      </w:r>
      <w:r w:rsidR="00674F05">
        <w:rPr>
          <w:rFonts w:ascii="宋体" w:eastAsia="宋体" w:hAnsi="宋体" w:cs="宋体"/>
          <w:sz w:val="18"/>
          <w:szCs w:val="18"/>
        </w:rPr>
        <w:t>本公司作为被担保方</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A303DA" w:rsidTr="00CA1AAF">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A303DA" w:rsidRDefault="00A303DA">
            <w:pPr>
              <w:spacing w:line="240" w:lineRule="exact"/>
              <w:rPr>
                <w:rFonts w:ascii="宋体" w:eastAsia="宋体" w:hAnsi="宋体" w:cs="宋体"/>
                <w:sz w:val="18"/>
                <w:szCs w:val="18"/>
              </w:rPr>
            </w:pPr>
            <w:r>
              <w:rPr>
                <w:rFonts w:ascii="宋体" w:eastAsia="宋体" w:hAnsi="宋体" w:cs="宋体"/>
                <w:sz w:val="18"/>
                <w:szCs w:val="18"/>
              </w:rPr>
              <w:t>短期借款：</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2023年03月07日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2023年09月05日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88,000,000.00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2022年09月07日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2023年01月06日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2024年01月04日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34,000,000.00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2023年02月16日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2024年02月15日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2023年02月22日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2024年02月21日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2023年04月13日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2024年04月10日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2023年05月15日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2024年05月11日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2023年05月29日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2024年05月24日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2024年06月26日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2023年02月10日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2023年08月08日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74,000,000.00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2023年05月10日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2023年11月06日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2023年06月09日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2023年12月06日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2023年06月29日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2023年12月26日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62,500,000.00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2022年07月11日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2023年07月08日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2023年03月23日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2023年08月23日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2023年04月23日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2023年10月23日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2023年06月15日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2023年12月15日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A303DA" w:rsidTr="00CA1AAF">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A303DA" w:rsidRDefault="00A303DA">
            <w:pPr>
              <w:spacing w:line="240" w:lineRule="exact"/>
              <w:rPr>
                <w:rFonts w:ascii="宋体" w:eastAsia="宋体" w:hAnsi="宋体" w:cs="宋体"/>
                <w:sz w:val="18"/>
                <w:szCs w:val="18"/>
              </w:rPr>
            </w:pPr>
            <w:r>
              <w:rPr>
                <w:rFonts w:ascii="宋体" w:eastAsia="宋体" w:hAnsi="宋体" w:cs="宋体"/>
                <w:sz w:val="18"/>
                <w:szCs w:val="18"/>
              </w:rPr>
              <w:t>应付账款——国际信用证：</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3,899,764.26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2023年05月18日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2023年08月22日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否</w:t>
            </w:r>
          </w:p>
        </w:tc>
      </w:tr>
      <w:tr w:rsidR="00B72ACA" w:rsidTr="00A303D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798,399,764.26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bl>
    <w:p w:rsidR="00B72ACA" w:rsidRDefault="00674F05">
      <w:pPr>
        <w:keepNext/>
        <w:keepLines/>
        <w:spacing w:before="300" w:after="300" w:line="280" w:lineRule="exact"/>
        <w:outlineLvl w:val="3"/>
        <w:rPr>
          <w:rFonts w:ascii="宋体" w:eastAsia="宋体" w:hAnsi="宋体" w:cs="宋体"/>
          <w:b/>
          <w:bCs/>
          <w:szCs w:val="21"/>
        </w:rPr>
      </w:pPr>
      <w:bookmarkStart w:id="296" w:name="_Toc989186"/>
      <w:r>
        <w:rPr>
          <w:rFonts w:ascii="宋体" w:eastAsia="宋体" w:hAnsi="宋体" w:cs="宋体"/>
          <w:b/>
          <w:bCs/>
          <w:szCs w:val="21"/>
        </w:rPr>
        <w:t>（4） 关键管理人员报酬</w:t>
      </w:r>
      <w:bookmarkEnd w:id="29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1,195,794.00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1,625,000.00</w:t>
            </w:r>
          </w:p>
        </w:tc>
      </w:tr>
    </w:tbl>
    <w:p w:rsidR="00B72ACA" w:rsidRDefault="00674F05">
      <w:pPr>
        <w:keepNext/>
        <w:keepLines/>
        <w:spacing w:before="300" w:after="300" w:line="280" w:lineRule="exact"/>
        <w:outlineLvl w:val="3"/>
        <w:rPr>
          <w:rFonts w:ascii="宋体" w:eastAsia="宋体" w:hAnsi="宋体" w:cs="宋体"/>
          <w:b/>
          <w:bCs/>
          <w:szCs w:val="21"/>
        </w:rPr>
      </w:pPr>
      <w:bookmarkStart w:id="297" w:name="_Toc989187"/>
      <w:r>
        <w:rPr>
          <w:rFonts w:ascii="宋体" w:eastAsia="宋体" w:hAnsi="宋体" w:cs="宋体"/>
          <w:b/>
          <w:bCs/>
          <w:szCs w:val="21"/>
        </w:rPr>
        <w:t>（5） 其他关联交易</w:t>
      </w:r>
      <w:bookmarkEnd w:id="297"/>
    </w:p>
    <w:p w:rsidR="00A303DA" w:rsidRDefault="00A303DA">
      <w:pPr>
        <w:pStyle w:val="a3"/>
        <w:divId w:val="1921863365"/>
        <w:rPr>
          <w:sz w:val="18"/>
          <w:szCs w:val="18"/>
        </w:rPr>
      </w:pPr>
    </w:p>
    <w:p w:rsidR="00674F05" w:rsidRDefault="00674F05" w:rsidP="00A303DA">
      <w:pPr>
        <w:pStyle w:val="a3"/>
        <w:ind w:firstLineChars="200" w:firstLine="360"/>
        <w:divId w:val="1921863365"/>
        <w:rPr>
          <w:sz w:val="18"/>
          <w:szCs w:val="18"/>
        </w:rPr>
      </w:pPr>
      <w:r>
        <w:rPr>
          <w:rFonts w:hint="eastAsia"/>
          <w:sz w:val="18"/>
          <w:szCs w:val="18"/>
        </w:rPr>
        <w:lastRenderedPageBreak/>
        <w:t>关联方存款：                                        </w:t>
      </w:r>
      <w:r w:rsidR="00A303DA">
        <w:rPr>
          <w:rFonts w:hint="eastAsia"/>
          <w:sz w:val="18"/>
          <w:szCs w:val="18"/>
        </w:rPr>
        <w:t xml:space="preserve">            </w:t>
      </w:r>
      <w:r>
        <w:rPr>
          <w:rFonts w:hint="eastAsia"/>
          <w:sz w:val="18"/>
          <w:szCs w:val="18"/>
        </w:rPr>
        <w:t>单位：元</w:t>
      </w:r>
    </w:p>
    <w:tbl>
      <w:tblPr>
        <w:tblW w:w="4914" w:type="pct"/>
        <w:tblCellMar>
          <w:left w:w="0" w:type="dxa"/>
          <w:right w:w="0" w:type="dxa"/>
        </w:tblCellMar>
        <w:tblLook w:val="04A0" w:firstRow="1" w:lastRow="0" w:firstColumn="1" w:lastColumn="0" w:noHBand="0" w:noVBand="1"/>
      </w:tblPr>
      <w:tblGrid>
        <w:gridCol w:w="1304"/>
        <w:gridCol w:w="2552"/>
        <w:gridCol w:w="993"/>
        <w:gridCol w:w="1842"/>
        <w:gridCol w:w="1842"/>
        <w:gridCol w:w="993"/>
      </w:tblGrid>
      <w:tr w:rsidR="00A303DA" w:rsidTr="00A303DA">
        <w:trPr>
          <w:divId w:val="1921863365"/>
          <w:trHeight w:val="660"/>
          <w:tblHeader/>
        </w:trPr>
        <w:tc>
          <w:tcPr>
            <w:tcW w:w="6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项目名称</w:t>
            </w:r>
          </w:p>
        </w:tc>
        <w:tc>
          <w:tcPr>
            <w:tcW w:w="133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关联方</w:t>
            </w:r>
          </w:p>
        </w:tc>
        <w:tc>
          <w:tcPr>
            <w:tcW w:w="52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rsidP="00A303DA">
            <w:pPr>
              <w:pStyle w:val="a3"/>
              <w:spacing w:before="0" w:beforeAutospacing="0" w:after="0" w:afterAutospacing="0"/>
              <w:rPr>
                <w:rFonts w:ascii="Times New Roman" w:hAnsi="Times New Roman" w:cs="Times New Roman"/>
                <w:sz w:val="21"/>
                <w:szCs w:val="21"/>
              </w:rPr>
            </w:pPr>
            <w:r>
              <w:rPr>
                <w:rFonts w:cs="Times New Roman" w:hint="eastAsia"/>
                <w:sz w:val="18"/>
                <w:szCs w:val="18"/>
              </w:rPr>
              <w:t>期初余额 </w:t>
            </w:r>
          </w:p>
        </w:tc>
        <w:tc>
          <w:tcPr>
            <w:tcW w:w="96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本期借方</w:t>
            </w:r>
          </w:p>
        </w:tc>
        <w:tc>
          <w:tcPr>
            <w:tcW w:w="96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本期贷方</w:t>
            </w:r>
          </w:p>
        </w:tc>
        <w:tc>
          <w:tcPr>
            <w:tcW w:w="52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r>
      <w:tr w:rsidR="00A303DA" w:rsidTr="00A303DA">
        <w:trPr>
          <w:divId w:val="1921863365"/>
          <w:trHeight w:val="345"/>
        </w:trPr>
        <w:tc>
          <w:tcPr>
            <w:tcW w:w="684"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货币资金</w:t>
            </w:r>
          </w:p>
        </w:tc>
        <w:tc>
          <w:tcPr>
            <w:tcW w:w="133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江苏华西集团财务有限公司</w:t>
            </w:r>
          </w:p>
        </w:tc>
        <w:tc>
          <w:tcPr>
            <w:tcW w:w="52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c>
          <w:tcPr>
            <w:tcW w:w="96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1,134,236,051.97</w:t>
            </w:r>
          </w:p>
        </w:tc>
        <w:tc>
          <w:tcPr>
            <w:tcW w:w="967"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1,134,236,051.93</w:t>
            </w:r>
          </w:p>
        </w:tc>
        <w:tc>
          <w:tcPr>
            <w:tcW w:w="52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0.04</w:t>
            </w:r>
          </w:p>
        </w:tc>
      </w:tr>
    </w:tbl>
    <w:p w:rsidR="00674F05" w:rsidRDefault="00674F05">
      <w:pPr>
        <w:pStyle w:val="a3"/>
        <w:spacing w:before="0" w:beforeAutospacing="0" w:after="0" w:afterAutospacing="0" w:line="400" w:lineRule="atLeast"/>
        <w:ind w:firstLine="360"/>
        <w:jc w:val="both"/>
        <w:divId w:val="1921863365"/>
        <w:rPr>
          <w:rFonts w:ascii="Times New Roman" w:hAnsi="Times New Roman" w:cs="Times New Roman"/>
          <w:sz w:val="21"/>
          <w:szCs w:val="21"/>
        </w:rPr>
      </w:pPr>
      <w:r>
        <w:rPr>
          <w:rFonts w:cs="Times New Roman" w:hint="eastAsia"/>
          <w:sz w:val="18"/>
          <w:szCs w:val="18"/>
        </w:rPr>
        <w:t>2023年上半年度，公司收取在江苏华西集团财务有限公司的存款利息336,052.10元。</w:t>
      </w:r>
    </w:p>
    <w:p w:rsidR="00B72ACA" w:rsidRDefault="00674F05">
      <w:pPr>
        <w:pStyle w:val="3"/>
        <w:spacing w:line="280" w:lineRule="exact"/>
        <w:jc w:val="left"/>
        <w:rPr>
          <w:rFonts w:ascii="宋体" w:hAnsi="宋体" w:cs="宋体"/>
          <w:b/>
          <w:bCs/>
        </w:rPr>
      </w:pPr>
      <w:bookmarkStart w:id="298" w:name="_Toc989188"/>
      <w:r>
        <w:rPr>
          <w:rFonts w:ascii="宋体" w:hAnsi="宋体" w:cs="宋体"/>
          <w:b/>
          <w:bCs/>
        </w:rPr>
        <w:t>6、关联方应收应付款项</w:t>
      </w:r>
      <w:bookmarkEnd w:id="298"/>
    </w:p>
    <w:p w:rsidR="00B72ACA" w:rsidRDefault="00674F05">
      <w:pPr>
        <w:keepNext/>
        <w:keepLines/>
        <w:spacing w:before="300" w:after="300" w:line="280" w:lineRule="exact"/>
        <w:outlineLvl w:val="3"/>
        <w:rPr>
          <w:rFonts w:ascii="宋体" w:eastAsia="宋体" w:hAnsi="宋体" w:cs="宋体"/>
          <w:b/>
          <w:bCs/>
          <w:szCs w:val="21"/>
        </w:rPr>
      </w:pPr>
      <w:bookmarkStart w:id="299" w:name="_Toc989189"/>
      <w:r>
        <w:rPr>
          <w:rFonts w:ascii="宋体" w:eastAsia="宋体" w:hAnsi="宋体" w:cs="宋体"/>
          <w:b/>
          <w:bCs/>
          <w:szCs w:val="21"/>
        </w:rPr>
        <w:t>（1） 应收项目</w:t>
      </w:r>
      <w:bookmarkEnd w:id="299"/>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B72ACA">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20,967.10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1,048.36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108,997.40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5,449.87</w:t>
            </w:r>
          </w:p>
        </w:tc>
      </w:tr>
    </w:tbl>
    <w:p w:rsidR="00B72ACA" w:rsidRDefault="00674F05">
      <w:pPr>
        <w:pStyle w:val="2"/>
        <w:spacing w:before="300" w:after="300" w:line="320" w:lineRule="exact"/>
        <w:rPr>
          <w:rFonts w:ascii="宋体" w:eastAsia="宋体" w:hAnsi="宋体" w:cs="宋体"/>
          <w:b/>
          <w:bCs/>
          <w:sz w:val="24"/>
          <w:szCs w:val="24"/>
        </w:rPr>
      </w:pPr>
      <w:bookmarkStart w:id="300" w:name="_Toc989190"/>
      <w:r>
        <w:rPr>
          <w:rFonts w:ascii="宋体" w:eastAsia="宋体" w:hAnsi="宋体" w:cs="宋体"/>
          <w:b/>
          <w:bCs/>
          <w:sz w:val="24"/>
          <w:szCs w:val="24"/>
        </w:rPr>
        <w:t>十三、股份支付</w:t>
      </w:r>
      <w:bookmarkEnd w:id="300"/>
    </w:p>
    <w:p w:rsidR="00B72ACA" w:rsidRDefault="00674F05">
      <w:pPr>
        <w:pStyle w:val="3"/>
        <w:spacing w:line="280" w:lineRule="exact"/>
        <w:jc w:val="left"/>
        <w:rPr>
          <w:rFonts w:ascii="宋体" w:hAnsi="宋体" w:cs="宋体"/>
          <w:b/>
          <w:bCs/>
        </w:rPr>
      </w:pPr>
      <w:bookmarkStart w:id="301" w:name="_Toc989191"/>
      <w:r>
        <w:rPr>
          <w:rFonts w:ascii="宋体" w:hAnsi="宋体" w:cs="宋体"/>
          <w:b/>
          <w:bCs/>
        </w:rPr>
        <w:t>1、股份支付总体情况</w:t>
      </w:r>
      <w:bookmarkEnd w:id="301"/>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302" w:name="_Toc989192"/>
      <w:r>
        <w:rPr>
          <w:rFonts w:ascii="宋体" w:hAnsi="宋体" w:cs="宋体"/>
          <w:b/>
          <w:bCs/>
        </w:rPr>
        <w:t>2、以权益结算的股份支付情况</w:t>
      </w:r>
      <w:bookmarkEnd w:id="302"/>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3"/>
        <w:spacing w:line="280" w:lineRule="exact"/>
        <w:jc w:val="left"/>
        <w:rPr>
          <w:rFonts w:ascii="宋体" w:hAnsi="宋体" w:cs="宋体"/>
          <w:b/>
          <w:bCs/>
        </w:rPr>
      </w:pPr>
      <w:bookmarkStart w:id="303" w:name="_Toc989193"/>
      <w:r>
        <w:rPr>
          <w:rFonts w:ascii="宋体" w:hAnsi="宋体" w:cs="宋体"/>
          <w:b/>
          <w:bCs/>
        </w:rPr>
        <w:t>3、以现金结算的股份支付情况</w:t>
      </w:r>
      <w:bookmarkEnd w:id="303"/>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pStyle w:val="2"/>
        <w:spacing w:before="300" w:after="300" w:line="320" w:lineRule="exact"/>
        <w:rPr>
          <w:rFonts w:ascii="宋体" w:eastAsia="宋体" w:hAnsi="宋体" w:cs="宋体"/>
          <w:b/>
          <w:bCs/>
          <w:sz w:val="24"/>
          <w:szCs w:val="24"/>
        </w:rPr>
      </w:pPr>
      <w:bookmarkStart w:id="304" w:name="_Toc989194"/>
      <w:r>
        <w:rPr>
          <w:rFonts w:ascii="宋体" w:eastAsia="宋体" w:hAnsi="宋体" w:cs="宋体"/>
          <w:b/>
          <w:bCs/>
          <w:sz w:val="24"/>
          <w:szCs w:val="24"/>
        </w:rPr>
        <w:t>十四、承诺及或有事项</w:t>
      </w:r>
      <w:bookmarkEnd w:id="304"/>
    </w:p>
    <w:p w:rsidR="00B72ACA" w:rsidRDefault="00674F05">
      <w:pPr>
        <w:pStyle w:val="3"/>
        <w:spacing w:line="280" w:lineRule="exact"/>
        <w:jc w:val="left"/>
        <w:rPr>
          <w:rFonts w:ascii="宋体" w:hAnsi="宋体" w:cs="宋体"/>
          <w:b/>
          <w:bCs/>
        </w:rPr>
      </w:pPr>
      <w:bookmarkStart w:id="305" w:name="_Toc989195"/>
      <w:r>
        <w:rPr>
          <w:rFonts w:ascii="宋体" w:hAnsi="宋体" w:cs="宋体"/>
          <w:b/>
          <w:bCs/>
        </w:rPr>
        <w:t>1、重要承诺事项</w:t>
      </w:r>
      <w:bookmarkEnd w:id="305"/>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rsidR="00674F05" w:rsidRDefault="00674F05">
      <w:pPr>
        <w:pStyle w:val="a3"/>
        <w:spacing w:before="0" w:beforeAutospacing="0" w:after="0" w:afterAutospacing="0" w:line="400" w:lineRule="atLeast"/>
        <w:ind w:firstLine="360"/>
        <w:jc w:val="both"/>
        <w:divId w:val="131363471"/>
        <w:rPr>
          <w:rFonts w:ascii="Times New Roman" w:hAnsi="Times New Roman" w:cs="Times New Roman"/>
          <w:sz w:val="21"/>
          <w:szCs w:val="21"/>
        </w:rPr>
      </w:pPr>
      <w:r>
        <w:rPr>
          <w:rFonts w:cs="Times New Roman" w:hint="eastAsia"/>
          <w:sz w:val="18"/>
          <w:szCs w:val="18"/>
        </w:rPr>
        <w:t>截至2023年6月30日，本公司无需要披露的重大承诺事项。</w:t>
      </w:r>
    </w:p>
    <w:p w:rsidR="00B72ACA" w:rsidRDefault="00674F05">
      <w:pPr>
        <w:pStyle w:val="3"/>
        <w:spacing w:line="280" w:lineRule="exact"/>
        <w:jc w:val="left"/>
        <w:rPr>
          <w:rFonts w:ascii="宋体" w:hAnsi="宋体" w:cs="宋体"/>
          <w:b/>
          <w:bCs/>
        </w:rPr>
      </w:pPr>
      <w:bookmarkStart w:id="306" w:name="_Toc989196"/>
      <w:r>
        <w:rPr>
          <w:rFonts w:ascii="宋体" w:hAnsi="宋体" w:cs="宋体"/>
          <w:b/>
          <w:bCs/>
        </w:rPr>
        <w:t>2、或有事项</w:t>
      </w:r>
      <w:bookmarkEnd w:id="306"/>
    </w:p>
    <w:p w:rsidR="00B72ACA" w:rsidRDefault="00674F05">
      <w:pPr>
        <w:keepNext/>
        <w:keepLines/>
        <w:spacing w:before="300" w:after="300" w:line="280" w:lineRule="exact"/>
        <w:outlineLvl w:val="3"/>
        <w:rPr>
          <w:rFonts w:ascii="宋体" w:eastAsia="宋体" w:hAnsi="宋体" w:cs="宋体"/>
          <w:b/>
          <w:bCs/>
          <w:szCs w:val="21"/>
        </w:rPr>
      </w:pPr>
      <w:bookmarkStart w:id="307" w:name="_Toc989197"/>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307"/>
    </w:p>
    <w:p w:rsidR="00674F05" w:rsidRDefault="00674F05">
      <w:pPr>
        <w:pStyle w:val="a3"/>
        <w:spacing w:before="0" w:beforeAutospacing="0" w:after="0" w:afterAutospacing="0" w:line="400" w:lineRule="atLeast"/>
        <w:ind w:firstLine="360"/>
        <w:jc w:val="both"/>
        <w:divId w:val="290522363"/>
        <w:rPr>
          <w:rFonts w:ascii="Times New Roman" w:hAnsi="Times New Roman" w:cs="Times New Roman"/>
          <w:sz w:val="21"/>
          <w:szCs w:val="21"/>
        </w:rPr>
      </w:pPr>
      <w:r>
        <w:rPr>
          <w:rFonts w:cs="Times New Roman" w:hint="eastAsia"/>
          <w:sz w:val="18"/>
          <w:szCs w:val="18"/>
        </w:rPr>
        <w:t>（1）为其他单位提供债务担保形成的或有负债及其财务影响</w:t>
      </w:r>
    </w:p>
    <w:p w:rsidR="00674F05" w:rsidRDefault="00674F05">
      <w:pPr>
        <w:pStyle w:val="a3"/>
        <w:spacing w:before="0" w:beforeAutospacing="0" w:after="0" w:afterAutospacing="0" w:line="400" w:lineRule="atLeast"/>
        <w:ind w:firstLine="360"/>
        <w:jc w:val="both"/>
        <w:divId w:val="290522363"/>
        <w:rPr>
          <w:rFonts w:ascii="Times New Roman" w:hAnsi="Times New Roman" w:cs="Times New Roman"/>
          <w:sz w:val="21"/>
          <w:szCs w:val="21"/>
        </w:rPr>
      </w:pPr>
      <w:r>
        <w:rPr>
          <w:rFonts w:cs="Times New Roman" w:hint="eastAsia"/>
          <w:sz w:val="18"/>
          <w:szCs w:val="18"/>
        </w:rPr>
        <w:t>①为子公司提供担保：</w:t>
      </w:r>
    </w:p>
    <w:p w:rsidR="00674F05" w:rsidRDefault="00674F05">
      <w:pPr>
        <w:pStyle w:val="a3"/>
        <w:spacing w:before="0" w:beforeAutospacing="0" w:after="0" w:afterAutospacing="0" w:line="400" w:lineRule="atLeast"/>
        <w:ind w:firstLine="360"/>
        <w:jc w:val="both"/>
        <w:divId w:val="290522363"/>
        <w:rPr>
          <w:rFonts w:ascii="Times New Roman" w:hAnsi="Times New Roman" w:cs="Times New Roman"/>
          <w:sz w:val="21"/>
          <w:szCs w:val="21"/>
        </w:rPr>
      </w:pPr>
      <w:r>
        <w:rPr>
          <w:rFonts w:cs="Times New Roman" w:hint="eastAsia"/>
          <w:sz w:val="18"/>
          <w:szCs w:val="18"/>
        </w:rPr>
        <w:lastRenderedPageBreak/>
        <w:t>报告期内，公司为江阴华西化工码头有限公司甲醇、苯乙烯指定交割库业务提供了担保。截至2023年6月30日</w:t>
      </w:r>
      <w:r w:rsidR="00A303DA">
        <w:rPr>
          <w:rFonts w:cs="Times New Roman" w:hint="eastAsia"/>
          <w:sz w:val="18"/>
          <w:szCs w:val="18"/>
        </w:rPr>
        <w:t>，</w:t>
      </w:r>
      <w:r>
        <w:rPr>
          <w:rFonts w:cs="Times New Roman" w:hint="eastAsia"/>
          <w:sz w:val="18"/>
          <w:szCs w:val="18"/>
        </w:rPr>
        <w:t>江阴华西化工码头有限公司没有因上述指定库交割业务产生任何债务，公司实际担保金额为零元。</w:t>
      </w:r>
    </w:p>
    <w:p w:rsidR="00674F05" w:rsidRDefault="00674F05">
      <w:pPr>
        <w:pStyle w:val="a3"/>
        <w:spacing w:before="0" w:beforeAutospacing="0" w:after="0" w:afterAutospacing="0" w:line="400" w:lineRule="atLeast"/>
        <w:ind w:firstLine="360"/>
        <w:jc w:val="both"/>
        <w:divId w:val="290522363"/>
        <w:rPr>
          <w:rFonts w:ascii="Times New Roman" w:hAnsi="Times New Roman" w:cs="Times New Roman"/>
          <w:sz w:val="21"/>
          <w:szCs w:val="21"/>
        </w:rPr>
      </w:pPr>
      <w:r>
        <w:rPr>
          <w:rFonts w:cs="Times New Roman" w:hint="eastAsia"/>
          <w:sz w:val="18"/>
          <w:szCs w:val="18"/>
        </w:rPr>
        <w:t>②公司为其他单位提供担保情况见附注十二、5、（3）、①所述。</w:t>
      </w:r>
    </w:p>
    <w:p w:rsidR="00674F05" w:rsidRDefault="00674F05">
      <w:pPr>
        <w:pStyle w:val="a3"/>
        <w:spacing w:before="0" w:beforeAutospacing="0" w:after="0" w:afterAutospacing="0" w:line="400" w:lineRule="atLeast"/>
        <w:ind w:firstLine="360"/>
        <w:jc w:val="both"/>
        <w:divId w:val="290522363"/>
        <w:rPr>
          <w:rFonts w:ascii="Times New Roman" w:hAnsi="Times New Roman" w:cs="Times New Roman"/>
          <w:sz w:val="21"/>
          <w:szCs w:val="21"/>
        </w:rPr>
      </w:pPr>
      <w:r>
        <w:rPr>
          <w:rFonts w:cs="Times New Roman" w:hint="eastAsia"/>
          <w:sz w:val="18"/>
          <w:szCs w:val="18"/>
        </w:rPr>
        <w:t>（2）与合营企业或联营企业投资相关的或有负债</w:t>
      </w:r>
    </w:p>
    <w:p w:rsidR="00674F05" w:rsidRDefault="00674F05">
      <w:pPr>
        <w:pStyle w:val="a3"/>
        <w:spacing w:before="0" w:beforeAutospacing="0" w:after="0" w:afterAutospacing="0" w:line="400" w:lineRule="atLeast"/>
        <w:ind w:firstLine="360"/>
        <w:jc w:val="both"/>
        <w:divId w:val="290522363"/>
        <w:rPr>
          <w:rFonts w:ascii="Times New Roman" w:hAnsi="Times New Roman" w:cs="Times New Roman"/>
          <w:sz w:val="21"/>
          <w:szCs w:val="21"/>
        </w:rPr>
      </w:pPr>
      <w:r>
        <w:rPr>
          <w:rFonts w:cs="Times New Roman" w:hint="eastAsia"/>
          <w:sz w:val="18"/>
          <w:szCs w:val="18"/>
        </w:rPr>
        <w:t>参见“附注九、在其他主体中权益”部分。</w:t>
      </w:r>
    </w:p>
    <w:p w:rsidR="00B72ACA" w:rsidRDefault="00674F05">
      <w:pPr>
        <w:keepNext/>
        <w:keepLines/>
        <w:spacing w:before="300" w:after="300" w:line="280" w:lineRule="exact"/>
        <w:outlineLvl w:val="3"/>
        <w:rPr>
          <w:rFonts w:ascii="宋体" w:eastAsia="宋体" w:hAnsi="宋体" w:cs="宋体"/>
          <w:b/>
          <w:bCs/>
          <w:szCs w:val="21"/>
        </w:rPr>
      </w:pPr>
      <w:bookmarkStart w:id="308" w:name="_Toc989198"/>
      <w:r>
        <w:rPr>
          <w:rFonts w:ascii="宋体" w:eastAsia="宋体" w:hAnsi="宋体" w:cs="宋体"/>
          <w:b/>
          <w:bCs/>
          <w:szCs w:val="21"/>
        </w:rPr>
        <w:t>（2） 公司没有需要披露的重要或有事项，也应予以说明</w:t>
      </w:r>
      <w:bookmarkEnd w:id="308"/>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B72ACA" w:rsidRDefault="00674F05">
      <w:pPr>
        <w:pStyle w:val="2"/>
        <w:spacing w:before="300" w:after="300" w:line="320" w:lineRule="exact"/>
        <w:rPr>
          <w:rFonts w:ascii="宋体" w:eastAsia="宋体" w:hAnsi="宋体" w:cs="宋体"/>
          <w:b/>
          <w:bCs/>
          <w:sz w:val="24"/>
          <w:szCs w:val="24"/>
        </w:rPr>
      </w:pPr>
      <w:bookmarkStart w:id="309" w:name="_Toc989199"/>
      <w:r>
        <w:rPr>
          <w:rFonts w:ascii="宋体" w:eastAsia="宋体" w:hAnsi="宋体" w:cs="宋体"/>
          <w:b/>
          <w:bCs/>
          <w:sz w:val="24"/>
          <w:szCs w:val="24"/>
        </w:rPr>
        <w:t>十五、资产负债表日后事项</w:t>
      </w:r>
      <w:bookmarkEnd w:id="309"/>
    </w:p>
    <w:p w:rsidR="00B72ACA" w:rsidRDefault="00674F05">
      <w:pPr>
        <w:pStyle w:val="3"/>
        <w:spacing w:line="280" w:lineRule="exact"/>
        <w:jc w:val="left"/>
        <w:rPr>
          <w:rFonts w:ascii="宋体" w:hAnsi="宋体" w:cs="宋体"/>
          <w:b/>
          <w:bCs/>
        </w:rPr>
      </w:pPr>
      <w:bookmarkStart w:id="310" w:name="_Toc989200"/>
      <w:r>
        <w:rPr>
          <w:rFonts w:ascii="宋体" w:hAnsi="宋体" w:cs="宋体"/>
          <w:b/>
          <w:bCs/>
        </w:rPr>
        <w:t>1、其他资产负债表日后事项说明</w:t>
      </w:r>
      <w:bookmarkEnd w:id="310"/>
    </w:p>
    <w:p w:rsidR="00674F05" w:rsidRDefault="00674F05">
      <w:pPr>
        <w:pStyle w:val="a3"/>
        <w:spacing w:before="0" w:beforeAutospacing="0" w:after="0" w:afterAutospacing="0" w:line="400" w:lineRule="atLeast"/>
        <w:ind w:firstLine="360"/>
        <w:jc w:val="both"/>
        <w:divId w:val="752436381"/>
        <w:rPr>
          <w:rFonts w:ascii="Times New Roman" w:hAnsi="Times New Roman" w:cs="Times New Roman"/>
          <w:sz w:val="21"/>
          <w:szCs w:val="21"/>
        </w:rPr>
      </w:pPr>
      <w:r>
        <w:rPr>
          <w:rFonts w:cs="Times New Roman" w:hint="eastAsia"/>
          <w:sz w:val="18"/>
          <w:szCs w:val="18"/>
        </w:rPr>
        <w:t>根据公司2022年度股东大会审议通过的《2022年度利润分配方案》，公司以期末总股本886,012,887.00股为基数，向全体股东每10股派发现金股利0.20元（含税），合计派发17,720,257.74元。本次分配公司不送红股也不进行资本公积转增股本。本次权益分派股权登记日为2023年7月4日，除权除息日为2023 年7月5日。</w:t>
      </w:r>
    </w:p>
    <w:p w:rsidR="00B72ACA" w:rsidRDefault="00674F05">
      <w:pPr>
        <w:pStyle w:val="2"/>
        <w:spacing w:before="300" w:after="300" w:line="320" w:lineRule="exact"/>
        <w:rPr>
          <w:rFonts w:ascii="宋体" w:eastAsia="宋体" w:hAnsi="宋体" w:cs="宋体"/>
          <w:b/>
          <w:bCs/>
          <w:sz w:val="24"/>
          <w:szCs w:val="24"/>
        </w:rPr>
      </w:pPr>
      <w:bookmarkStart w:id="311" w:name="_Toc989201"/>
      <w:r>
        <w:rPr>
          <w:rFonts w:ascii="宋体" w:eastAsia="宋体" w:hAnsi="宋体" w:cs="宋体"/>
          <w:b/>
          <w:bCs/>
          <w:sz w:val="24"/>
          <w:szCs w:val="24"/>
        </w:rPr>
        <w:t>十六、其他重要事项</w:t>
      </w:r>
      <w:bookmarkEnd w:id="311"/>
    </w:p>
    <w:p w:rsidR="00B72ACA" w:rsidRDefault="00674F05">
      <w:pPr>
        <w:pStyle w:val="3"/>
        <w:spacing w:line="280" w:lineRule="exact"/>
        <w:jc w:val="left"/>
        <w:rPr>
          <w:rFonts w:ascii="宋体" w:hAnsi="宋体" w:cs="宋体"/>
          <w:b/>
          <w:bCs/>
        </w:rPr>
      </w:pPr>
      <w:bookmarkStart w:id="312" w:name="_Toc989202"/>
      <w:r>
        <w:rPr>
          <w:rFonts w:ascii="宋体" w:hAnsi="宋体" w:cs="宋体"/>
          <w:b/>
          <w:bCs/>
        </w:rPr>
        <w:t>1、其他</w:t>
      </w:r>
      <w:bookmarkEnd w:id="312"/>
    </w:p>
    <w:p w:rsidR="00674F05" w:rsidRDefault="00674F05">
      <w:pPr>
        <w:pStyle w:val="a3"/>
        <w:divId w:val="1395393014"/>
        <w:rPr>
          <w:sz w:val="18"/>
          <w:szCs w:val="18"/>
        </w:rPr>
      </w:pPr>
      <w:r>
        <w:rPr>
          <w:rFonts w:hint="eastAsia"/>
          <w:sz w:val="18"/>
          <w:szCs w:val="18"/>
        </w:rPr>
        <w:t>本公司无需披露的其他重要事项。</w:t>
      </w:r>
    </w:p>
    <w:p w:rsidR="00B72ACA" w:rsidRDefault="00674F05">
      <w:pPr>
        <w:pStyle w:val="2"/>
        <w:spacing w:before="300" w:after="300" w:line="320" w:lineRule="exact"/>
        <w:rPr>
          <w:rFonts w:ascii="宋体" w:eastAsia="宋体" w:hAnsi="宋体" w:cs="宋体"/>
          <w:b/>
          <w:bCs/>
          <w:sz w:val="24"/>
          <w:szCs w:val="24"/>
        </w:rPr>
      </w:pPr>
      <w:bookmarkStart w:id="313" w:name="_Toc989203"/>
      <w:r>
        <w:rPr>
          <w:rFonts w:ascii="宋体" w:eastAsia="宋体" w:hAnsi="宋体" w:cs="宋体"/>
          <w:b/>
          <w:bCs/>
          <w:sz w:val="24"/>
          <w:szCs w:val="24"/>
        </w:rPr>
        <w:t>十七、母公司财务报表主要项目注释</w:t>
      </w:r>
      <w:bookmarkEnd w:id="313"/>
    </w:p>
    <w:p w:rsidR="00B72ACA" w:rsidRDefault="00674F05">
      <w:pPr>
        <w:pStyle w:val="3"/>
        <w:spacing w:line="280" w:lineRule="exact"/>
        <w:jc w:val="left"/>
        <w:rPr>
          <w:rFonts w:ascii="宋体" w:hAnsi="宋体" w:cs="宋体"/>
          <w:b/>
          <w:bCs/>
        </w:rPr>
      </w:pPr>
      <w:bookmarkStart w:id="314" w:name="_Toc989204"/>
      <w:r>
        <w:rPr>
          <w:rFonts w:ascii="宋体" w:hAnsi="宋体" w:cs="宋体"/>
          <w:b/>
          <w:bCs/>
        </w:rPr>
        <w:t>1、应收账款</w:t>
      </w:r>
      <w:bookmarkEnd w:id="314"/>
    </w:p>
    <w:p w:rsidR="00B72ACA" w:rsidRDefault="00674F05">
      <w:pPr>
        <w:keepNext/>
        <w:keepLines/>
        <w:spacing w:before="300" w:after="300" w:line="280" w:lineRule="exact"/>
        <w:outlineLvl w:val="3"/>
        <w:rPr>
          <w:rFonts w:ascii="宋体" w:eastAsia="宋体" w:hAnsi="宋体" w:cs="宋体"/>
          <w:b/>
          <w:bCs/>
          <w:szCs w:val="21"/>
        </w:rPr>
      </w:pPr>
      <w:bookmarkStart w:id="315" w:name="_Toc989205"/>
      <w:r>
        <w:rPr>
          <w:rFonts w:ascii="宋体" w:eastAsia="宋体" w:hAnsi="宋体" w:cs="宋体"/>
          <w:b/>
          <w:bCs/>
          <w:szCs w:val="21"/>
        </w:rPr>
        <w:t>（1） 应收账款分类披露</w:t>
      </w:r>
      <w:bookmarkEnd w:id="31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B72ACA">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72ACA">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sz w:val="18"/>
                <w:szCs w:val="18"/>
              </w:rPr>
              <w:lastRenderedPageBreak/>
              <w:t>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135,963,737.20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123,685,646.86</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135,963,737.20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9.03%</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123,685,646.86</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r w:rsidR="00B72AC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135,963,737.20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123,685,646.86</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按组合计提坏账准备：12,278,090.34元</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proofErr w:type="gramStart"/>
            <w:r>
              <w:rPr>
                <w:rFonts w:ascii="宋体" w:eastAsia="宋体" w:hAnsi="宋体" w:cs="宋体"/>
                <w:sz w:val="18"/>
                <w:szCs w:val="18"/>
              </w:rPr>
              <w:t>按账龄组</w:t>
            </w:r>
            <w:proofErr w:type="gramEnd"/>
            <w:r>
              <w:rPr>
                <w:rFonts w:ascii="宋体" w:eastAsia="宋体" w:hAnsi="宋体" w:cs="宋体"/>
                <w:sz w:val="18"/>
                <w:szCs w:val="18"/>
              </w:rPr>
              <w:t>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135,963,737.20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9.03%</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135,963,737.20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128,727,770.95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128,727,770.95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1,382,994.66</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6,237.51</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5,846,734.08</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290,406.03</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5,556,328.05</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135,963,737.20</w:t>
            </w:r>
          </w:p>
        </w:tc>
      </w:tr>
    </w:tbl>
    <w:p w:rsidR="00B72ACA" w:rsidRDefault="00674F05">
      <w:pPr>
        <w:keepNext/>
        <w:keepLines/>
        <w:spacing w:before="300" w:after="300" w:line="280" w:lineRule="exact"/>
        <w:outlineLvl w:val="3"/>
        <w:rPr>
          <w:rFonts w:ascii="宋体" w:eastAsia="宋体" w:hAnsi="宋体" w:cs="宋体"/>
          <w:b/>
          <w:bCs/>
          <w:szCs w:val="21"/>
        </w:rPr>
      </w:pPr>
      <w:bookmarkStart w:id="316" w:name="_Toc989206"/>
      <w:r>
        <w:rPr>
          <w:rFonts w:ascii="宋体" w:eastAsia="宋体" w:hAnsi="宋体" w:cs="宋体"/>
          <w:b/>
          <w:bCs/>
          <w:szCs w:val="21"/>
        </w:rPr>
        <w:t>（2） 本期计提、收回或转回的坏账准备情况</w:t>
      </w:r>
      <w:bookmarkEnd w:id="316"/>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11,510,140.79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767,949.55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11,510,140.79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767,949.55</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12,278,090.34</w:t>
            </w:r>
          </w:p>
        </w:tc>
      </w:tr>
    </w:tbl>
    <w:p w:rsidR="00674F05" w:rsidRDefault="00674F05">
      <w:pPr>
        <w:divId w:val="1261260988"/>
        <w:rPr>
          <w:sz w:val="18"/>
          <w:szCs w:val="18"/>
        </w:rPr>
      </w:pPr>
    </w:p>
    <w:p w:rsidR="00B72ACA" w:rsidRDefault="00674F05">
      <w:pPr>
        <w:keepNext/>
        <w:keepLines/>
        <w:spacing w:before="300" w:after="300" w:line="280" w:lineRule="exact"/>
        <w:outlineLvl w:val="3"/>
        <w:rPr>
          <w:rFonts w:ascii="宋体" w:eastAsia="宋体" w:hAnsi="宋体" w:cs="宋体"/>
          <w:b/>
          <w:bCs/>
          <w:szCs w:val="21"/>
        </w:rPr>
      </w:pPr>
      <w:bookmarkStart w:id="317" w:name="_Toc989207"/>
      <w:r>
        <w:rPr>
          <w:rFonts w:ascii="宋体" w:eastAsia="宋体" w:hAnsi="宋体" w:cs="宋体"/>
          <w:b/>
          <w:bCs/>
          <w:szCs w:val="21"/>
        </w:rPr>
        <w:t>（3） 本期实际核销的应收账款情况</w:t>
      </w:r>
      <w:bookmarkEnd w:id="317"/>
    </w:p>
    <w:p w:rsidR="00674F05" w:rsidRDefault="00674F05">
      <w:pPr>
        <w:pStyle w:val="a3"/>
        <w:spacing w:before="0" w:beforeAutospacing="0" w:after="0" w:afterAutospacing="0" w:line="400" w:lineRule="atLeast"/>
        <w:ind w:firstLine="360"/>
        <w:jc w:val="both"/>
        <w:divId w:val="1672488667"/>
        <w:rPr>
          <w:rFonts w:ascii="Times New Roman" w:hAnsi="Times New Roman" w:cs="Times New Roman"/>
          <w:sz w:val="21"/>
          <w:szCs w:val="21"/>
        </w:rPr>
      </w:pPr>
      <w:r>
        <w:rPr>
          <w:rFonts w:cs="Times New Roman" w:hint="eastAsia"/>
          <w:sz w:val="18"/>
          <w:szCs w:val="18"/>
        </w:rPr>
        <w:t>本报告期无实际核销的应收账款。</w:t>
      </w:r>
    </w:p>
    <w:p w:rsidR="00B72ACA" w:rsidRDefault="00674F05">
      <w:pPr>
        <w:keepNext/>
        <w:keepLines/>
        <w:spacing w:before="300" w:after="300" w:line="280" w:lineRule="exact"/>
        <w:outlineLvl w:val="3"/>
        <w:rPr>
          <w:rFonts w:ascii="宋体" w:eastAsia="宋体" w:hAnsi="宋体" w:cs="宋体"/>
          <w:b/>
          <w:bCs/>
          <w:szCs w:val="21"/>
        </w:rPr>
      </w:pPr>
      <w:bookmarkStart w:id="318" w:name="_Toc989208"/>
      <w:r>
        <w:rPr>
          <w:rFonts w:ascii="宋体" w:eastAsia="宋体" w:hAnsi="宋体" w:cs="宋体"/>
          <w:b/>
          <w:bCs/>
          <w:szCs w:val="21"/>
        </w:rPr>
        <w:lastRenderedPageBreak/>
        <w:t>（4） 按欠款方归集的期末余额前五名的应收账款情况</w:t>
      </w:r>
      <w:bookmarkEnd w:id="31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21,789,602.22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16.03%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1,089,480.11</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20,445,256.58</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1,022,262.83</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18,450,964.56</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991,697.93</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10,797,731.75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7.94%</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539,886.59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9,726,851.70</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7.15%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486,342.59</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81,210,406.81</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59.73%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bl>
    <w:p w:rsidR="00B72ACA" w:rsidRDefault="00674F05">
      <w:pPr>
        <w:keepNext/>
        <w:keepLines/>
        <w:spacing w:before="300" w:after="300" w:line="280" w:lineRule="exact"/>
        <w:outlineLvl w:val="3"/>
        <w:rPr>
          <w:rFonts w:ascii="宋体" w:eastAsia="宋体" w:hAnsi="宋体" w:cs="宋体"/>
          <w:b/>
          <w:bCs/>
          <w:szCs w:val="21"/>
        </w:rPr>
      </w:pPr>
      <w:bookmarkStart w:id="319" w:name="_Toc989209"/>
      <w:r>
        <w:rPr>
          <w:rFonts w:ascii="宋体" w:eastAsia="宋体" w:hAnsi="宋体" w:cs="宋体"/>
          <w:b/>
          <w:bCs/>
          <w:szCs w:val="21"/>
        </w:rPr>
        <w:t>（5） 因金融资产转移而终止确认的应收账款</w:t>
      </w:r>
      <w:bookmarkEnd w:id="319"/>
    </w:p>
    <w:p w:rsidR="00674F05" w:rsidRDefault="00674F05">
      <w:pPr>
        <w:pStyle w:val="a3"/>
        <w:divId w:val="703409927"/>
        <w:rPr>
          <w:sz w:val="18"/>
          <w:szCs w:val="18"/>
        </w:rPr>
      </w:pPr>
      <w:r>
        <w:rPr>
          <w:rFonts w:hint="eastAsia"/>
          <w:sz w:val="18"/>
          <w:szCs w:val="18"/>
        </w:rPr>
        <w:t>公司无因金融资产转移而终止确认的应收账款。</w:t>
      </w:r>
    </w:p>
    <w:p w:rsidR="00B72ACA" w:rsidRDefault="00674F05">
      <w:pPr>
        <w:keepNext/>
        <w:keepLines/>
        <w:spacing w:before="300" w:after="300" w:line="280" w:lineRule="exact"/>
        <w:outlineLvl w:val="3"/>
        <w:rPr>
          <w:rFonts w:ascii="宋体" w:eastAsia="宋体" w:hAnsi="宋体" w:cs="宋体"/>
          <w:b/>
          <w:bCs/>
          <w:szCs w:val="21"/>
        </w:rPr>
      </w:pPr>
      <w:bookmarkStart w:id="320" w:name="_Toc989210"/>
      <w:r>
        <w:rPr>
          <w:rFonts w:ascii="宋体" w:eastAsia="宋体" w:hAnsi="宋体" w:cs="宋体"/>
          <w:b/>
          <w:bCs/>
          <w:szCs w:val="21"/>
        </w:rPr>
        <w:t>（6） 转移应收</w:t>
      </w:r>
      <w:proofErr w:type="gramStart"/>
      <w:r>
        <w:rPr>
          <w:rFonts w:ascii="宋体" w:eastAsia="宋体" w:hAnsi="宋体" w:cs="宋体"/>
          <w:b/>
          <w:bCs/>
          <w:szCs w:val="21"/>
        </w:rPr>
        <w:t>账款且</w:t>
      </w:r>
      <w:proofErr w:type="gramEnd"/>
      <w:r>
        <w:rPr>
          <w:rFonts w:ascii="宋体" w:eastAsia="宋体" w:hAnsi="宋体" w:cs="宋体"/>
          <w:b/>
          <w:bCs/>
          <w:szCs w:val="21"/>
        </w:rPr>
        <w:t>继续涉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320"/>
    </w:p>
    <w:p w:rsidR="00674F05" w:rsidRDefault="00674F05">
      <w:pPr>
        <w:pStyle w:val="a3"/>
        <w:divId w:val="924917942"/>
        <w:rPr>
          <w:sz w:val="18"/>
          <w:szCs w:val="18"/>
        </w:rPr>
      </w:pPr>
      <w:r>
        <w:rPr>
          <w:rFonts w:hint="eastAsia"/>
          <w:sz w:val="18"/>
          <w:szCs w:val="18"/>
        </w:rPr>
        <w:t>公司无转移应收</w:t>
      </w:r>
      <w:proofErr w:type="gramStart"/>
      <w:r>
        <w:rPr>
          <w:rFonts w:hint="eastAsia"/>
          <w:sz w:val="18"/>
          <w:szCs w:val="18"/>
        </w:rPr>
        <w:t>账款且</w:t>
      </w:r>
      <w:proofErr w:type="gramEnd"/>
      <w:r>
        <w:rPr>
          <w:rFonts w:hint="eastAsia"/>
          <w:sz w:val="18"/>
          <w:szCs w:val="18"/>
        </w:rPr>
        <w:t>继续涉入的资产和负债。</w:t>
      </w:r>
    </w:p>
    <w:p w:rsidR="00B72ACA" w:rsidRDefault="00674F05">
      <w:pPr>
        <w:pStyle w:val="3"/>
        <w:spacing w:line="280" w:lineRule="exact"/>
        <w:jc w:val="left"/>
        <w:rPr>
          <w:rFonts w:ascii="宋体" w:hAnsi="宋体" w:cs="宋体"/>
          <w:b/>
          <w:bCs/>
        </w:rPr>
      </w:pPr>
      <w:bookmarkStart w:id="321" w:name="_Toc989211"/>
      <w:r>
        <w:rPr>
          <w:rFonts w:ascii="宋体" w:hAnsi="宋体" w:cs="宋体"/>
          <w:b/>
          <w:bCs/>
        </w:rPr>
        <w:t>2、其他应收款</w:t>
      </w:r>
      <w:bookmarkEnd w:id="321"/>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675,573.03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2,332,702.75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33,414,899.13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2,332,702.75</w:t>
            </w:r>
          </w:p>
        </w:tc>
      </w:tr>
    </w:tbl>
    <w:p w:rsidR="00B72ACA" w:rsidRDefault="00674F05">
      <w:pPr>
        <w:keepNext/>
        <w:keepLines/>
        <w:spacing w:before="300" w:after="300" w:line="280" w:lineRule="exact"/>
        <w:outlineLvl w:val="3"/>
        <w:rPr>
          <w:rFonts w:ascii="宋体" w:eastAsia="宋体" w:hAnsi="宋体" w:cs="宋体"/>
          <w:b/>
          <w:bCs/>
          <w:sz w:val="18"/>
          <w:szCs w:val="18"/>
        </w:rPr>
      </w:pPr>
      <w:bookmarkStart w:id="322" w:name="_Toc989212"/>
      <w:r>
        <w:rPr>
          <w:rFonts w:ascii="宋体" w:eastAsia="宋体" w:hAnsi="宋体" w:cs="宋体"/>
          <w:b/>
          <w:bCs/>
          <w:sz w:val="18"/>
          <w:szCs w:val="18"/>
        </w:rPr>
        <w:t>（1） 应收股利</w:t>
      </w:r>
      <w:bookmarkEnd w:id="322"/>
    </w:p>
    <w:p w:rsidR="00B72ACA" w:rsidRDefault="00674F05">
      <w:pPr>
        <w:keepNext/>
        <w:keepLines/>
        <w:spacing w:before="300" w:after="300" w:line="280" w:lineRule="exact"/>
        <w:outlineLvl w:val="4"/>
        <w:rPr>
          <w:rFonts w:ascii="宋体" w:eastAsia="宋体" w:hAnsi="宋体" w:cs="宋体"/>
          <w:b/>
          <w:bCs/>
          <w:sz w:val="18"/>
          <w:szCs w:val="18"/>
        </w:rPr>
      </w:pPr>
      <w:bookmarkStart w:id="323" w:name="_Toc989213"/>
      <w:r>
        <w:rPr>
          <w:rFonts w:ascii="宋体" w:eastAsia="宋体" w:hAnsi="宋体" w:cs="宋体"/>
          <w:b/>
          <w:bCs/>
          <w:sz w:val="18"/>
          <w:szCs w:val="18"/>
        </w:rPr>
        <w:t>1） 应收股利分类</w:t>
      </w:r>
      <w:bookmarkEnd w:id="323"/>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bl>
    <w:p w:rsidR="00B72ACA" w:rsidRDefault="00674F05">
      <w:pPr>
        <w:keepNext/>
        <w:keepLines/>
        <w:spacing w:before="300" w:after="300" w:line="280" w:lineRule="exact"/>
        <w:outlineLvl w:val="4"/>
        <w:rPr>
          <w:rFonts w:ascii="宋体" w:eastAsia="宋体" w:hAnsi="宋体" w:cs="宋体"/>
          <w:b/>
          <w:bCs/>
          <w:sz w:val="18"/>
          <w:szCs w:val="18"/>
        </w:rPr>
      </w:pPr>
      <w:bookmarkStart w:id="324" w:name="_Toc989214"/>
      <w:r>
        <w:rPr>
          <w:rFonts w:ascii="宋体" w:eastAsia="宋体" w:hAnsi="宋体" w:cs="宋体"/>
          <w:b/>
          <w:bCs/>
          <w:sz w:val="18"/>
          <w:szCs w:val="18"/>
        </w:rPr>
        <w:t>2） 坏账准备计提情况</w:t>
      </w:r>
      <w:bookmarkEnd w:id="324"/>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74F05" w:rsidRDefault="00674F05">
      <w:pPr>
        <w:divId w:val="1624729524"/>
        <w:rPr>
          <w:sz w:val="18"/>
          <w:szCs w:val="18"/>
        </w:rPr>
      </w:pPr>
    </w:p>
    <w:p w:rsidR="00B72ACA" w:rsidRDefault="00674F05">
      <w:pPr>
        <w:keepNext/>
        <w:keepLines/>
        <w:spacing w:before="300" w:after="300" w:line="280" w:lineRule="exact"/>
        <w:outlineLvl w:val="3"/>
        <w:rPr>
          <w:rFonts w:ascii="宋体" w:eastAsia="宋体" w:hAnsi="宋体" w:cs="宋体"/>
          <w:b/>
          <w:bCs/>
          <w:sz w:val="18"/>
          <w:szCs w:val="18"/>
        </w:rPr>
      </w:pPr>
      <w:bookmarkStart w:id="325" w:name="_Toc989215"/>
      <w:r>
        <w:rPr>
          <w:rFonts w:ascii="宋体" w:eastAsia="宋体" w:hAnsi="宋体" w:cs="宋体"/>
          <w:b/>
          <w:bCs/>
          <w:sz w:val="18"/>
          <w:szCs w:val="18"/>
        </w:rPr>
        <w:t>（2） 其他应收款</w:t>
      </w:r>
      <w:bookmarkEnd w:id="325"/>
    </w:p>
    <w:p w:rsidR="00B72ACA" w:rsidRDefault="00674F05">
      <w:pPr>
        <w:keepNext/>
        <w:keepLines/>
        <w:spacing w:before="300" w:after="300" w:line="280" w:lineRule="exact"/>
        <w:outlineLvl w:val="4"/>
        <w:rPr>
          <w:rFonts w:ascii="宋体" w:eastAsia="宋体" w:hAnsi="宋体" w:cs="宋体"/>
          <w:b/>
          <w:bCs/>
          <w:sz w:val="18"/>
          <w:szCs w:val="18"/>
        </w:rPr>
      </w:pPr>
      <w:bookmarkStart w:id="326" w:name="_Toc989216"/>
      <w:r>
        <w:rPr>
          <w:rFonts w:ascii="宋体" w:eastAsia="宋体" w:hAnsi="宋体" w:cs="宋体"/>
          <w:b/>
          <w:bCs/>
          <w:sz w:val="18"/>
          <w:szCs w:val="18"/>
        </w:rPr>
        <w:t>1） 其他应收款按款项性质分类情况</w:t>
      </w:r>
      <w:bookmarkEnd w:id="32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65,000.00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子公司往来款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代扣代缴款</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207,182.14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204,423.95</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37,710,489.20</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39,372,731.01</w:t>
            </w:r>
          </w:p>
        </w:tc>
      </w:tr>
    </w:tbl>
    <w:p w:rsidR="00B72ACA" w:rsidRDefault="00674F05">
      <w:pPr>
        <w:keepNext/>
        <w:keepLines/>
        <w:spacing w:before="300" w:after="300" w:line="280" w:lineRule="exact"/>
        <w:outlineLvl w:val="4"/>
        <w:rPr>
          <w:rFonts w:ascii="宋体" w:eastAsia="宋体" w:hAnsi="宋体" w:cs="宋体"/>
          <w:b/>
          <w:bCs/>
          <w:sz w:val="18"/>
          <w:szCs w:val="18"/>
        </w:rPr>
      </w:pPr>
      <w:bookmarkStart w:id="327" w:name="_Toc989217"/>
      <w:r>
        <w:rPr>
          <w:rFonts w:ascii="宋体" w:eastAsia="宋体" w:hAnsi="宋体" w:cs="宋体"/>
          <w:b/>
          <w:bCs/>
          <w:sz w:val="18"/>
          <w:szCs w:val="18"/>
        </w:rPr>
        <w:t>2） 坏账准备计提情况</w:t>
      </w:r>
      <w:bookmarkEnd w:id="32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2023年1月1日余额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1,518,991.56</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37,040,028.26</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2023年1月1日余额在本期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-5,112.09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-5,112.09</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2023年6月30日余额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1,513,879.47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37,034,916.17</w:t>
            </w:r>
          </w:p>
        </w:tc>
      </w:tr>
    </w:tbl>
    <w:p w:rsidR="00B72ACA" w:rsidRDefault="00674F05">
      <w:pPr>
        <w:spacing w:before="100" w:after="4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4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212,182.14</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212,182.14</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B72AC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37,710,489.20</w:t>
            </w:r>
          </w:p>
        </w:tc>
      </w:tr>
    </w:tbl>
    <w:p w:rsidR="00B72ACA" w:rsidRDefault="00674F05">
      <w:pPr>
        <w:keepNext/>
        <w:keepLines/>
        <w:spacing w:before="300" w:after="300" w:line="280" w:lineRule="exact"/>
        <w:outlineLvl w:val="4"/>
        <w:rPr>
          <w:rFonts w:ascii="宋体" w:eastAsia="宋体" w:hAnsi="宋体" w:cs="宋体"/>
          <w:b/>
          <w:bCs/>
          <w:sz w:val="18"/>
          <w:szCs w:val="18"/>
        </w:rPr>
      </w:pPr>
      <w:bookmarkStart w:id="328" w:name="_Toc989218"/>
      <w:r>
        <w:rPr>
          <w:rFonts w:ascii="宋体" w:eastAsia="宋体" w:hAnsi="宋体" w:cs="宋体"/>
          <w:b/>
          <w:bCs/>
          <w:sz w:val="18"/>
          <w:szCs w:val="18"/>
        </w:rPr>
        <w:t>3） 本期计提、收回或转回的坏账准备情况</w:t>
      </w:r>
      <w:bookmarkEnd w:id="328"/>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37,040,028.26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-5,112.09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37,034,916.17</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37,040,028.26</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-5,112.09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37,034,916.17</w:t>
            </w:r>
          </w:p>
        </w:tc>
      </w:tr>
    </w:tbl>
    <w:p w:rsidR="00674F05" w:rsidRDefault="00674F05">
      <w:pPr>
        <w:divId w:val="48963408"/>
        <w:rPr>
          <w:sz w:val="18"/>
          <w:szCs w:val="18"/>
        </w:rPr>
      </w:pPr>
    </w:p>
    <w:p w:rsidR="00B72ACA" w:rsidRDefault="00674F05">
      <w:pPr>
        <w:keepNext/>
        <w:keepLines/>
        <w:spacing w:before="300" w:after="300" w:line="280" w:lineRule="exact"/>
        <w:outlineLvl w:val="4"/>
        <w:rPr>
          <w:rFonts w:ascii="宋体" w:eastAsia="宋体" w:hAnsi="宋体" w:cs="宋体"/>
          <w:b/>
          <w:bCs/>
          <w:sz w:val="18"/>
          <w:szCs w:val="18"/>
        </w:rPr>
      </w:pPr>
      <w:bookmarkStart w:id="329" w:name="_Toc989219"/>
      <w:r>
        <w:rPr>
          <w:rFonts w:ascii="宋体" w:eastAsia="宋体" w:hAnsi="宋体" w:cs="宋体"/>
          <w:b/>
          <w:bCs/>
          <w:sz w:val="18"/>
          <w:szCs w:val="18"/>
        </w:rPr>
        <w:lastRenderedPageBreak/>
        <w:t>4） 本期实际核销的其他应收款情况</w:t>
      </w:r>
      <w:bookmarkEnd w:id="329"/>
    </w:p>
    <w:p w:rsidR="00674F05" w:rsidRDefault="00674F05">
      <w:pPr>
        <w:pStyle w:val="a3"/>
        <w:divId w:val="380633280"/>
        <w:rPr>
          <w:sz w:val="18"/>
          <w:szCs w:val="18"/>
        </w:rPr>
      </w:pPr>
      <w:r>
        <w:rPr>
          <w:rFonts w:hint="eastAsia"/>
          <w:sz w:val="18"/>
          <w:szCs w:val="18"/>
        </w:rPr>
        <w:t>本报告期无实际核销的其他应收款。</w:t>
      </w:r>
    </w:p>
    <w:p w:rsidR="00B72ACA" w:rsidRDefault="00674F05">
      <w:pPr>
        <w:keepNext/>
        <w:keepLines/>
        <w:spacing w:before="300" w:after="300" w:line="280" w:lineRule="exact"/>
        <w:outlineLvl w:val="4"/>
        <w:rPr>
          <w:rFonts w:ascii="宋体" w:eastAsia="宋体" w:hAnsi="宋体" w:cs="宋体"/>
          <w:b/>
          <w:bCs/>
          <w:sz w:val="18"/>
          <w:szCs w:val="18"/>
        </w:rPr>
      </w:pPr>
      <w:bookmarkStart w:id="330" w:name="_Toc989220"/>
      <w:r>
        <w:rPr>
          <w:rFonts w:ascii="宋体" w:eastAsia="宋体" w:hAnsi="宋体" w:cs="宋体"/>
          <w:b/>
          <w:bCs/>
          <w:sz w:val="18"/>
          <w:szCs w:val="18"/>
        </w:rPr>
        <w:t>5） 按欠款方归集的期末余额前五名的其他应收款情况</w:t>
      </w:r>
      <w:bookmarkEnd w:id="330"/>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3-4年</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94.19%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2.64%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901955">
            <w:pPr>
              <w:spacing w:line="240" w:lineRule="exact"/>
              <w:rPr>
                <w:rFonts w:ascii="宋体" w:eastAsia="宋体" w:hAnsi="宋体" w:cs="宋体"/>
                <w:sz w:val="18"/>
                <w:szCs w:val="18"/>
              </w:rPr>
            </w:pPr>
            <w:r>
              <w:rPr>
                <w:rFonts w:ascii="宋体" w:eastAsia="宋体" w:hAnsi="宋体" w:cs="宋体"/>
                <w:sz w:val="18"/>
                <w:szCs w:val="18"/>
              </w:rPr>
              <w:t>押金、</w:t>
            </w:r>
            <w:r w:rsidR="00674F05">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2-3年</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180,000.00</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代扣代缴款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184,102.14</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0.49%</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9,205.11</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92,913.33</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0.25%</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92,913.33</w:t>
            </w:r>
          </w:p>
        </w:tc>
      </w:tr>
      <w:tr w:rsidR="00B72AC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37,391,796.88</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99.16%</w:t>
            </w:r>
          </w:p>
        </w:tc>
        <w:tc>
          <w:tcPr>
            <w:tcW w:w="1606"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36,796,899.85</w:t>
            </w:r>
          </w:p>
        </w:tc>
      </w:tr>
    </w:tbl>
    <w:p w:rsidR="00B72ACA" w:rsidRDefault="00674F05">
      <w:pPr>
        <w:keepNext/>
        <w:keepLines/>
        <w:spacing w:before="300" w:after="300" w:line="280" w:lineRule="exact"/>
        <w:outlineLvl w:val="4"/>
        <w:rPr>
          <w:rFonts w:ascii="宋体" w:eastAsia="宋体" w:hAnsi="宋体" w:cs="宋体"/>
          <w:b/>
          <w:bCs/>
          <w:sz w:val="18"/>
          <w:szCs w:val="18"/>
        </w:rPr>
      </w:pPr>
      <w:bookmarkStart w:id="331" w:name="_Toc989221"/>
      <w:r>
        <w:rPr>
          <w:rFonts w:ascii="宋体" w:eastAsia="宋体" w:hAnsi="宋体" w:cs="宋体"/>
          <w:b/>
          <w:bCs/>
          <w:sz w:val="18"/>
          <w:szCs w:val="18"/>
        </w:rPr>
        <w:t>6） 涉及政府补助的应收款项</w:t>
      </w:r>
      <w:bookmarkEnd w:id="331"/>
    </w:p>
    <w:p w:rsidR="00674F05" w:rsidRDefault="00674F05">
      <w:pPr>
        <w:pStyle w:val="a3"/>
        <w:divId w:val="1407269057"/>
        <w:rPr>
          <w:sz w:val="18"/>
          <w:szCs w:val="18"/>
        </w:rPr>
      </w:pPr>
      <w:r>
        <w:rPr>
          <w:rFonts w:hint="eastAsia"/>
          <w:sz w:val="18"/>
          <w:szCs w:val="18"/>
        </w:rPr>
        <w:t>公司无涉及政府补助的应收款项。</w:t>
      </w:r>
    </w:p>
    <w:p w:rsidR="00B72ACA" w:rsidRDefault="00674F05">
      <w:pPr>
        <w:keepNext/>
        <w:keepLines/>
        <w:spacing w:before="300" w:after="300" w:line="280" w:lineRule="exact"/>
        <w:outlineLvl w:val="4"/>
        <w:rPr>
          <w:rFonts w:ascii="宋体" w:eastAsia="宋体" w:hAnsi="宋体" w:cs="宋体"/>
          <w:b/>
          <w:bCs/>
          <w:sz w:val="18"/>
          <w:szCs w:val="18"/>
        </w:rPr>
      </w:pPr>
      <w:bookmarkStart w:id="332" w:name="_Toc989222"/>
      <w:r>
        <w:rPr>
          <w:rFonts w:ascii="宋体" w:eastAsia="宋体" w:hAnsi="宋体" w:cs="宋体"/>
          <w:b/>
          <w:bCs/>
          <w:sz w:val="18"/>
          <w:szCs w:val="18"/>
        </w:rPr>
        <w:t>7） 因金融资产转移而终止确认的其他应收款</w:t>
      </w:r>
      <w:bookmarkEnd w:id="332"/>
    </w:p>
    <w:p w:rsidR="00674F05" w:rsidRDefault="00674F05">
      <w:pPr>
        <w:pStyle w:val="a3"/>
        <w:divId w:val="1594971180"/>
        <w:rPr>
          <w:sz w:val="18"/>
          <w:szCs w:val="18"/>
        </w:rPr>
      </w:pPr>
      <w:r>
        <w:rPr>
          <w:rFonts w:hint="eastAsia"/>
          <w:sz w:val="18"/>
          <w:szCs w:val="18"/>
        </w:rPr>
        <w:t>公司无因金融资产转移而终止确认的其他应收款。</w:t>
      </w:r>
    </w:p>
    <w:p w:rsidR="00B72ACA" w:rsidRDefault="00674F05">
      <w:pPr>
        <w:keepNext/>
        <w:keepLines/>
        <w:spacing w:before="300" w:after="300" w:line="280" w:lineRule="exact"/>
        <w:outlineLvl w:val="4"/>
        <w:rPr>
          <w:rFonts w:ascii="宋体" w:eastAsia="宋体" w:hAnsi="宋体" w:cs="宋体"/>
          <w:b/>
          <w:bCs/>
          <w:sz w:val="18"/>
          <w:szCs w:val="18"/>
        </w:rPr>
      </w:pPr>
      <w:bookmarkStart w:id="333" w:name="_Toc989223"/>
      <w:r>
        <w:rPr>
          <w:rFonts w:ascii="宋体" w:eastAsia="宋体" w:hAnsi="宋体" w:cs="宋体"/>
          <w:b/>
          <w:bCs/>
          <w:sz w:val="18"/>
          <w:szCs w:val="18"/>
        </w:rPr>
        <w:t>8） 转移其他</w:t>
      </w:r>
      <w:proofErr w:type="gramStart"/>
      <w:r>
        <w:rPr>
          <w:rFonts w:ascii="宋体" w:eastAsia="宋体" w:hAnsi="宋体" w:cs="宋体"/>
          <w:b/>
          <w:bCs/>
          <w:sz w:val="18"/>
          <w:szCs w:val="18"/>
        </w:rPr>
        <w:t>应收款且继续</w:t>
      </w:r>
      <w:proofErr w:type="gramEnd"/>
      <w:r>
        <w:rPr>
          <w:rFonts w:ascii="宋体" w:eastAsia="宋体" w:hAnsi="宋体" w:cs="宋体"/>
          <w:b/>
          <w:bCs/>
          <w:sz w:val="18"/>
          <w:szCs w:val="18"/>
        </w:rPr>
        <w:t>涉</w:t>
      </w:r>
      <w:proofErr w:type="gramStart"/>
      <w:r>
        <w:rPr>
          <w:rFonts w:ascii="宋体" w:eastAsia="宋体" w:hAnsi="宋体" w:cs="宋体"/>
          <w:b/>
          <w:bCs/>
          <w:sz w:val="18"/>
          <w:szCs w:val="18"/>
        </w:rPr>
        <w:t>入形成</w:t>
      </w:r>
      <w:proofErr w:type="gramEnd"/>
      <w:r>
        <w:rPr>
          <w:rFonts w:ascii="宋体" w:eastAsia="宋体" w:hAnsi="宋体" w:cs="宋体"/>
          <w:b/>
          <w:bCs/>
          <w:sz w:val="18"/>
          <w:szCs w:val="18"/>
        </w:rPr>
        <w:t>的资产、负债金额</w:t>
      </w:r>
      <w:bookmarkEnd w:id="333"/>
    </w:p>
    <w:p w:rsidR="00674F05" w:rsidRDefault="00674F05">
      <w:pPr>
        <w:pStyle w:val="a3"/>
        <w:divId w:val="1004161461"/>
        <w:rPr>
          <w:sz w:val="18"/>
          <w:szCs w:val="18"/>
        </w:rPr>
      </w:pPr>
      <w:r>
        <w:rPr>
          <w:rFonts w:hint="eastAsia"/>
          <w:sz w:val="18"/>
          <w:szCs w:val="18"/>
        </w:rPr>
        <w:t>公司无转移其他</w:t>
      </w:r>
      <w:proofErr w:type="gramStart"/>
      <w:r>
        <w:rPr>
          <w:rFonts w:hint="eastAsia"/>
          <w:sz w:val="18"/>
          <w:szCs w:val="18"/>
        </w:rPr>
        <w:t>应收款且继续</w:t>
      </w:r>
      <w:proofErr w:type="gramEnd"/>
      <w:r>
        <w:rPr>
          <w:rFonts w:hint="eastAsia"/>
          <w:sz w:val="18"/>
          <w:szCs w:val="18"/>
        </w:rPr>
        <w:t>涉</w:t>
      </w:r>
      <w:proofErr w:type="gramStart"/>
      <w:r>
        <w:rPr>
          <w:rFonts w:hint="eastAsia"/>
          <w:sz w:val="18"/>
          <w:szCs w:val="18"/>
        </w:rPr>
        <w:t>入形成</w:t>
      </w:r>
      <w:proofErr w:type="gramEnd"/>
      <w:r>
        <w:rPr>
          <w:rFonts w:hint="eastAsia"/>
          <w:sz w:val="18"/>
          <w:szCs w:val="18"/>
        </w:rPr>
        <w:t>的资产和负债。</w:t>
      </w:r>
    </w:p>
    <w:p w:rsidR="00B72ACA" w:rsidRDefault="00674F05">
      <w:pPr>
        <w:pStyle w:val="3"/>
        <w:spacing w:line="280" w:lineRule="exact"/>
        <w:jc w:val="left"/>
        <w:rPr>
          <w:rFonts w:ascii="宋体" w:hAnsi="宋体" w:cs="宋体"/>
          <w:b/>
          <w:bCs/>
        </w:rPr>
      </w:pPr>
      <w:bookmarkStart w:id="334" w:name="_Toc989224"/>
      <w:r>
        <w:rPr>
          <w:rFonts w:ascii="宋体" w:hAnsi="宋体" w:cs="宋体"/>
          <w:b/>
          <w:bCs/>
        </w:rPr>
        <w:t>3、长期股权投资</w:t>
      </w:r>
      <w:bookmarkEnd w:id="334"/>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B72AC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72AC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2,137,953,822.91</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2,724,443,065.47</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2,574,070,199.38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2,736,582,856.21</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2,586,209,990.12</w:t>
            </w:r>
          </w:p>
        </w:tc>
      </w:tr>
      <w:tr w:rsidR="00B72AC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4,862,396,888.38</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4,712,024,022.29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4,874,536,679.12</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4,724,163,813.03</w:t>
            </w:r>
          </w:p>
        </w:tc>
      </w:tr>
    </w:tbl>
    <w:p w:rsidR="00B72ACA" w:rsidRDefault="00674F05">
      <w:pPr>
        <w:keepNext/>
        <w:keepLines/>
        <w:spacing w:before="300" w:after="300" w:line="280" w:lineRule="exact"/>
        <w:outlineLvl w:val="3"/>
        <w:rPr>
          <w:rFonts w:ascii="宋体" w:eastAsia="宋体" w:hAnsi="宋体" w:cs="宋体"/>
          <w:b/>
          <w:bCs/>
          <w:szCs w:val="21"/>
        </w:rPr>
      </w:pPr>
      <w:bookmarkStart w:id="335" w:name="_Toc989225"/>
      <w:r>
        <w:rPr>
          <w:rFonts w:ascii="宋体" w:eastAsia="宋体" w:hAnsi="宋体" w:cs="宋体"/>
          <w:b/>
          <w:bCs/>
          <w:szCs w:val="21"/>
        </w:rPr>
        <w:t>（1） 对子公司投资</w:t>
      </w:r>
      <w:bookmarkEnd w:id="335"/>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B72ACA">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4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72ACA">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江阴华西化工码头有限</w:t>
            </w:r>
            <w:r>
              <w:rPr>
                <w:rFonts w:ascii="宋体" w:eastAsia="宋体" w:hAnsi="宋体" w:cs="宋体"/>
                <w:sz w:val="18"/>
                <w:szCs w:val="18"/>
              </w:rPr>
              <w:lastRenderedPageBreak/>
              <w:t>公司</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410,453,822.91</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lastRenderedPageBreak/>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企业管理咨询合伙企业（有限合伙）</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205"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bl>
    <w:p w:rsidR="00B72ACA" w:rsidRDefault="00674F05">
      <w:pPr>
        <w:keepNext/>
        <w:keepLines/>
        <w:spacing w:before="300" w:after="300" w:line="280" w:lineRule="exact"/>
        <w:outlineLvl w:val="3"/>
        <w:rPr>
          <w:rFonts w:ascii="宋体" w:eastAsia="宋体" w:hAnsi="宋体" w:cs="宋体"/>
          <w:b/>
          <w:bCs/>
          <w:szCs w:val="21"/>
        </w:rPr>
      </w:pPr>
      <w:bookmarkStart w:id="336" w:name="_Toc989226"/>
      <w:r>
        <w:rPr>
          <w:rFonts w:ascii="宋体" w:eastAsia="宋体" w:hAnsi="宋体" w:cs="宋体"/>
          <w:b/>
          <w:bCs/>
          <w:szCs w:val="21"/>
        </w:rPr>
        <w:t>（2） 对联营、合营企业投资</w:t>
      </w:r>
      <w:bookmarkEnd w:id="336"/>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5"/>
        <w:gridCol w:w="803"/>
        <w:gridCol w:w="804"/>
      </w:tblGrid>
      <w:tr w:rsidR="00B72ACA">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72ACA">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B72ACA">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22,757,888.42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1,341,349,680.62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117,066,392.94</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1,233,822,324.05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-13,392,812.55</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1,232,720,518.76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2,586,209,990.12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9,365,075.87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2,574,070,199.38</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r w:rsidR="00B72ACA">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2,586,209,990.12</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9,365,075.87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2,574,070,199.38</w:t>
            </w:r>
          </w:p>
        </w:tc>
        <w:tc>
          <w:tcPr>
            <w:tcW w:w="80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bl>
    <w:p w:rsidR="00B72ACA" w:rsidRDefault="00674F05">
      <w:pPr>
        <w:pStyle w:val="3"/>
        <w:spacing w:line="280" w:lineRule="exact"/>
        <w:jc w:val="left"/>
        <w:rPr>
          <w:rFonts w:ascii="宋体" w:hAnsi="宋体" w:cs="宋体"/>
          <w:b/>
          <w:bCs/>
        </w:rPr>
      </w:pPr>
      <w:bookmarkStart w:id="337" w:name="_Toc989227"/>
      <w:r>
        <w:rPr>
          <w:rFonts w:ascii="宋体" w:hAnsi="宋体" w:cs="宋体"/>
          <w:b/>
          <w:bCs/>
        </w:rPr>
        <w:t>4、营业收入和营业成本</w:t>
      </w:r>
      <w:bookmarkEnd w:id="337"/>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1,226,822,109.60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1,224,303,338.98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1,337,782,007.49</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1,316,209,245.00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2,335,374.97</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29,898,190.43</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1,226,638,713.95</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1,369,755,128.71</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1,346,107,435.43</w:t>
            </w:r>
          </w:p>
        </w:tc>
      </w:tr>
    </w:tbl>
    <w:p w:rsidR="00B72ACA" w:rsidRDefault="00674F05">
      <w:pPr>
        <w:spacing w:before="100" w:after="40" w:line="240" w:lineRule="exact"/>
        <w:rPr>
          <w:rFonts w:ascii="宋体" w:eastAsia="宋体" w:hAnsi="宋体" w:cs="宋体"/>
          <w:sz w:val="18"/>
          <w:szCs w:val="18"/>
        </w:rPr>
      </w:pPr>
      <w:r>
        <w:rPr>
          <w:rFonts w:ascii="宋体" w:eastAsia="宋体" w:hAnsi="宋体" w:cs="宋体"/>
          <w:sz w:val="18"/>
          <w:szCs w:val="18"/>
        </w:rPr>
        <w:t>收入相关信息：</w:t>
      </w:r>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1,226,822,109.60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1,226,822,109.60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材料销售收入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4,278,885.00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1,006,211,005.02</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1,006,211,005.02</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国外</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224,889,989.58</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224,889,989.58</w:t>
            </w: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r>
      <w:tr w:rsidR="00B72AC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r>
      <w:tr w:rsidR="00B72AC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c>
          <w:tcPr>
            <w:tcW w:w="1928"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1,231,100,994.60</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rsidR="00674F05" w:rsidRDefault="00674F05">
      <w:pPr>
        <w:pStyle w:val="a3"/>
        <w:spacing w:before="0" w:beforeAutospacing="0" w:after="0" w:afterAutospacing="0" w:line="360" w:lineRule="auto"/>
        <w:ind w:firstLine="360"/>
        <w:jc w:val="both"/>
        <w:divId w:val="523517150"/>
      </w:pPr>
      <w:r>
        <w:rPr>
          <w:rFonts w:hint="eastAsia"/>
          <w:sz w:val="18"/>
          <w:szCs w:val="18"/>
        </w:rPr>
        <w:t>本公司收入主要来源于销售商品和码头仓储服务，销售商品属于在某一时点履行履约义务。公司在满足下列条件时确认收入：</w:t>
      </w:r>
    </w:p>
    <w:p w:rsidR="00674F05" w:rsidRDefault="00674F05">
      <w:pPr>
        <w:pStyle w:val="a3"/>
        <w:spacing w:before="0" w:beforeAutospacing="0" w:after="0" w:afterAutospacing="0" w:line="360" w:lineRule="auto"/>
        <w:ind w:firstLine="360"/>
        <w:jc w:val="both"/>
        <w:divId w:val="523517150"/>
      </w:pPr>
      <w:r>
        <w:rPr>
          <w:rFonts w:hint="eastAsia"/>
          <w:sz w:val="18"/>
          <w:szCs w:val="18"/>
        </w:rPr>
        <w:t>购买方在确认接收商品后享有自行销售和使用产品的权利并承担该产品可能发生价格波动或毁损的风险。其中：</w:t>
      </w:r>
    </w:p>
    <w:p w:rsidR="00674F05" w:rsidRDefault="00674F05">
      <w:pPr>
        <w:pStyle w:val="a3"/>
        <w:spacing w:before="0" w:beforeAutospacing="0" w:after="0" w:afterAutospacing="0" w:line="360" w:lineRule="auto"/>
        <w:ind w:firstLine="360"/>
        <w:jc w:val="both"/>
        <w:divId w:val="523517150"/>
      </w:pPr>
      <w:r>
        <w:rPr>
          <w:rFonts w:hint="eastAsia"/>
          <w:sz w:val="18"/>
          <w:szCs w:val="18"/>
        </w:rPr>
        <w:t>①国内销售收入确认需满足以下条件：公司已根据合同约定将产品交付给客户且客户已接受该商品，已经收回货款或取得了收款权利的凭证等；</w:t>
      </w:r>
    </w:p>
    <w:p w:rsidR="00674F05" w:rsidRDefault="00674F05">
      <w:pPr>
        <w:pStyle w:val="a3"/>
        <w:spacing w:before="0" w:beforeAutospacing="0" w:after="0" w:afterAutospacing="0" w:line="360" w:lineRule="auto"/>
        <w:ind w:firstLine="360"/>
        <w:jc w:val="both"/>
        <w:divId w:val="523517150"/>
      </w:pPr>
      <w:r>
        <w:rPr>
          <w:rFonts w:hint="eastAsia"/>
          <w:sz w:val="18"/>
          <w:szCs w:val="18"/>
        </w:rPr>
        <w:t>②对于国外销售的产品，以产品发运、办理出口清关手续并取得报关单及货运提单时确认销售收入。</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B72ACA" w:rsidRDefault="00674F05" w:rsidP="00E8788E">
      <w:pPr>
        <w:spacing w:before="40" w:after="40" w:line="240" w:lineRule="exact"/>
        <w:ind w:firstLineChars="200" w:firstLine="360"/>
        <w:jc w:val="both"/>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签订合同、但尚未履行或尚未履行完毕的履约义务所对应的收入金额为165,529,032.05元，其中，165,529,032.05元预计将于2023年度确认收入。</w:t>
      </w:r>
    </w:p>
    <w:p w:rsidR="00674F05" w:rsidRDefault="00674F05">
      <w:pPr>
        <w:pStyle w:val="a3"/>
        <w:spacing w:before="0" w:beforeAutospacing="0" w:after="0" w:afterAutospacing="0" w:line="400" w:lineRule="atLeast"/>
        <w:ind w:firstLine="360"/>
        <w:jc w:val="both"/>
        <w:divId w:val="2064399932"/>
        <w:rPr>
          <w:rFonts w:ascii="Times New Roman" w:hAnsi="Times New Roman" w:cs="Times New Roman"/>
          <w:sz w:val="21"/>
          <w:szCs w:val="21"/>
        </w:rPr>
      </w:pPr>
      <w:r>
        <w:rPr>
          <w:rFonts w:cs="Times New Roman" w:hint="eastAsia"/>
          <w:sz w:val="18"/>
          <w:szCs w:val="18"/>
        </w:rPr>
        <w:t>前五名客户的营业收入情况：                         </w:t>
      </w:r>
      <w:r w:rsidR="00396C12">
        <w:rPr>
          <w:rFonts w:cs="Times New Roman" w:hint="eastAsia"/>
          <w:sz w:val="18"/>
          <w:szCs w:val="18"/>
        </w:rPr>
        <w:t xml:space="preserve">                  </w:t>
      </w:r>
      <w:r w:rsidR="00E8788E">
        <w:rPr>
          <w:rFonts w:cs="Times New Roman" w:hint="eastAsia"/>
          <w:sz w:val="18"/>
          <w:szCs w:val="18"/>
        </w:rPr>
        <w:t xml:space="preserve">  </w:t>
      </w:r>
      <w:r w:rsidR="00396C12">
        <w:rPr>
          <w:rFonts w:cs="Times New Roman" w:hint="eastAsia"/>
          <w:sz w:val="18"/>
          <w:szCs w:val="18"/>
        </w:rPr>
        <w:t xml:space="preserve"> </w:t>
      </w:r>
      <w:r>
        <w:rPr>
          <w:rFonts w:cs="Times New Roman" w:hint="eastAsia"/>
          <w:sz w:val="18"/>
          <w:szCs w:val="18"/>
        </w:rPr>
        <w:t>单位：元</w:t>
      </w:r>
    </w:p>
    <w:tbl>
      <w:tblPr>
        <w:tblW w:w="4914" w:type="pct"/>
        <w:tblCellMar>
          <w:left w:w="0" w:type="dxa"/>
          <w:right w:w="0" w:type="dxa"/>
        </w:tblCellMar>
        <w:tblLook w:val="04A0" w:firstRow="1" w:lastRow="0" w:firstColumn="1" w:lastColumn="0" w:noHBand="0" w:noVBand="1"/>
      </w:tblPr>
      <w:tblGrid>
        <w:gridCol w:w="3959"/>
        <w:gridCol w:w="2705"/>
        <w:gridCol w:w="2862"/>
      </w:tblGrid>
      <w:tr w:rsidR="00674F05" w:rsidTr="00A303DA">
        <w:trPr>
          <w:divId w:val="2064399932"/>
          <w:trHeight w:val="360"/>
          <w:tblHeader/>
        </w:trPr>
        <w:tc>
          <w:tcPr>
            <w:tcW w:w="207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4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0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上期金额</w:t>
            </w:r>
          </w:p>
        </w:tc>
      </w:tr>
      <w:tr w:rsidR="00674F05" w:rsidTr="00A303DA">
        <w:trPr>
          <w:divId w:val="2064399932"/>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销售前五名客户收入总额</w:t>
            </w:r>
          </w:p>
        </w:tc>
        <w:tc>
          <w:tcPr>
            <w:tcW w:w="1420" w:type="pct"/>
            <w:tcBorders>
              <w:top w:val="nil"/>
              <w:left w:val="nil"/>
              <w:bottom w:val="single" w:sz="8" w:space="0" w:color="auto"/>
              <w:right w:val="single" w:sz="8" w:space="0" w:color="auto"/>
            </w:tcBorders>
            <w:noWrap/>
            <w:tcMar>
              <w:top w:w="0" w:type="dxa"/>
              <w:left w:w="28" w:type="dxa"/>
              <w:bottom w:w="0" w:type="dxa"/>
              <w:right w:w="28" w:type="dxa"/>
            </w:tcMa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396,454,282.92</w:t>
            </w:r>
          </w:p>
        </w:tc>
        <w:tc>
          <w:tcPr>
            <w:tcW w:w="150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381,244,053.15</w:t>
            </w:r>
          </w:p>
        </w:tc>
      </w:tr>
      <w:tr w:rsidR="00674F05" w:rsidTr="00A303DA">
        <w:trPr>
          <w:divId w:val="2064399932"/>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占营业收入总额的比例</w:t>
            </w:r>
          </w:p>
        </w:tc>
        <w:tc>
          <w:tcPr>
            <w:tcW w:w="142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32.20%</w:t>
            </w:r>
          </w:p>
        </w:tc>
        <w:tc>
          <w:tcPr>
            <w:tcW w:w="150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74F05" w:rsidRDefault="00674F05">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27.83%</w:t>
            </w:r>
          </w:p>
        </w:tc>
      </w:tr>
    </w:tbl>
    <w:p w:rsidR="00674F05" w:rsidRDefault="00674F05">
      <w:pPr>
        <w:divId w:val="2064399932"/>
        <w:rPr>
          <w:rFonts w:ascii="宋体" w:hAnsi="宋体" w:cs="宋体"/>
          <w:sz w:val="24"/>
          <w:szCs w:val="24"/>
        </w:rPr>
      </w:pPr>
    </w:p>
    <w:p w:rsidR="00B72ACA" w:rsidRDefault="00674F05">
      <w:pPr>
        <w:pStyle w:val="3"/>
        <w:spacing w:line="280" w:lineRule="exact"/>
        <w:jc w:val="left"/>
        <w:rPr>
          <w:rFonts w:ascii="宋体" w:hAnsi="宋体" w:cs="宋体"/>
          <w:b/>
          <w:bCs/>
        </w:rPr>
      </w:pPr>
      <w:bookmarkStart w:id="338" w:name="_Toc989228"/>
      <w:r>
        <w:rPr>
          <w:rFonts w:ascii="宋体" w:hAnsi="宋体" w:cs="宋体"/>
          <w:b/>
          <w:bCs/>
        </w:rPr>
        <w:lastRenderedPageBreak/>
        <w:t>5、投资收益</w:t>
      </w:r>
      <w:bookmarkEnd w:id="338"/>
    </w:p>
    <w:p w:rsidR="00B72ACA" w:rsidRDefault="00674F05">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9,365,075.87</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20,855,480.64</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14,011,552.00</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13,299,333.34</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17,417,941.21</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22,664,409.21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52,284,973.85</w:t>
            </w:r>
          </w:p>
        </w:tc>
      </w:tr>
    </w:tbl>
    <w:p w:rsidR="00B72ACA" w:rsidRDefault="00674F05">
      <w:pPr>
        <w:pStyle w:val="2"/>
        <w:spacing w:before="300" w:after="300" w:line="320" w:lineRule="exact"/>
        <w:rPr>
          <w:rFonts w:ascii="宋体" w:eastAsia="宋体" w:hAnsi="宋体" w:cs="宋体"/>
          <w:b/>
          <w:bCs/>
          <w:sz w:val="24"/>
          <w:szCs w:val="24"/>
        </w:rPr>
      </w:pPr>
      <w:bookmarkStart w:id="339" w:name="_Toc989229"/>
      <w:r>
        <w:rPr>
          <w:rFonts w:ascii="宋体" w:eastAsia="宋体" w:hAnsi="宋体" w:cs="宋体"/>
          <w:b/>
          <w:bCs/>
          <w:sz w:val="24"/>
          <w:szCs w:val="24"/>
        </w:rPr>
        <w:t>十八、补充资料</w:t>
      </w:r>
      <w:bookmarkEnd w:id="339"/>
    </w:p>
    <w:p w:rsidR="00B72ACA" w:rsidRDefault="00674F05">
      <w:pPr>
        <w:pStyle w:val="3"/>
        <w:spacing w:line="280" w:lineRule="exact"/>
        <w:jc w:val="left"/>
        <w:rPr>
          <w:rFonts w:ascii="宋体" w:hAnsi="宋体" w:cs="宋体"/>
          <w:b/>
          <w:bCs/>
        </w:rPr>
      </w:pPr>
      <w:bookmarkStart w:id="340" w:name="_Toc989230"/>
      <w:r>
        <w:rPr>
          <w:rFonts w:ascii="宋体" w:hAnsi="宋体" w:cs="宋体"/>
          <w:b/>
          <w:bCs/>
        </w:rPr>
        <w:t>1、当期非经常性损益明细表</w:t>
      </w:r>
      <w:bookmarkEnd w:id="340"/>
    </w:p>
    <w:p w:rsidR="00B72ACA" w:rsidRDefault="00674F05">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72ACA" w:rsidRDefault="00674F0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1,639,178.75</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1,344,554.49</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682,134.63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B72ACA">
            <w:pPr>
              <w:spacing w:line="240" w:lineRule="exact"/>
              <w:rPr>
                <w:rFonts w:ascii="宋体" w:eastAsia="宋体" w:hAnsi="宋体" w:cs="宋体"/>
                <w:sz w:val="18"/>
                <w:szCs w:val="18"/>
              </w:rPr>
            </w:pP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2,046,403.90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B72AC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B72AC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17,090,080.03</w:t>
            </w:r>
          </w:p>
        </w:tc>
        <w:tc>
          <w:tcPr>
            <w:tcW w:w="3213" w:type="dxa"/>
            <w:tcBorders>
              <w:top w:val="single" w:sz="2" w:space="0" w:color="auto"/>
              <w:left w:val="single" w:sz="2" w:space="0" w:color="auto"/>
              <w:bottom w:val="single" w:sz="2" w:space="0" w:color="auto"/>
              <w:right w:val="single" w:sz="2" w:space="0" w:color="auto"/>
            </w:tcBorders>
            <w:vAlign w:val="center"/>
          </w:tcPr>
          <w:p w:rsidR="00B72ACA" w:rsidRDefault="00674F05" w:rsidP="00102041">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w:t>
            </w:r>
            <w:r w:rsidR="00C248A6">
              <w:rPr>
                <w:rFonts w:ascii="宋体" w:eastAsia="宋体" w:hAnsi="宋体" w:cs="宋体"/>
                <w:sz w:val="18"/>
                <w:szCs w:val="18"/>
              </w:rPr>
              <w:t>、交易性金融负债产</w:t>
            </w:r>
            <w:r>
              <w:rPr>
                <w:rFonts w:ascii="宋体" w:eastAsia="宋体" w:hAnsi="宋体" w:cs="宋体"/>
                <w:sz w:val="18"/>
                <w:szCs w:val="18"/>
              </w:rPr>
              <w:t>生的公允价值变动损益，以及处置交易性金融资产和可供出售金融资产取得的投资收益均来自于公司及子公司，系公司的经常性损益。</w:t>
            </w:r>
          </w:p>
        </w:tc>
      </w:tr>
    </w:tbl>
    <w:p w:rsidR="00B72ACA" w:rsidRDefault="00674F05">
      <w:pPr>
        <w:pStyle w:val="3"/>
        <w:spacing w:line="280" w:lineRule="exact"/>
        <w:jc w:val="left"/>
        <w:rPr>
          <w:rFonts w:ascii="宋体" w:hAnsi="宋体" w:cs="宋体"/>
          <w:b/>
          <w:bCs/>
        </w:rPr>
      </w:pPr>
      <w:bookmarkStart w:id="341" w:name="_Toc989231"/>
      <w:r>
        <w:rPr>
          <w:rFonts w:ascii="宋体" w:hAnsi="宋体" w:cs="宋体"/>
          <w:b/>
          <w:bCs/>
        </w:rPr>
        <w:t>2、净资产收益率及每股收益</w:t>
      </w:r>
      <w:bookmarkEnd w:id="34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B72ACA">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B72ACA">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B72ACA"/>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w:t>
            </w:r>
            <w:r>
              <w:rPr>
                <w:rFonts w:ascii="宋体" w:eastAsia="宋体" w:hAnsi="宋体" w:cs="宋体"/>
                <w:sz w:val="18"/>
                <w:szCs w:val="18"/>
              </w:rPr>
              <w:lastRenderedPageBreak/>
              <w:t>利润</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lastRenderedPageBreak/>
              <w:t>0.87%</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r>
      <w:tr w:rsidR="00B72AC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72ACA" w:rsidRDefault="00674F05">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0.83%</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B72ACA" w:rsidRDefault="00674F05">
            <w:pPr>
              <w:spacing w:line="240" w:lineRule="exact"/>
              <w:jc w:val="right"/>
              <w:rPr>
                <w:rFonts w:ascii="宋体" w:eastAsia="宋体" w:hAnsi="宋体" w:cs="宋体"/>
                <w:sz w:val="18"/>
                <w:szCs w:val="18"/>
              </w:rPr>
            </w:pPr>
            <w:r>
              <w:rPr>
                <w:rFonts w:ascii="宋体" w:eastAsia="宋体" w:hAnsi="宋体" w:cs="宋体"/>
                <w:sz w:val="18"/>
                <w:szCs w:val="18"/>
              </w:rPr>
              <w:t>0.05</w:t>
            </w:r>
          </w:p>
        </w:tc>
      </w:tr>
    </w:tbl>
    <w:p w:rsidR="00B72ACA" w:rsidRDefault="00674F05">
      <w:pPr>
        <w:pStyle w:val="3"/>
        <w:spacing w:line="280" w:lineRule="exact"/>
        <w:jc w:val="left"/>
        <w:rPr>
          <w:rFonts w:ascii="宋体" w:hAnsi="宋体" w:cs="宋体"/>
          <w:b/>
          <w:bCs/>
        </w:rPr>
      </w:pPr>
      <w:bookmarkStart w:id="342" w:name="_Toc989232"/>
      <w:r>
        <w:rPr>
          <w:rFonts w:ascii="宋体" w:hAnsi="宋体" w:cs="宋体"/>
          <w:b/>
          <w:bCs/>
        </w:rPr>
        <w:t>3、境内外会计准则下会计数据差异</w:t>
      </w:r>
      <w:bookmarkEnd w:id="342"/>
    </w:p>
    <w:p w:rsidR="00B72ACA" w:rsidRDefault="00674F05">
      <w:pPr>
        <w:keepNext/>
        <w:keepLines/>
        <w:spacing w:before="300" w:after="300" w:line="280" w:lineRule="exact"/>
        <w:outlineLvl w:val="3"/>
        <w:rPr>
          <w:rFonts w:ascii="宋体" w:eastAsia="宋体" w:hAnsi="宋体" w:cs="宋体"/>
          <w:b/>
          <w:bCs/>
          <w:szCs w:val="21"/>
        </w:rPr>
      </w:pPr>
      <w:bookmarkStart w:id="343" w:name="_Toc989233"/>
      <w:r>
        <w:rPr>
          <w:rFonts w:ascii="宋体" w:eastAsia="宋体" w:hAnsi="宋体" w:cs="宋体"/>
          <w:b/>
          <w:bCs/>
          <w:szCs w:val="21"/>
        </w:rPr>
        <w:t>（1） 同时按照国际会计准则与按中国会计准则披露的财务报告中净利润和净资产差异情况</w:t>
      </w:r>
      <w:bookmarkEnd w:id="343"/>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keepNext/>
        <w:keepLines/>
        <w:spacing w:before="300" w:after="300" w:line="280" w:lineRule="exact"/>
        <w:outlineLvl w:val="3"/>
        <w:rPr>
          <w:rFonts w:ascii="宋体" w:eastAsia="宋体" w:hAnsi="宋体" w:cs="宋体"/>
          <w:b/>
          <w:bCs/>
          <w:szCs w:val="21"/>
        </w:rPr>
      </w:pPr>
      <w:bookmarkStart w:id="344" w:name="_Toc989234"/>
      <w:r>
        <w:rPr>
          <w:rFonts w:ascii="宋体" w:eastAsia="宋体" w:hAnsi="宋体" w:cs="宋体"/>
          <w:b/>
          <w:bCs/>
          <w:szCs w:val="21"/>
        </w:rPr>
        <w:t>（2） 同时按照境外会计准则与按中国会计准则披露的财务报告中净利润和净资产差异情况</w:t>
      </w:r>
      <w:bookmarkEnd w:id="344"/>
    </w:p>
    <w:p w:rsidR="00B72ACA" w:rsidRDefault="00674F05">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72ACA" w:rsidRDefault="00674F05">
      <w:pPr>
        <w:keepNext/>
        <w:keepLines/>
        <w:spacing w:before="300" w:after="300" w:line="280" w:lineRule="exact"/>
        <w:outlineLvl w:val="3"/>
        <w:rPr>
          <w:rFonts w:ascii="宋体" w:eastAsia="宋体" w:hAnsi="宋体" w:cs="宋体"/>
          <w:b/>
          <w:bCs/>
          <w:szCs w:val="21"/>
        </w:rPr>
      </w:pPr>
      <w:bookmarkStart w:id="345" w:name="_Toc989235"/>
      <w:r>
        <w:rPr>
          <w:rFonts w:ascii="宋体" w:eastAsia="宋体" w:hAnsi="宋体" w:cs="宋体"/>
          <w:b/>
          <w:bCs/>
          <w:szCs w:val="21"/>
        </w:rPr>
        <w:t>（3） 境内外会计准则下会计数据差异原因说明，对已经境外审计机构审计的数据进行差异调节的，应注明该境外机构的名称</w:t>
      </w:r>
      <w:bookmarkEnd w:id="345"/>
    </w:p>
    <w:p w:rsidR="00396C12" w:rsidRDefault="00396C12" w:rsidP="00396C12">
      <w:pPr>
        <w:spacing w:line="240" w:lineRule="exact"/>
        <w:divId w:val="477577382"/>
        <w:rPr>
          <w:rFonts w:ascii="宋体" w:eastAsia="宋体" w:hAnsi="宋体" w:cs="宋体"/>
          <w:sz w:val="18"/>
          <w:szCs w:val="18"/>
        </w:rPr>
      </w:pPr>
      <w:r>
        <w:rPr>
          <w:rFonts w:ascii="宋体" w:eastAsia="宋体" w:hAnsi="宋体" w:cs="宋体"/>
          <w:sz w:val="18"/>
          <w:szCs w:val="18"/>
        </w:rPr>
        <w:t>不适用。</w:t>
      </w:r>
    </w:p>
    <w:p w:rsidR="00396C12" w:rsidRDefault="00396C12" w:rsidP="00396C12">
      <w:pPr>
        <w:spacing w:line="240" w:lineRule="exact"/>
        <w:divId w:val="477577382"/>
        <w:rPr>
          <w:rFonts w:ascii="宋体" w:eastAsia="宋体" w:hAnsi="宋体" w:cs="宋体"/>
          <w:sz w:val="18"/>
          <w:szCs w:val="18"/>
        </w:rPr>
      </w:pPr>
    </w:p>
    <w:p w:rsidR="00396C12" w:rsidRPr="003520BA" w:rsidRDefault="00396C12" w:rsidP="00396C12">
      <w:pPr>
        <w:spacing w:line="240" w:lineRule="exact"/>
        <w:divId w:val="477577382"/>
        <w:rPr>
          <w:rFonts w:ascii="宋体" w:eastAsia="宋体" w:hAnsi="宋体" w:cs="宋体"/>
          <w:sz w:val="18"/>
          <w:szCs w:val="18"/>
        </w:rPr>
      </w:pPr>
      <w:bookmarkStart w:id="346" w:name="_GoBack"/>
      <w:bookmarkEnd w:id="346"/>
    </w:p>
    <w:p w:rsidR="00396C12" w:rsidRDefault="00396C12" w:rsidP="00396C12">
      <w:pPr>
        <w:spacing w:line="240" w:lineRule="exact"/>
        <w:divId w:val="477577382"/>
        <w:rPr>
          <w:rFonts w:ascii="宋体" w:eastAsia="宋体" w:hAnsi="宋体" w:cs="宋体"/>
          <w:sz w:val="18"/>
          <w:szCs w:val="18"/>
        </w:rPr>
      </w:pPr>
    </w:p>
    <w:p w:rsidR="00396C12" w:rsidRDefault="00396C12" w:rsidP="00396C12">
      <w:pPr>
        <w:spacing w:line="240" w:lineRule="exact"/>
        <w:divId w:val="477577382"/>
        <w:rPr>
          <w:rFonts w:ascii="宋体" w:eastAsia="宋体" w:hAnsi="宋体" w:cs="宋体"/>
          <w:sz w:val="18"/>
          <w:szCs w:val="18"/>
        </w:rPr>
      </w:pPr>
    </w:p>
    <w:p w:rsidR="00674F05" w:rsidRDefault="00674F05">
      <w:pPr>
        <w:divId w:val="477577382"/>
        <w:rPr>
          <w:sz w:val="18"/>
          <w:szCs w:val="18"/>
        </w:rPr>
      </w:pPr>
    </w:p>
    <w:p w:rsidR="00396C12" w:rsidRDefault="00396C12">
      <w:pPr>
        <w:divId w:val="477577382"/>
        <w:rPr>
          <w:sz w:val="18"/>
          <w:szCs w:val="18"/>
        </w:rPr>
      </w:pPr>
    </w:p>
    <w:p w:rsidR="00396C12" w:rsidRPr="00396C12" w:rsidRDefault="00396C12">
      <w:pPr>
        <w:divId w:val="477577382"/>
        <w:rPr>
          <w:rFonts w:asciiTheme="minorEastAsia" w:hAnsiTheme="minorEastAsia"/>
          <w:b/>
          <w:szCs w:val="21"/>
        </w:rPr>
      </w:pPr>
      <w:r>
        <w:rPr>
          <w:rFonts w:hint="eastAsia"/>
          <w:sz w:val="18"/>
          <w:szCs w:val="18"/>
        </w:rPr>
        <w:t xml:space="preserve">                                                                                                                   </w:t>
      </w:r>
      <w:r w:rsidRPr="00396C12">
        <w:rPr>
          <w:rFonts w:asciiTheme="minorEastAsia" w:hAnsiTheme="minorEastAsia" w:hint="eastAsia"/>
          <w:b/>
          <w:szCs w:val="21"/>
        </w:rPr>
        <w:t xml:space="preserve">  江苏华西村股份有限公司董事会</w:t>
      </w:r>
    </w:p>
    <w:p w:rsidR="00396C12" w:rsidRPr="00396C12" w:rsidRDefault="00396C12">
      <w:pPr>
        <w:divId w:val="477577382"/>
        <w:rPr>
          <w:rFonts w:asciiTheme="minorEastAsia" w:hAnsiTheme="minorEastAsia"/>
          <w:b/>
          <w:szCs w:val="21"/>
        </w:rPr>
      </w:pPr>
    </w:p>
    <w:p w:rsidR="00396C12" w:rsidRPr="00396C12" w:rsidRDefault="00396C12" w:rsidP="003520BA">
      <w:pPr>
        <w:ind w:left="5568" w:hangingChars="2641" w:hanging="5568"/>
        <w:divId w:val="477577382"/>
        <w:rPr>
          <w:rFonts w:asciiTheme="minorEastAsia" w:hAnsiTheme="minorEastAsia"/>
          <w:b/>
          <w:szCs w:val="21"/>
        </w:rPr>
      </w:pPr>
      <w:r w:rsidRPr="00396C12">
        <w:rPr>
          <w:rFonts w:asciiTheme="minorEastAsia" w:hAnsiTheme="minorEastAsia" w:hint="eastAsia"/>
          <w:b/>
          <w:szCs w:val="21"/>
        </w:rPr>
        <w:t xml:space="preserve">                                                                                                                          董事长：</w:t>
      </w:r>
      <w:proofErr w:type="gramStart"/>
      <w:r w:rsidRPr="00396C12">
        <w:rPr>
          <w:rFonts w:asciiTheme="minorEastAsia" w:hAnsiTheme="minorEastAsia" w:hint="eastAsia"/>
          <w:b/>
          <w:szCs w:val="21"/>
        </w:rPr>
        <w:t>吴协恩</w:t>
      </w:r>
      <w:proofErr w:type="gramEnd"/>
    </w:p>
    <w:p w:rsidR="00396C12" w:rsidRPr="00396C12" w:rsidRDefault="00396C12">
      <w:pPr>
        <w:divId w:val="477577382"/>
        <w:rPr>
          <w:rFonts w:asciiTheme="minorEastAsia" w:hAnsiTheme="minorEastAsia"/>
          <w:b/>
          <w:szCs w:val="21"/>
        </w:rPr>
      </w:pPr>
    </w:p>
    <w:p w:rsidR="00396C12" w:rsidRPr="00396C12" w:rsidRDefault="00396C12" w:rsidP="009D23F1">
      <w:pPr>
        <w:ind w:leftChars="-133" w:left="5531" w:hangingChars="2756" w:hanging="5810"/>
        <w:divId w:val="477577382"/>
        <w:rPr>
          <w:rFonts w:asciiTheme="minorEastAsia" w:hAnsiTheme="minorEastAsia"/>
          <w:b/>
          <w:szCs w:val="21"/>
        </w:rPr>
      </w:pPr>
      <w:r w:rsidRPr="00396C12">
        <w:rPr>
          <w:rFonts w:asciiTheme="minorEastAsia" w:hAnsiTheme="minorEastAsia" w:hint="eastAsia"/>
          <w:b/>
          <w:szCs w:val="21"/>
        </w:rPr>
        <w:t xml:space="preserve">                                                                                                                          2023年8月28日</w:t>
      </w:r>
    </w:p>
    <w:sectPr w:rsidR="00396C12" w:rsidRPr="00396C12">
      <w:headerReference w:type="default" r:id="rId9"/>
      <w:footerReference w:type="default" r:id="rId10"/>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22" w:rsidRDefault="00CC1E22">
      <w:r>
        <w:separator/>
      </w:r>
    </w:p>
  </w:endnote>
  <w:endnote w:type="continuationSeparator" w:id="0">
    <w:p w:rsidR="00CC1E22" w:rsidRDefault="00CC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31" w:rsidRDefault="00DE0731" w:rsidP="00791B88">
    <w:pPr>
      <w:pStyle w:val="fotter1"/>
      <w:jc w:val="center"/>
    </w:pPr>
    <w:r>
      <w:fldChar w:fldCharType="begin"/>
    </w:r>
    <w:r>
      <w:instrText>PAGE   \* MERGEFORMAT</w:instrText>
    </w:r>
    <w:r>
      <w:fldChar w:fldCharType="separate"/>
    </w:r>
    <w:r w:rsidR="003520BA">
      <w:rPr>
        <w:noProof/>
      </w:rPr>
      <w:t>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22" w:rsidRDefault="00CC1E22">
      <w:r>
        <w:separator/>
      </w:r>
    </w:p>
  </w:footnote>
  <w:footnote w:type="continuationSeparator" w:id="0">
    <w:p w:rsidR="00CC1E22" w:rsidRDefault="00CC1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31" w:rsidRDefault="00DE0731">
    <w:pPr>
      <w:pStyle w:val="Header1"/>
      <w:pBdr>
        <w:bottom w:val="single" w:sz="6" w:space="1" w:color="auto"/>
      </w:pBdr>
    </w:pPr>
    <w:r>
      <w:t>江苏华西村股份有限公司2023年半年度报告全文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472C"/>
    <w:multiLevelType w:val="multilevel"/>
    <w:tmpl w:val="72B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870B8"/>
    <w:multiLevelType w:val="multilevel"/>
    <w:tmpl w:val="02A4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36F55"/>
    <w:multiLevelType w:val="multilevel"/>
    <w:tmpl w:val="BD7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93455"/>
    <w:multiLevelType w:val="multilevel"/>
    <w:tmpl w:val="A04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E8589B"/>
    <w:multiLevelType w:val="multilevel"/>
    <w:tmpl w:val="0EC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5A4C6C"/>
    <w:multiLevelType w:val="multilevel"/>
    <w:tmpl w:val="04A6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72ACA"/>
    <w:rsid w:val="00005DB5"/>
    <w:rsid w:val="0001106D"/>
    <w:rsid w:val="00082370"/>
    <w:rsid w:val="000843A0"/>
    <w:rsid w:val="000D4D72"/>
    <w:rsid w:val="00102041"/>
    <w:rsid w:val="001417A9"/>
    <w:rsid w:val="00164B18"/>
    <w:rsid w:val="00187B62"/>
    <w:rsid w:val="001C7735"/>
    <w:rsid w:val="001E551A"/>
    <w:rsid w:val="00232214"/>
    <w:rsid w:val="00261AB2"/>
    <w:rsid w:val="002C59C4"/>
    <w:rsid w:val="002C73E5"/>
    <w:rsid w:val="002E0F0A"/>
    <w:rsid w:val="002E14D9"/>
    <w:rsid w:val="002F6AC9"/>
    <w:rsid w:val="0030340F"/>
    <w:rsid w:val="003520BA"/>
    <w:rsid w:val="00371D2C"/>
    <w:rsid w:val="00396C12"/>
    <w:rsid w:val="003A2C0B"/>
    <w:rsid w:val="003B2F94"/>
    <w:rsid w:val="003C4A75"/>
    <w:rsid w:val="0042721E"/>
    <w:rsid w:val="004272E3"/>
    <w:rsid w:val="00441E22"/>
    <w:rsid w:val="0049513B"/>
    <w:rsid w:val="004B2D08"/>
    <w:rsid w:val="004E3F58"/>
    <w:rsid w:val="005028AF"/>
    <w:rsid w:val="005612C7"/>
    <w:rsid w:val="00585905"/>
    <w:rsid w:val="00597473"/>
    <w:rsid w:val="005A472C"/>
    <w:rsid w:val="00620B25"/>
    <w:rsid w:val="00633F77"/>
    <w:rsid w:val="00666E3E"/>
    <w:rsid w:val="006708AF"/>
    <w:rsid w:val="00674F05"/>
    <w:rsid w:val="006A4BD5"/>
    <w:rsid w:val="006A58B8"/>
    <w:rsid w:val="006B0B20"/>
    <w:rsid w:val="006D7C9D"/>
    <w:rsid w:val="006E04B7"/>
    <w:rsid w:val="0072714E"/>
    <w:rsid w:val="00743226"/>
    <w:rsid w:val="00743D8E"/>
    <w:rsid w:val="00791B88"/>
    <w:rsid w:val="007923A0"/>
    <w:rsid w:val="007C28A0"/>
    <w:rsid w:val="007F49B9"/>
    <w:rsid w:val="00850D4C"/>
    <w:rsid w:val="008707CA"/>
    <w:rsid w:val="008C466D"/>
    <w:rsid w:val="008D5A78"/>
    <w:rsid w:val="00901955"/>
    <w:rsid w:val="00944E1E"/>
    <w:rsid w:val="00950518"/>
    <w:rsid w:val="00953E2E"/>
    <w:rsid w:val="009563CC"/>
    <w:rsid w:val="00960694"/>
    <w:rsid w:val="0097137D"/>
    <w:rsid w:val="00991719"/>
    <w:rsid w:val="00996B2E"/>
    <w:rsid w:val="009B36DE"/>
    <w:rsid w:val="009C1D1B"/>
    <w:rsid w:val="009D1B3C"/>
    <w:rsid w:val="009D23F1"/>
    <w:rsid w:val="00A02A11"/>
    <w:rsid w:val="00A303DA"/>
    <w:rsid w:val="00A4499D"/>
    <w:rsid w:val="00A64A59"/>
    <w:rsid w:val="00A823D0"/>
    <w:rsid w:val="00AA3DB7"/>
    <w:rsid w:val="00AB2EF6"/>
    <w:rsid w:val="00AF2632"/>
    <w:rsid w:val="00B22102"/>
    <w:rsid w:val="00B72ACA"/>
    <w:rsid w:val="00BE4909"/>
    <w:rsid w:val="00C130C1"/>
    <w:rsid w:val="00C248A6"/>
    <w:rsid w:val="00C24958"/>
    <w:rsid w:val="00C270B4"/>
    <w:rsid w:val="00C41607"/>
    <w:rsid w:val="00C41F94"/>
    <w:rsid w:val="00C43F93"/>
    <w:rsid w:val="00C611D4"/>
    <w:rsid w:val="00C76F0E"/>
    <w:rsid w:val="00C80F7D"/>
    <w:rsid w:val="00CA1AAF"/>
    <w:rsid w:val="00CA63A6"/>
    <w:rsid w:val="00CC1E22"/>
    <w:rsid w:val="00CE0267"/>
    <w:rsid w:val="00CF1586"/>
    <w:rsid w:val="00D07E05"/>
    <w:rsid w:val="00D12436"/>
    <w:rsid w:val="00D670CC"/>
    <w:rsid w:val="00D757D9"/>
    <w:rsid w:val="00DA3112"/>
    <w:rsid w:val="00DC5FB1"/>
    <w:rsid w:val="00DE0731"/>
    <w:rsid w:val="00DF089E"/>
    <w:rsid w:val="00E2448C"/>
    <w:rsid w:val="00E8788E"/>
    <w:rsid w:val="00ED3154"/>
    <w:rsid w:val="00EE35F9"/>
    <w:rsid w:val="00EF5A0D"/>
    <w:rsid w:val="00F072A7"/>
    <w:rsid w:val="00F076AA"/>
    <w:rsid w:val="00F313EC"/>
    <w:rsid w:val="00F54857"/>
    <w:rsid w:val="00F93E57"/>
    <w:rsid w:val="00F94119"/>
    <w:rsid w:val="00F95A6F"/>
    <w:rsid w:val="00FC3FF9"/>
    <w:rsid w:val="00FD1F66"/>
    <w:rsid w:val="00FE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Balloon Text"/>
    <w:basedOn w:val="a"/>
    <w:link w:val="Char"/>
    <w:uiPriority w:val="99"/>
    <w:semiHidden/>
    <w:unhideWhenUsed/>
    <w:rsid w:val="00674F05"/>
    <w:rPr>
      <w:sz w:val="18"/>
      <w:szCs w:val="18"/>
    </w:rPr>
  </w:style>
  <w:style w:type="character" w:customStyle="1" w:styleId="Char">
    <w:name w:val="批注框文本 Char"/>
    <w:basedOn w:val="a0"/>
    <w:link w:val="a4"/>
    <w:uiPriority w:val="99"/>
    <w:semiHidden/>
    <w:rsid w:val="00674F05"/>
    <w:rPr>
      <w:sz w:val="18"/>
      <w:szCs w:val="18"/>
    </w:rPr>
  </w:style>
  <w:style w:type="paragraph" w:styleId="a5">
    <w:name w:val="header"/>
    <w:basedOn w:val="a"/>
    <w:link w:val="Char0"/>
    <w:uiPriority w:val="99"/>
    <w:unhideWhenUsed/>
    <w:rsid w:val="00791B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91B88"/>
    <w:rPr>
      <w:sz w:val="18"/>
      <w:szCs w:val="18"/>
    </w:rPr>
  </w:style>
  <w:style w:type="paragraph" w:styleId="a6">
    <w:name w:val="footer"/>
    <w:basedOn w:val="a"/>
    <w:link w:val="Char1"/>
    <w:uiPriority w:val="99"/>
    <w:unhideWhenUsed/>
    <w:rsid w:val="00791B88"/>
    <w:pPr>
      <w:tabs>
        <w:tab w:val="center" w:pos="4153"/>
        <w:tab w:val="right" w:pos="8306"/>
      </w:tabs>
      <w:snapToGrid w:val="0"/>
    </w:pPr>
    <w:rPr>
      <w:sz w:val="18"/>
      <w:szCs w:val="18"/>
    </w:rPr>
  </w:style>
  <w:style w:type="character" w:customStyle="1" w:styleId="Char1">
    <w:name w:val="页脚 Char"/>
    <w:basedOn w:val="a0"/>
    <w:link w:val="a6"/>
    <w:uiPriority w:val="99"/>
    <w:rsid w:val="00791B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Balloon Text"/>
    <w:basedOn w:val="a"/>
    <w:link w:val="Char"/>
    <w:uiPriority w:val="99"/>
    <w:semiHidden/>
    <w:unhideWhenUsed/>
    <w:rsid w:val="00674F05"/>
    <w:rPr>
      <w:sz w:val="18"/>
      <w:szCs w:val="18"/>
    </w:rPr>
  </w:style>
  <w:style w:type="character" w:customStyle="1" w:styleId="Char">
    <w:name w:val="批注框文本 Char"/>
    <w:basedOn w:val="a0"/>
    <w:link w:val="a4"/>
    <w:uiPriority w:val="99"/>
    <w:semiHidden/>
    <w:rsid w:val="00674F05"/>
    <w:rPr>
      <w:sz w:val="18"/>
      <w:szCs w:val="18"/>
    </w:rPr>
  </w:style>
  <w:style w:type="paragraph" w:styleId="a5">
    <w:name w:val="header"/>
    <w:basedOn w:val="a"/>
    <w:link w:val="Char0"/>
    <w:uiPriority w:val="99"/>
    <w:unhideWhenUsed/>
    <w:rsid w:val="00791B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91B88"/>
    <w:rPr>
      <w:sz w:val="18"/>
      <w:szCs w:val="18"/>
    </w:rPr>
  </w:style>
  <w:style w:type="paragraph" w:styleId="a6">
    <w:name w:val="footer"/>
    <w:basedOn w:val="a"/>
    <w:link w:val="Char1"/>
    <w:uiPriority w:val="99"/>
    <w:unhideWhenUsed/>
    <w:rsid w:val="00791B88"/>
    <w:pPr>
      <w:tabs>
        <w:tab w:val="center" w:pos="4153"/>
        <w:tab w:val="right" w:pos="8306"/>
      </w:tabs>
      <w:snapToGrid w:val="0"/>
    </w:pPr>
    <w:rPr>
      <w:sz w:val="18"/>
      <w:szCs w:val="18"/>
    </w:rPr>
  </w:style>
  <w:style w:type="character" w:customStyle="1" w:styleId="Char1">
    <w:name w:val="页脚 Char"/>
    <w:basedOn w:val="a0"/>
    <w:link w:val="a6"/>
    <w:uiPriority w:val="99"/>
    <w:rsid w:val="00791B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752">
      <w:bodyDiv w:val="1"/>
      <w:marLeft w:val="0"/>
      <w:marRight w:val="0"/>
      <w:marTop w:val="0"/>
      <w:marBottom w:val="0"/>
      <w:divBdr>
        <w:top w:val="none" w:sz="0" w:space="0" w:color="auto"/>
        <w:left w:val="none" w:sz="0" w:space="0" w:color="auto"/>
        <w:bottom w:val="none" w:sz="0" w:space="0" w:color="auto"/>
        <w:right w:val="none" w:sz="0" w:space="0" w:color="auto"/>
      </w:divBdr>
    </w:div>
    <w:div w:id="9573843">
      <w:bodyDiv w:val="1"/>
      <w:marLeft w:val="0"/>
      <w:marRight w:val="0"/>
      <w:marTop w:val="0"/>
      <w:marBottom w:val="0"/>
      <w:divBdr>
        <w:top w:val="none" w:sz="0" w:space="0" w:color="auto"/>
        <w:left w:val="none" w:sz="0" w:space="0" w:color="auto"/>
        <w:bottom w:val="none" w:sz="0" w:space="0" w:color="auto"/>
        <w:right w:val="none" w:sz="0" w:space="0" w:color="auto"/>
      </w:divBdr>
    </w:div>
    <w:div w:id="23411401">
      <w:bodyDiv w:val="1"/>
      <w:marLeft w:val="0"/>
      <w:marRight w:val="0"/>
      <w:marTop w:val="0"/>
      <w:marBottom w:val="0"/>
      <w:divBdr>
        <w:top w:val="none" w:sz="0" w:space="0" w:color="auto"/>
        <w:left w:val="none" w:sz="0" w:space="0" w:color="auto"/>
        <w:bottom w:val="none" w:sz="0" w:space="0" w:color="auto"/>
        <w:right w:val="none" w:sz="0" w:space="0" w:color="auto"/>
      </w:divBdr>
    </w:div>
    <w:div w:id="25840409">
      <w:bodyDiv w:val="1"/>
      <w:marLeft w:val="0"/>
      <w:marRight w:val="0"/>
      <w:marTop w:val="0"/>
      <w:marBottom w:val="0"/>
      <w:divBdr>
        <w:top w:val="none" w:sz="0" w:space="0" w:color="auto"/>
        <w:left w:val="none" w:sz="0" w:space="0" w:color="auto"/>
        <w:bottom w:val="none" w:sz="0" w:space="0" w:color="auto"/>
        <w:right w:val="none" w:sz="0" w:space="0" w:color="auto"/>
      </w:divBdr>
    </w:div>
    <w:div w:id="40830694">
      <w:bodyDiv w:val="1"/>
      <w:marLeft w:val="0"/>
      <w:marRight w:val="0"/>
      <w:marTop w:val="0"/>
      <w:marBottom w:val="0"/>
      <w:divBdr>
        <w:top w:val="none" w:sz="0" w:space="0" w:color="auto"/>
        <w:left w:val="none" w:sz="0" w:space="0" w:color="auto"/>
        <w:bottom w:val="none" w:sz="0" w:space="0" w:color="auto"/>
        <w:right w:val="none" w:sz="0" w:space="0" w:color="auto"/>
      </w:divBdr>
    </w:div>
    <w:div w:id="48963408">
      <w:bodyDiv w:val="1"/>
      <w:marLeft w:val="0"/>
      <w:marRight w:val="0"/>
      <w:marTop w:val="0"/>
      <w:marBottom w:val="0"/>
      <w:divBdr>
        <w:top w:val="none" w:sz="0" w:space="0" w:color="auto"/>
        <w:left w:val="none" w:sz="0" w:space="0" w:color="auto"/>
        <w:bottom w:val="none" w:sz="0" w:space="0" w:color="auto"/>
        <w:right w:val="none" w:sz="0" w:space="0" w:color="auto"/>
      </w:divBdr>
    </w:div>
    <w:div w:id="75516506">
      <w:bodyDiv w:val="1"/>
      <w:marLeft w:val="0"/>
      <w:marRight w:val="0"/>
      <w:marTop w:val="0"/>
      <w:marBottom w:val="0"/>
      <w:divBdr>
        <w:top w:val="none" w:sz="0" w:space="0" w:color="auto"/>
        <w:left w:val="none" w:sz="0" w:space="0" w:color="auto"/>
        <w:bottom w:val="none" w:sz="0" w:space="0" w:color="auto"/>
        <w:right w:val="none" w:sz="0" w:space="0" w:color="auto"/>
      </w:divBdr>
    </w:div>
    <w:div w:id="77871619">
      <w:bodyDiv w:val="1"/>
      <w:marLeft w:val="0"/>
      <w:marRight w:val="0"/>
      <w:marTop w:val="0"/>
      <w:marBottom w:val="0"/>
      <w:divBdr>
        <w:top w:val="none" w:sz="0" w:space="0" w:color="auto"/>
        <w:left w:val="none" w:sz="0" w:space="0" w:color="auto"/>
        <w:bottom w:val="none" w:sz="0" w:space="0" w:color="auto"/>
        <w:right w:val="none" w:sz="0" w:space="0" w:color="auto"/>
      </w:divBdr>
    </w:div>
    <w:div w:id="82456233">
      <w:bodyDiv w:val="1"/>
      <w:marLeft w:val="0"/>
      <w:marRight w:val="0"/>
      <w:marTop w:val="0"/>
      <w:marBottom w:val="0"/>
      <w:divBdr>
        <w:top w:val="none" w:sz="0" w:space="0" w:color="auto"/>
        <w:left w:val="none" w:sz="0" w:space="0" w:color="auto"/>
        <w:bottom w:val="none" w:sz="0" w:space="0" w:color="auto"/>
        <w:right w:val="none" w:sz="0" w:space="0" w:color="auto"/>
      </w:divBdr>
    </w:div>
    <w:div w:id="84352721">
      <w:bodyDiv w:val="1"/>
      <w:marLeft w:val="0"/>
      <w:marRight w:val="0"/>
      <w:marTop w:val="0"/>
      <w:marBottom w:val="0"/>
      <w:divBdr>
        <w:top w:val="none" w:sz="0" w:space="0" w:color="auto"/>
        <w:left w:val="none" w:sz="0" w:space="0" w:color="auto"/>
        <w:bottom w:val="none" w:sz="0" w:space="0" w:color="auto"/>
        <w:right w:val="none" w:sz="0" w:space="0" w:color="auto"/>
      </w:divBdr>
    </w:div>
    <w:div w:id="99880702">
      <w:bodyDiv w:val="1"/>
      <w:marLeft w:val="0"/>
      <w:marRight w:val="0"/>
      <w:marTop w:val="0"/>
      <w:marBottom w:val="0"/>
      <w:divBdr>
        <w:top w:val="none" w:sz="0" w:space="0" w:color="auto"/>
        <w:left w:val="none" w:sz="0" w:space="0" w:color="auto"/>
        <w:bottom w:val="none" w:sz="0" w:space="0" w:color="auto"/>
        <w:right w:val="none" w:sz="0" w:space="0" w:color="auto"/>
      </w:divBdr>
    </w:div>
    <w:div w:id="105659937">
      <w:bodyDiv w:val="1"/>
      <w:marLeft w:val="0"/>
      <w:marRight w:val="0"/>
      <w:marTop w:val="0"/>
      <w:marBottom w:val="0"/>
      <w:divBdr>
        <w:top w:val="none" w:sz="0" w:space="0" w:color="auto"/>
        <w:left w:val="none" w:sz="0" w:space="0" w:color="auto"/>
        <w:bottom w:val="none" w:sz="0" w:space="0" w:color="auto"/>
        <w:right w:val="none" w:sz="0" w:space="0" w:color="auto"/>
      </w:divBdr>
    </w:div>
    <w:div w:id="125239975">
      <w:bodyDiv w:val="1"/>
      <w:marLeft w:val="0"/>
      <w:marRight w:val="0"/>
      <w:marTop w:val="0"/>
      <w:marBottom w:val="0"/>
      <w:divBdr>
        <w:top w:val="none" w:sz="0" w:space="0" w:color="auto"/>
        <w:left w:val="none" w:sz="0" w:space="0" w:color="auto"/>
        <w:bottom w:val="none" w:sz="0" w:space="0" w:color="auto"/>
        <w:right w:val="none" w:sz="0" w:space="0" w:color="auto"/>
      </w:divBdr>
    </w:div>
    <w:div w:id="131363471">
      <w:bodyDiv w:val="1"/>
      <w:marLeft w:val="0"/>
      <w:marRight w:val="0"/>
      <w:marTop w:val="0"/>
      <w:marBottom w:val="0"/>
      <w:divBdr>
        <w:top w:val="none" w:sz="0" w:space="0" w:color="auto"/>
        <w:left w:val="none" w:sz="0" w:space="0" w:color="auto"/>
        <w:bottom w:val="none" w:sz="0" w:space="0" w:color="auto"/>
        <w:right w:val="none" w:sz="0" w:space="0" w:color="auto"/>
      </w:divBdr>
    </w:div>
    <w:div w:id="134294921">
      <w:bodyDiv w:val="1"/>
      <w:marLeft w:val="0"/>
      <w:marRight w:val="0"/>
      <w:marTop w:val="0"/>
      <w:marBottom w:val="0"/>
      <w:divBdr>
        <w:top w:val="none" w:sz="0" w:space="0" w:color="auto"/>
        <w:left w:val="none" w:sz="0" w:space="0" w:color="auto"/>
        <w:bottom w:val="none" w:sz="0" w:space="0" w:color="auto"/>
        <w:right w:val="none" w:sz="0" w:space="0" w:color="auto"/>
      </w:divBdr>
    </w:div>
    <w:div w:id="137575523">
      <w:bodyDiv w:val="1"/>
      <w:marLeft w:val="0"/>
      <w:marRight w:val="0"/>
      <w:marTop w:val="0"/>
      <w:marBottom w:val="0"/>
      <w:divBdr>
        <w:top w:val="none" w:sz="0" w:space="0" w:color="auto"/>
        <w:left w:val="none" w:sz="0" w:space="0" w:color="auto"/>
        <w:bottom w:val="none" w:sz="0" w:space="0" w:color="auto"/>
        <w:right w:val="none" w:sz="0" w:space="0" w:color="auto"/>
      </w:divBdr>
    </w:div>
    <w:div w:id="145435694">
      <w:bodyDiv w:val="1"/>
      <w:marLeft w:val="0"/>
      <w:marRight w:val="0"/>
      <w:marTop w:val="0"/>
      <w:marBottom w:val="0"/>
      <w:divBdr>
        <w:top w:val="none" w:sz="0" w:space="0" w:color="auto"/>
        <w:left w:val="none" w:sz="0" w:space="0" w:color="auto"/>
        <w:bottom w:val="none" w:sz="0" w:space="0" w:color="auto"/>
        <w:right w:val="none" w:sz="0" w:space="0" w:color="auto"/>
      </w:divBdr>
    </w:div>
    <w:div w:id="161284267">
      <w:bodyDiv w:val="1"/>
      <w:marLeft w:val="0"/>
      <w:marRight w:val="0"/>
      <w:marTop w:val="0"/>
      <w:marBottom w:val="0"/>
      <w:divBdr>
        <w:top w:val="none" w:sz="0" w:space="0" w:color="auto"/>
        <w:left w:val="none" w:sz="0" w:space="0" w:color="auto"/>
        <w:bottom w:val="none" w:sz="0" w:space="0" w:color="auto"/>
        <w:right w:val="none" w:sz="0" w:space="0" w:color="auto"/>
      </w:divBdr>
    </w:div>
    <w:div w:id="162211385">
      <w:bodyDiv w:val="1"/>
      <w:marLeft w:val="0"/>
      <w:marRight w:val="0"/>
      <w:marTop w:val="0"/>
      <w:marBottom w:val="0"/>
      <w:divBdr>
        <w:top w:val="none" w:sz="0" w:space="0" w:color="auto"/>
        <w:left w:val="none" w:sz="0" w:space="0" w:color="auto"/>
        <w:bottom w:val="none" w:sz="0" w:space="0" w:color="auto"/>
        <w:right w:val="none" w:sz="0" w:space="0" w:color="auto"/>
      </w:divBdr>
    </w:div>
    <w:div w:id="177932089">
      <w:bodyDiv w:val="1"/>
      <w:marLeft w:val="0"/>
      <w:marRight w:val="0"/>
      <w:marTop w:val="0"/>
      <w:marBottom w:val="0"/>
      <w:divBdr>
        <w:top w:val="none" w:sz="0" w:space="0" w:color="auto"/>
        <w:left w:val="none" w:sz="0" w:space="0" w:color="auto"/>
        <w:bottom w:val="none" w:sz="0" w:space="0" w:color="auto"/>
        <w:right w:val="none" w:sz="0" w:space="0" w:color="auto"/>
      </w:divBdr>
    </w:div>
    <w:div w:id="209077939">
      <w:bodyDiv w:val="1"/>
      <w:marLeft w:val="0"/>
      <w:marRight w:val="0"/>
      <w:marTop w:val="0"/>
      <w:marBottom w:val="0"/>
      <w:divBdr>
        <w:top w:val="none" w:sz="0" w:space="0" w:color="auto"/>
        <w:left w:val="none" w:sz="0" w:space="0" w:color="auto"/>
        <w:bottom w:val="none" w:sz="0" w:space="0" w:color="auto"/>
        <w:right w:val="none" w:sz="0" w:space="0" w:color="auto"/>
      </w:divBdr>
    </w:div>
    <w:div w:id="214435210">
      <w:bodyDiv w:val="1"/>
      <w:marLeft w:val="0"/>
      <w:marRight w:val="0"/>
      <w:marTop w:val="0"/>
      <w:marBottom w:val="0"/>
      <w:divBdr>
        <w:top w:val="none" w:sz="0" w:space="0" w:color="auto"/>
        <w:left w:val="none" w:sz="0" w:space="0" w:color="auto"/>
        <w:bottom w:val="none" w:sz="0" w:space="0" w:color="auto"/>
        <w:right w:val="none" w:sz="0" w:space="0" w:color="auto"/>
      </w:divBdr>
    </w:div>
    <w:div w:id="226109974">
      <w:bodyDiv w:val="1"/>
      <w:marLeft w:val="0"/>
      <w:marRight w:val="0"/>
      <w:marTop w:val="0"/>
      <w:marBottom w:val="0"/>
      <w:divBdr>
        <w:top w:val="none" w:sz="0" w:space="0" w:color="auto"/>
        <w:left w:val="none" w:sz="0" w:space="0" w:color="auto"/>
        <w:bottom w:val="none" w:sz="0" w:space="0" w:color="auto"/>
        <w:right w:val="none" w:sz="0" w:space="0" w:color="auto"/>
      </w:divBdr>
    </w:div>
    <w:div w:id="244732002">
      <w:bodyDiv w:val="1"/>
      <w:marLeft w:val="0"/>
      <w:marRight w:val="0"/>
      <w:marTop w:val="0"/>
      <w:marBottom w:val="0"/>
      <w:divBdr>
        <w:top w:val="none" w:sz="0" w:space="0" w:color="auto"/>
        <w:left w:val="none" w:sz="0" w:space="0" w:color="auto"/>
        <w:bottom w:val="none" w:sz="0" w:space="0" w:color="auto"/>
        <w:right w:val="none" w:sz="0" w:space="0" w:color="auto"/>
      </w:divBdr>
    </w:div>
    <w:div w:id="269120174">
      <w:bodyDiv w:val="1"/>
      <w:marLeft w:val="0"/>
      <w:marRight w:val="0"/>
      <w:marTop w:val="0"/>
      <w:marBottom w:val="0"/>
      <w:divBdr>
        <w:top w:val="none" w:sz="0" w:space="0" w:color="auto"/>
        <w:left w:val="none" w:sz="0" w:space="0" w:color="auto"/>
        <w:bottom w:val="none" w:sz="0" w:space="0" w:color="auto"/>
        <w:right w:val="none" w:sz="0" w:space="0" w:color="auto"/>
      </w:divBdr>
    </w:div>
    <w:div w:id="283538835">
      <w:bodyDiv w:val="1"/>
      <w:marLeft w:val="0"/>
      <w:marRight w:val="0"/>
      <w:marTop w:val="0"/>
      <w:marBottom w:val="0"/>
      <w:divBdr>
        <w:top w:val="none" w:sz="0" w:space="0" w:color="auto"/>
        <w:left w:val="none" w:sz="0" w:space="0" w:color="auto"/>
        <w:bottom w:val="none" w:sz="0" w:space="0" w:color="auto"/>
        <w:right w:val="none" w:sz="0" w:space="0" w:color="auto"/>
      </w:divBdr>
    </w:div>
    <w:div w:id="287324398">
      <w:bodyDiv w:val="1"/>
      <w:marLeft w:val="0"/>
      <w:marRight w:val="0"/>
      <w:marTop w:val="0"/>
      <w:marBottom w:val="0"/>
      <w:divBdr>
        <w:top w:val="none" w:sz="0" w:space="0" w:color="auto"/>
        <w:left w:val="none" w:sz="0" w:space="0" w:color="auto"/>
        <w:bottom w:val="none" w:sz="0" w:space="0" w:color="auto"/>
        <w:right w:val="none" w:sz="0" w:space="0" w:color="auto"/>
      </w:divBdr>
    </w:div>
    <w:div w:id="290522363">
      <w:bodyDiv w:val="1"/>
      <w:marLeft w:val="0"/>
      <w:marRight w:val="0"/>
      <w:marTop w:val="0"/>
      <w:marBottom w:val="0"/>
      <w:divBdr>
        <w:top w:val="none" w:sz="0" w:space="0" w:color="auto"/>
        <w:left w:val="none" w:sz="0" w:space="0" w:color="auto"/>
        <w:bottom w:val="none" w:sz="0" w:space="0" w:color="auto"/>
        <w:right w:val="none" w:sz="0" w:space="0" w:color="auto"/>
      </w:divBdr>
    </w:div>
    <w:div w:id="292253925">
      <w:bodyDiv w:val="1"/>
      <w:marLeft w:val="0"/>
      <w:marRight w:val="0"/>
      <w:marTop w:val="0"/>
      <w:marBottom w:val="0"/>
      <w:divBdr>
        <w:top w:val="none" w:sz="0" w:space="0" w:color="auto"/>
        <w:left w:val="none" w:sz="0" w:space="0" w:color="auto"/>
        <w:bottom w:val="none" w:sz="0" w:space="0" w:color="auto"/>
        <w:right w:val="none" w:sz="0" w:space="0" w:color="auto"/>
      </w:divBdr>
    </w:div>
    <w:div w:id="306859478">
      <w:bodyDiv w:val="1"/>
      <w:marLeft w:val="0"/>
      <w:marRight w:val="0"/>
      <w:marTop w:val="0"/>
      <w:marBottom w:val="0"/>
      <w:divBdr>
        <w:top w:val="none" w:sz="0" w:space="0" w:color="auto"/>
        <w:left w:val="none" w:sz="0" w:space="0" w:color="auto"/>
        <w:bottom w:val="none" w:sz="0" w:space="0" w:color="auto"/>
        <w:right w:val="none" w:sz="0" w:space="0" w:color="auto"/>
      </w:divBdr>
    </w:div>
    <w:div w:id="324170385">
      <w:bodyDiv w:val="1"/>
      <w:marLeft w:val="0"/>
      <w:marRight w:val="0"/>
      <w:marTop w:val="0"/>
      <w:marBottom w:val="0"/>
      <w:divBdr>
        <w:top w:val="none" w:sz="0" w:space="0" w:color="auto"/>
        <w:left w:val="none" w:sz="0" w:space="0" w:color="auto"/>
        <w:bottom w:val="none" w:sz="0" w:space="0" w:color="auto"/>
        <w:right w:val="none" w:sz="0" w:space="0" w:color="auto"/>
      </w:divBdr>
    </w:div>
    <w:div w:id="327949541">
      <w:bodyDiv w:val="1"/>
      <w:marLeft w:val="0"/>
      <w:marRight w:val="0"/>
      <w:marTop w:val="0"/>
      <w:marBottom w:val="0"/>
      <w:divBdr>
        <w:top w:val="none" w:sz="0" w:space="0" w:color="auto"/>
        <w:left w:val="none" w:sz="0" w:space="0" w:color="auto"/>
        <w:bottom w:val="none" w:sz="0" w:space="0" w:color="auto"/>
        <w:right w:val="none" w:sz="0" w:space="0" w:color="auto"/>
      </w:divBdr>
    </w:div>
    <w:div w:id="332999918">
      <w:bodyDiv w:val="1"/>
      <w:marLeft w:val="0"/>
      <w:marRight w:val="0"/>
      <w:marTop w:val="0"/>
      <w:marBottom w:val="0"/>
      <w:divBdr>
        <w:top w:val="none" w:sz="0" w:space="0" w:color="auto"/>
        <w:left w:val="none" w:sz="0" w:space="0" w:color="auto"/>
        <w:bottom w:val="none" w:sz="0" w:space="0" w:color="auto"/>
        <w:right w:val="none" w:sz="0" w:space="0" w:color="auto"/>
      </w:divBdr>
    </w:div>
    <w:div w:id="336880901">
      <w:bodyDiv w:val="1"/>
      <w:marLeft w:val="0"/>
      <w:marRight w:val="0"/>
      <w:marTop w:val="0"/>
      <w:marBottom w:val="0"/>
      <w:divBdr>
        <w:top w:val="none" w:sz="0" w:space="0" w:color="auto"/>
        <w:left w:val="none" w:sz="0" w:space="0" w:color="auto"/>
        <w:bottom w:val="none" w:sz="0" w:space="0" w:color="auto"/>
        <w:right w:val="none" w:sz="0" w:space="0" w:color="auto"/>
      </w:divBdr>
    </w:div>
    <w:div w:id="343944545">
      <w:bodyDiv w:val="1"/>
      <w:marLeft w:val="0"/>
      <w:marRight w:val="0"/>
      <w:marTop w:val="0"/>
      <w:marBottom w:val="0"/>
      <w:divBdr>
        <w:top w:val="none" w:sz="0" w:space="0" w:color="auto"/>
        <w:left w:val="none" w:sz="0" w:space="0" w:color="auto"/>
        <w:bottom w:val="none" w:sz="0" w:space="0" w:color="auto"/>
        <w:right w:val="none" w:sz="0" w:space="0" w:color="auto"/>
      </w:divBdr>
    </w:div>
    <w:div w:id="345256870">
      <w:bodyDiv w:val="1"/>
      <w:marLeft w:val="0"/>
      <w:marRight w:val="0"/>
      <w:marTop w:val="0"/>
      <w:marBottom w:val="0"/>
      <w:divBdr>
        <w:top w:val="none" w:sz="0" w:space="0" w:color="auto"/>
        <w:left w:val="none" w:sz="0" w:space="0" w:color="auto"/>
        <w:bottom w:val="none" w:sz="0" w:space="0" w:color="auto"/>
        <w:right w:val="none" w:sz="0" w:space="0" w:color="auto"/>
      </w:divBdr>
    </w:div>
    <w:div w:id="356782847">
      <w:bodyDiv w:val="1"/>
      <w:marLeft w:val="0"/>
      <w:marRight w:val="0"/>
      <w:marTop w:val="0"/>
      <w:marBottom w:val="0"/>
      <w:divBdr>
        <w:top w:val="none" w:sz="0" w:space="0" w:color="auto"/>
        <w:left w:val="none" w:sz="0" w:space="0" w:color="auto"/>
        <w:bottom w:val="none" w:sz="0" w:space="0" w:color="auto"/>
        <w:right w:val="none" w:sz="0" w:space="0" w:color="auto"/>
      </w:divBdr>
    </w:div>
    <w:div w:id="364644703">
      <w:bodyDiv w:val="1"/>
      <w:marLeft w:val="0"/>
      <w:marRight w:val="0"/>
      <w:marTop w:val="0"/>
      <w:marBottom w:val="0"/>
      <w:divBdr>
        <w:top w:val="none" w:sz="0" w:space="0" w:color="auto"/>
        <w:left w:val="none" w:sz="0" w:space="0" w:color="auto"/>
        <w:bottom w:val="none" w:sz="0" w:space="0" w:color="auto"/>
        <w:right w:val="none" w:sz="0" w:space="0" w:color="auto"/>
      </w:divBdr>
    </w:div>
    <w:div w:id="367609500">
      <w:bodyDiv w:val="1"/>
      <w:marLeft w:val="0"/>
      <w:marRight w:val="0"/>
      <w:marTop w:val="0"/>
      <w:marBottom w:val="0"/>
      <w:divBdr>
        <w:top w:val="none" w:sz="0" w:space="0" w:color="auto"/>
        <w:left w:val="none" w:sz="0" w:space="0" w:color="auto"/>
        <w:bottom w:val="none" w:sz="0" w:space="0" w:color="auto"/>
        <w:right w:val="none" w:sz="0" w:space="0" w:color="auto"/>
      </w:divBdr>
    </w:div>
    <w:div w:id="368460555">
      <w:bodyDiv w:val="1"/>
      <w:marLeft w:val="0"/>
      <w:marRight w:val="0"/>
      <w:marTop w:val="0"/>
      <w:marBottom w:val="0"/>
      <w:divBdr>
        <w:top w:val="none" w:sz="0" w:space="0" w:color="auto"/>
        <w:left w:val="none" w:sz="0" w:space="0" w:color="auto"/>
        <w:bottom w:val="none" w:sz="0" w:space="0" w:color="auto"/>
        <w:right w:val="none" w:sz="0" w:space="0" w:color="auto"/>
      </w:divBdr>
    </w:div>
    <w:div w:id="373775371">
      <w:bodyDiv w:val="1"/>
      <w:marLeft w:val="0"/>
      <w:marRight w:val="0"/>
      <w:marTop w:val="0"/>
      <w:marBottom w:val="0"/>
      <w:divBdr>
        <w:top w:val="none" w:sz="0" w:space="0" w:color="auto"/>
        <w:left w:val="none" w:sz="0" w:space="0" w:color="auto"/>
        <w:bottom w:val="none" w:sz="0" w:space="0" w:color="auto"/>
        <w:right w:val="none" w:sz="0" w:space="0" w:color="auto"/>
      </w:divBdr>
    </w:div>
    <w:div w:id="377240772">
      <w:bodyDiv w:val="1"/>
      <w:marLeft w:val="0"/>
      <w:marRight w:val="0"/>
      <w:marTop w:val="0"/>
      <w:marBottom w:val="0"/>
      <w:divBdr>
        <w:top w:val="none" w:sz="0" w:space="0" w:color="auto"/>
        <w:left w:val="none" w:sz="0" w:space="0" w:color="auto"/>
        <w:bottom w:val="none" w:sz="0" w:space="0" w:color="auto"/>
        <w:right w:val="none" w:sz="0" w:space="0" w:color="auto"/>
      </w:divBdr>
    </w:div>
    <w:div w:id="378165898">
      <w:bodyDiv w:val="1"/>
      <w:marLeft w:val="0"/>
      <w:marRight w:val="0"/>
      <w:marTop w:val="0"/>
      <w:marBottom w:val="0"/>
      <w:divBdr>
        <w:top w:val="none" w:sz="0" w:space="0" w:color="auto"/>
        <w:left w:val="none" w:sz="0" w:space="0" w:color="auto"/>
        <w:bottom w:val="none" w:sz="0" w:space="0" w:color="auto"/>
        <w:right w:val="none" w:sz="0" w:space="0" w:color="auto"/>
      </w:divBdr>
    </w:div>
    <w:div w:id="380633280">
      <w:bodyDiv w:val="1"/>
      <w:marLeft w:val="0"/>
      <w:marRight w:val="0"/>
      <w:marTop w:val="0"/>
      <w:marBottom w:val="0"/>
      <w:divBdr>
        <w:top w:val="none" w:sz="0" w:space="0" w:color="auto"/>
        <w:left w:val="none" w:sz="0" w:space="0" w:color="auto"/>
        <w:bottom w:val="none" w:sz="0" w:space="0" w:color="auto"/>
        <w:right w:val="none" w:sz="0" w:space="0" w:color="auto"/>
      </w:divBdr>
    </w:div>
    <w:div w:id="381446549">
      <w:bodyDiv w:val="1"/>
      <w:marLeft w:val="0"/>
      <w:marRight w:val="0"/>
      <w:marTop w:val="0"/>
      <w:marBottom w:val="0"/>
      <w:divBdr>
        <w:top w:val="none" w:sz="0" w:space="0" w:color="auto"/>
        <w:left w:val="none" w:sz="0" w:space="0" w:color="auto"/>
        <w:bottom w:val="none" w:sz="0" w:space="0" w:color="auto"/>
        <w:right w:val="none" w:sz="0" w:space="0" w:color="auto"/>
      </w:divBdr>
    </w:div>
    <w:div w:id="391852101">
      <w:bodyDiv w:val="1"/>
      <w:marLeft w:val="0"/>
      <w:marRight w:val="0"/>
      <w:marTop w:val="0"/>
      <w:marBottom w:val="0"/>
      <w:divBdr>
        <w:top w:val="none" w:sz="0" w:space="0" w:color="auto"/>
        <w:left w:val="none" w:sz="0" w:space="0" w:color="auto"/>
        <w:bottom w:val="none" w:sz="0" w:space="0" w:color="auto"/>
        <w:right w:val="none" w:sz="0" w:space="0" w:color="auto"/>
      </w:divBdr>
    </w:div>
    <w:div w:id="408890542">
      <w:bodyDiv w:val="1"/>
      <w:marLeft w:val="0"/>
      <w:marRight w:val="0"/>
      <w:marTop w:val="0"/>
      <w:marBottom w:val="0"/>
      <w:divBdr>
        <w:top w:val="none" w:sz="0" w:space="0" w:color="auto"/>
        <w:left w:val="none" w:sz="0" w:space="0" w:color="auto"/>
        <w:bottom w:val="none" w:sz="0" w:space="0" w:color="auto"/>
        <w:right w:val="none" w:sz="0" w:space="0" w:color="auto"/>
      </w:divBdr>
    </w:div>
    <w:div w:id="417169382">
      <w:bodyDiv w:val="1"/>
      <w:marLeft w:val="0"/>
      <w:marRight w:val="0"/>
      <w:marTop w:val="0"/>
      <w:marBottom w:val="0"/>
      <w:divBdr>
        <w:top w:val="none" w:sz="0" w:space="0" w:color="auto"/>
        <w:left w:val="none" w:sz="0" w:space="0" w:color="auto"/>
        <w:bottom w:val="none" w:sz="0" w:space="0" w:color="auto"/>
        <w:right w:val="none" w:sz="0" w:space="0" w:color="auto"/>
      </w:divBdr>
    </w:div>
    <w:div w:id="445929887">
      <w:bodyDiv w:val="1"/>
      <w:marLeft w:val="0"/>
      <w:marRight w:val="0"/>
      <w:marTop w:val="0"/>
      <w:marBottom w:val="0"/>
      <w:divBdr>
        <w:top w:val="none" w:sz="0" w:space="0" w:color="auto"/>
        <w:left w:val="none" w:sz="0" w:space="0" w:color="auto"/>
        <w:bottom w:val="none" w:sz="0" w:space="0" w:color="auto"/>
        <w:right w:val="none" w:sz="0" w:space="0" w:color="auto"/>
      </w:divBdr>
    </w:div>
    <w:div w:id="451442973">
      <w:bodyDiv w:val="1"/>
      <w:marLeft w:val="0"/>
      <w:marRight w:val="0"/>
      <w:marTop w:val="0"/>
      <w:marBottom w:val="0"/>
      <w:divBdr>
        <w:top w:val="none" w:sz="0" w:space="0" w:color="auto"/>
        <w:left w:val="none" w:sz="0" w:space="0" w:color="auto"/>
        <w:bottom w:val="none" w:sz="0" w:space="0" w:color="auto"/>
        <w:right w:val="none" w:sz="0" w:space="0" w:color="auto"/>
      </w:divBdr>
    </w:div>
    <w:div w:id="452671222">
      <w:bodyDiv w:val="1"/>
      <w:marLeft w:val="0"/>
      <w:marRight w:val="0"/>
      <w:marTop w:val="0"/>
      <w:marBottom w:val="0"/>
      <w:divBdr>
        <w:top w:val="none" w:sz="0" w:space="0" w:color="auto"/>
        <w:left w:val="none" w:sz="0" w:space="0" w:color="auto"/>
        <w:bottom w:val="none" w:sz="0" w:space="0" w:color="auto"/>
        <w:right w:val="none" w:sz="0" w:space="0" w:color="auto"/>
      </w:divBdr>
    </w:div>
    <w:div w:id="454178152">
      <w:bodyDiv w:val="1"/>
      <w:marLeft w:val="0"/>
      <w:marRight w:val="0"/>
      <w:marTop w:val="0"/>
      <w:marBottom w:val="0"/>
      <w:divBdr>
        <w:top w:val="none" w:sz="0" w:space="0" w:color="auto"/>
        <w:left w:val="none" w:sz="0" w:space="0" w:color="auto"/>
        <w:bottom w:val="none" w:sz="0" w:space="0" w:color="auto"/>
        <w:right w:val="none" w:sz="0" w:space="0" w:color="auto"/>
      </w:divBdr>
    </w:div>
    <w:div w:id="468328275">
      <w:bodyDiv w:val="1"/>
      <w:marLeft w:val="0"/>
      <w:marRight w:val="0"/>
      <w:marTop w:val="0"/>
      <w:marBottom w:val="0"/>
      <w:divBdr>
        <w:top w:val="none" w:sz="0" w:space="0" w:color="auto"/>
        <w:left w:val="none" w:sz="0" w:space="0" w:color="auto"/>
        <w:bottom w:val="none" w:sz="0" w:space="0" w:color="auto"/>
        <w:right w:val="none" w:sz="0" w:space="0" w:color="auto"/>
      </w:divBdr>
    </w:div>
    <w:div w:id="477577382">
      <w:bodyDiv w:val="1"/>
      <w:marLeft w:val="0"/>
      <w:marRight w:val="0"/>
      <w:marTop w:val="0"/>
      <w:marBottom w:val="0"/>
      <w:divBdr>
        <w:top w:val="none" w:sz="0" w:space="0" w:color="auto"/>
        <w:left w:val="none" w:sz="0" w:space="0" w:color="auto"/>
        <w:bottom w:val="none" w:sz="0" w:space="0" w:color="auto"/>
        <w:right w:val="none" w:sz="0" w:space="0" w:color="auto"/>
      </w:divBdr>
    </w:div>
    <w:div w:id="481577685">
      <w:bodyDiv w:val="1"/>
      <w:marLeft w:val="0"/>
      <w:marRight w:val="0"/>
      <w:marTop w:val="0"/>
      <w:marBottom w:val="0"/>
      <w:divBdr>
        <w:top w:val="none" w:sz="0" w:space="0" w:color="auto"/>
        <w:left w:val="none" w:sz="0" w:space="0" w:color="auto"/>
        <w:bottom w:val="none" w:sz="0" w:space="0" w:color="auto"/>
        <w:right w:val="none" w:sz="0" w:space="0" w:color="auto"/>
      </w:divBdr>
    </w:div>
    <w:div w:id="523517150">
      <w:bodyDiv w:val="1"/>
      <w:marLeft w:val="0"/>
      <w:marRight w:val="0"/>
      <w:marTop w:val="0"/>
      <w:marBottom w:val="0"/>
      <w:divBdr>
        <w:top w:val="none" w:sz="0" w:space="0" w:color="auto"/>
        <w:left w:val="none" w:sz="0" w:space="0" w:color="auto"/>
        <w:bottom w:val="none" w:sz="0" w:space="0" w:color="auto"/>
        <w:right w:val="none" w:sz="0" w:space="0" w:color="auto"/>
      </w:divBdr>
    </w:div>
    <w:div w:id="534469918">
      <w:bodyDiv w:val="1"/>
      <w:marLeft w:val="0"/>
      <w:marRight w:val="0"/>
      <w:marTop w:val="0"/>
      <w:marBottom w:val="0"/>
      <w:divBdr>
        <w:top w:val="none" w:sz="0" w:space="0" w:color="auto"/>
        <w:left w:val="none" w:sz="0" w:space="0" w:color="auto"/>
        <w:bottom w:val="none" w:sz="0" w:space="0" w:color="auto"/>
        <w:right w:val="none" w:sz="0" w:space="0" w:color="auto"/>
      </w:divBdr>
    </w:div>
    <w:div w:id="543375281">
      <w:bodyDiv w:val="1"/>
      <w:marLeft w:val="0"/>
      <w:marRight w:val="0"/>
      <w:marTop w:val="0"/>
      <w:marBottom w:val="0"/>
      <w:divBdr>
        <w:top w:val="none" w:sz="0" w:space="0" w:color="auto"/>
        <w:left w:val="none" w:sz="0" w:space="0" w:color="auto"/>
        <w:bottom w:val="none" w:sz="0" w:space="0" w:color="auto"/>
        <w:right w:val="none" w:sz="0" w:space="0" w:color="auto"/>
      </w:divBdr>
    </w:div>
    <w:div w:id="548103953">
      <w:bodyDiv w:val="1"/>
      <w:marLeft w:val="0"/>
      <w:marRight w:val="0"/>
      <w:marTop w:val="0"/>
      <w:marBottom w:val="0"/>
      <w:divBdr>
        <w:top w:val="none" w:sz="0" w:space="0" w:color="auto"/>
        <w:left w:val="none" w:sz="0" w:space="0" w:color="auto"/>
        <w:bottom w:val="none" w:sz="0" w:space="0" w:color="auto"/>
        <w:right w:val="none" w:sz="0" w:space="0" w:color="auto"/>
      </w:divBdr>
    </w:div>
    <w:div w:id="554976816">
      <w:bodyDiv w:val="1"/>
      <w:marLeft w:val="0"/>
      <w:marRight w:val="0"/>
      <w:marTop w:val="0"/>
      <w:marBottom w:val="0"/>
      <w:divBdr>
        <w:top w:val="none" w:sz="0" w:space="0" w:color="auto"/>
        <w:left w:val="none" w:sz="0" w:space="0" w:color="auto"/>
        <w:bottom w:val="none" w:sz="0" w:space="0" w:color="auto"/>
        <w:right w:val="none" w:sz="0" w:space="0" w:color="auto"/>
      </w:divBdr>
    </w:div>
    <w:div w:id="557715752">
      <w:bodyDiv w:val="1"/>
      <w:marLeft w:val="0"/>
      <w:marRight w:val="0"/>
      <w:marTop w:val="0"/>
      <w:marBottom w:val="0"/>
      <w:divBdr>
        <w:top w:val="none" w:sz="0" w:space="0" w:color="auto"/>
        <w:left w:val="none" w:sz="0" w:space="0" w:color="auto"/>
        <w:bottom w:val="none" w:sz="0" w:space="0" w:color="auto"/>
        <w:right w:val="none" w:sz="0" w:space="0" w:color="auto"/>
      </w:divBdr>
    </w:div>
    <w:div w:id="567693267">
      <w:bodyDiv w:val="1"/>
      <w:marLeft w:val="0"/>
      <w:marRight w:val="0"/>
      <w:marTop w:val="0"/>
      <w:marBottom w:val="0"/>
      <w:divBdr>
        <w:top w:val="none" w:sz="0" w:space="0" w:color="auto"/>
        <w:left w:val="none" w:sz="0" w:space="0" w:color="auto"/>
        <w:bottom w:val="none" w:sz="0" w:space="0" w:color="auto"/>
        <w:right w:val="none" w:sz="0" w:space="0" w:color="auto"/>
      </w:divBdr>
    </w:div>
    <w:div w:id="574559774">
      <w:bodyDiv w:val="1"/>
      <w:marLeft w:val="0"/>
      <w:marRight w:val="0"/>
      <w:marTop w:val="0"/>
      <w:marBottom w:val="0"/>
      <w:divBdr>
        <w:top w:val="none" w:sz="0" w:space="0" w:color="auto"/>
        <w:left w:val="none" w:sz="0" w:space="0" w:color="auto"/>
        <w:bottom w:val="none" w:sz="0" w:space="0" w:color="auto"/>
        <w:right w:val="none" w:sz="0" w:space="0" w:color="auto"/>
      </w:divBdr>
    </w:div>
    <w:div w:id="590505469">
      <w:bodyDiv w:val="1"/>
      <w:marLeft w:val="0"/>
      <w:marRight w:val="0"/>
      <w:marTop w:val="0"/>
      <w:marBottom w:val="0"/>
      <w:divBdr>
        <w:top w:val="none" w:sz="0" w:space="0" w:color="auto"/>
        <w:left w:val="none" w:sz="0" w:space="0" w:color="auto"/>
        <w:bottom w:val="none" w:sz="0" w:space="0" w:color="auto"/>
        <w:right w:val="none" w:sz="0" w:space="0" w:color="auto"/>
      </w:divBdr>
    </w:div>
    <w:div w:id="591397953">
      <w:bodyDiv w:val="1"/>
      <w:marLeft w:val="0"/>
      <w:marRight w:val="0"/>
      <w:marTop w:val="0"/>
      <w:marBottom w:val="0"/>
      <w:divBdr>
        <w:top w:val="none" w:sz="0" w:space="0" w:color="auto"/>
        <w:left w:val="none" w:sz="0" w:space="0" w:color="auto"/>
        <w:bottom w:val="none" w:sz="0" w:space="0" w:color="auto"/>
        <w:right w:val="none" w:sz="0" w:space="0" w:color="auto"/>
      </w:divBdr>
    </w:div>
    <w:div w:id="593898089">
      <w:bodyDiv w:val="1"/>
      <w:marLeft w:val="0"/>
      <w:marRight w:val="0"/>
      <w:marTop w:val="0"/>
      <w:marBottom w:val="0"/>
      <w:divBdr>
        <w:top w:val="none" w:sz="0" w:space="0" w:color="auto"/>
        <w:left w:val="none" w:sz="0" w:space="0" w:color="auto"/>
        <w:bottom w:val="none" w:sz="0" w:space="0" w:color="auto"/>
        <w:right w:val="none" w:sz="0" w:space="0" w:color="auto"/>
      </w:divBdr>
    </w:div>
    <w:div w:id="599221179">
      <w:bodyDiv w:val="1"/>
      <w:marLeft w:val="0"/>
      <w:marRight w:val="0"/>
      <w:marTop w:val="0"/>
      <w:marBottom w:val="0"/>
      <w:divBdr>
        <w:top w:val="none" w:sz="0" w:space="0" w:color="auto"/>
        <w:left w:val="none" w:sz="0" w:space="0" w:color="auto"/>
        <w:bottom w:val="none" w:sz="0" w:space="0" w:color="auto"/>
        <w:right w:val="none" w:sz="0" w:space="0" w:color="auto"/>
      </w:divBdr>
    </w:div>
    <w:div w:id="619840158">
      <w:bodyDiv w:val="1"/>
      <w:marLeft w:val="0"/>
      <w:marRight w:val="0"/>
      <w:marTop w:val="0"/>
      <w:marBottom w:val="0"/>
      <w:divBdr>
        <w:top w:val="none" w:sz="0" w:space="0" w:color="auto"/>
        <w:left w:val="none" w:sz="0" w:space="0" w:color="auto"/>
        <w:bottom w:val="none" w:sz="0" w:space="0" w:color="auto"/>
        <w:right w:val="none" w:sz="0" w:space="0" w:color="auto"/>
      </w:divBdr>
    </w:div>
    <w:div w:id="622346445">
      <w:bodyDiv w:val="1"/>
      <w:marLeft w:val="0"/>
      <w:marRight w:val="0"/>
      <w:marTop w:val="0"/>
      <w:marBottom w:val="0"/>
      <w:divBdr>
        <w:top w:val="none" w:sz="0" w:space="0" w:color="auto"/>
        <w:left w:val="none" w:sz="0" w:space="0" w:color="auto"/>
        <w:bottom w:val="none" w:sz="0" w:space="0" w:color="auto"/>
        <w:right w:val="none" w:sz="0" w:space="0" w:color="auto"/>
      </w:divBdr>
    </w:div>
    <w:div w:id="628711167">
      <w:bodyDiv w:val="1"/>
      <w:marLeft w:val="0"/>
      <w:marRight w:val="0"/>
      <w:marTop w:val="0"/>
      <w:marBottom w:val="0"/>
      <w:divBdr>
        <w:top w:val="none" w:sz="0" w:space="0" w:color="auto"/>
        <w:left w:val="none" w:sz="0" w:space="0" w:color="auto"/>
        <w:bottom w:val="none" w:sz="0" w:space="0" w:color="auto"/>
        <w:right w:val="none" w:sz="0" w:space="0" w:color="auto"/>
      </w:divBdr>
    </w:div>
    <w:div w:id="638344755">
      <w:bodyDiv w:val="1"/>
      <w:marLeft w:val="0"/>
      <w:marRight w:val="0"/>
      <w:marTop w:val="0"/>
      <w:marBottom w:val="0"/>
      <w:divBdr>
        <w:top w:val="none" w:sz="0" w:space="0" w:color="auto"/>
        <w:left w:val="none" w:sz="0" w:space="0" w:color="auto"/>
        <w:bottom w:val="none" w:sz="0" w:space="0" w:color="auto"/>
        <w:right w:val="none" w:sz="0" w:space="0" w:color="auto"/>
      </w:divBdr>
    </w:div>
    <w:div w:id="646398771">
      <w:bodyDiv w:val="1"/>
      <w:marLeft w:val="0"/>
      <w:marRight w:val="0"/>
      <w:marTop w:val="0"/>
      <w:marBottom w:val="0"/>
      <w:divBdr>
        <w:top w:val="none" w:sz="0" w:space="0" w:color="auto"/>
        <w:left w:val="none" w:sz="0" w:space="0" w:color="auto"/>
        <w:bottom w:val="none" w:sz="0" w:space="0" w:color="auto"/>
        <w:right w:val="none" w:sz="0" w:space="0" w:color="auto"/>
      </w:divBdr>
    </w:div>
    <w:div w:id="648831240">
      <w:bodyDiv w:val="1"/>
      <w:marLeft w:val="0"/>
      <w:marRight w:val="0"/>
      <w:marTop w:val="0"/>
      <w:marBottom w:val="0"/>
      <w:divBdr>
        <w:top w:val="none" w:sz="0" w:space="0" w:color="auto"/>
        <w:left w:val="none" w:sz="0" w:space="0" w:color="auto"/>
        <w:bottom w:val="none" w:sz="0" w:space="0" w:color="auto"/>
        <w:right w:val="none" w:sz="0" w:space="0" w:color="auto"/>
      </w:divBdr>
    </w:div>
    <w:div w:id="656032172">
      <w:bodyDiv w:val="1"/>
      <w:marLeft w:val="0"/>
      <w:marRight w:val="0"/>
      <w:marTop w:val="0"/>
      <w:marBottom w:val="0"/>
      <w:divBdr>
        <w:top w:val="none" w:sz="0" w:space="0" w:color="auto"/>
        <w:left w:val="none" w:sz="0" w:space="0" w:color="auto"/>
        <w:bottom w:val="none" w:sz="0" w:space="0" w:color="auto"/>
        <w:right w:val="none" w:sz="0" w:space="0" w:color="auto"/>
      </w:divBdr>
    </w:div>
    <w:div w:id="670840756">
      <w:bodyDiv w:val="1"/>
      <w:marLeft w:val="0"/>
      <w:marRight w:val="0"/>
      <w:marTop w:val="0"/>
      <w:marBottom w:val="0"/>
      <w:divBdr>
        <w:top w:val="none" w:sz="0" w:space="0" w:color="auto"/>
        <w:left w:val="none" w:sz="0" w:space="0" w:color="auto"/>
        <w:bottom w:val="none" w:sz="0" w:space="0" w:color="auto"/>
        <w:right w:val="none" w:sz="0" w:space="0" w:color="auto"/>
      </w:divBdr>
    </w:div>
    <w:div w:id="695235973">
      <w:bodyDiv w:val="1"/>
      <w:marLeft w:val="0"/>
      <w:marRight w:val="0"/>
      <w:marTop w:val="0"/>
      <w:marBottom w:val="0"/>
      <w:divBdr>
        <w:top w:val="none" w:sz="0" w:space="0" w:color="auto"/>
        <w:left w:val="none" w:sz="0" w:space="0" w:color="auto"/>
        <w:bottom w:val="none" w:sz="0" w:space="0" w:color="auto"/>
        <w:right w:val="none" w:sz="0" w:space="0" w:color="auto"/>
      </w:divBdr>
    </w:div>
    <w:div w:id="703409927">
      <w:bodyDiv w:val="1"/>
      <w:marLeft w:val="0"/>
      <w:marRight w:val="0"/>
      <w:marTop w:val="0"/>
      <w:marBottom w:val="0"/>
      <w:divBdr>
        <w:top w:val="none" w:sz="0" w:space="0" w:color="auto"/>
        <w:left w:val="none" w:sz="0" w:space="0" w:color="auto"/>
        <w:bottom w:val="none" w:sz="0" w:space="0" w:color="auto"/>
        <w:right w:val="none" w:sz="0" w:space="0" w:color="auto"/>
      </w:divBdr>
    </w:div>
    <w:div w:id="714355568">
      <w:bodyDiv w:val="1"/>
      <w:marLeft w:val="0"/>
      <w:marRight w:val="0"/>
      <w:marTop w:val="0"/>
      <w:marBottom w:val="0"/>
      <w:divBdr>
        <w:top w:val="none" w:sz="0" w:space="0" w:color="auto"/>
        <w:left w:val="none" w:sz="0" w:space="0" w:color="auto"/>
        <w:bottom w:val="none" w:sz="0" w:space="0" w:color="auto"/>
        <w:right w:val="none" w:sz="0" w:space="0" w:color="auto"/>
      </w:divBdr>
    </w:div>
    <w:div w:id="723333559">
      <w:bodyDiv w:val="1"/>
      <w:marLeft w:val="0"/>
      <w:marRight w:val="0"/>
      <w:marTop w:val="0"/>
      <w:marBottom w:val="0"/>
      <w:divBdr>
        <w:top w:val="none" w:sz="0" w:space="0" w:color="auto"/>
        <w:left w:val="none" w:sz="0" w:space="0" w:color="auto"/>
        <w:bottom w:val="none" w:sz="0" w:space="0" w:color="auto"/>
        <w:right w:val="none" w:sz="0" w:space="0" w:color="auto"/>
      </w:divBdr>
    </w:div>
    <w:div w:id="727067367">
      <w:bodyDiv w:val="1"/>
      <w:marLeft w:val="0"/>
      <w:marRight w:val="0"/>
      <w:marTop w:val="0"/>
      <w:marBottom w:val="0"/>
      <w:divBdr>
        <w:top w:val="none" w:sz="0" w:space="0" w:color="auto"/>
        <w:left w:val="none" w:sz="0" w:space="0" w:color="auto"/>
        <w:bottom w:val="none" w:sz="0" w:space="0" w:color="auto"/>
        <w:right w:val="none" w:sz="0" w:space="0" w:color="auto"/>
      </w:divBdr>
    </w:div>
    <w:div w:id="752436381">
      <w:bodyDiv w:val="1"/>
      <w:marLeft w:val="0"/>
      <w:marRight w:val="0"/>
      <w:marTop w:val="0"/>
      <w:marBottom w:val="0"/>
      <w:divBdr>
        <w:top w:val="none" w:sz="0" w:space="0" w:color="auto"/>
        <w:left w:val="none" w:sz="0" w:space="0" w:color="auto"/>
        <w:bottom w:val="none" w:sz="0" w:space="0" w:color="auto"/>
        <w:right w:val="none" w:sz="0" w:space="0" w:color="auto"/>
      </w:divBdr>
    </w:div>
    <w:div w:id="756024124">
      <w:bodyDiv w:val="1"/>
      <w:marLeft w:val="0"/>
      <w:marRight w:val="0"/>
      <w:marTop w:val="0"/>
      <w:marBottom w:val="0"/>
      <w:divBdr>
        <w:top w:val="none" w:sz="0" w:space="0" w:color="auto"/>
        <w:left w:val="none" w:sz="0" w:space="0" w:color="auto"/>
        <w:bottom w:val="none" w:sz="0" w:space="0" w:color="auto"/>
        <w:right w:val="none" w:sz="0" w:space="0" w:color="auto"/>
      </w:divBdr>
    </w:div>
    <w:div w:id="768352553">
      <w:bodyDiv w:val="1"/>
      <w:marLeft w:val="0"/>
      <w:marRight w:val="0"/>
      <w:marTop w:val="0"/>
      <w:marBottom w:val="0"/>
      <w:divBdr>
        <w:top w:val="none" w:sz="0" w:space="0" w:color="auto"/>
        <w:left w:val="none" w:sz="0" w:space="0" w:color="auto"/>
        <w:bottom w:val="none" w:sz="0" w:space="0" w:color="auto"/>
        <w:right w:val="none" w:sz="0" w:space="0" w:color="auto"/>
      </w:divBdr>
    </w:div>
    <w:div w:id="779489943">
      <w:bodyDiv w:val="1"/>
      <w:marLeft w:val="0"/>
      <w:marRight w:val="0"/>
      <w:marTop w:val="0"/>
      <w:marBottom w:val="0"/>
      <w:divBdr>
        <w:top w:val="none" w:sz="0" w:space="0" w:color="auto"/>
        <w:left w:val="none" w:sz="0" w:space="0" w:color="auto"/>
        <w:bottom w:val="none" w:sz="0" w:space="0" w:color="auto"/>
        <w:right w:val="none" w:sz="0" w:space="0" w:color="auto"/>
      </w:divBdr>
    </w:div>
    <w:div w:id="781144911">
      <w:bodyDiv w:val="1"/>
      <w:marLeft w:val="0"/>
      <w:marRight w:val="0"/>
      <w:marTop w:val="0"/>
      <w:marBottom w:val="0"/>
      <w:divBdr>
        <w:top w:val="none" w:sz="0" w:space="0" w:color="auto"/>
        <w:left w:val="none" w:sz="0" w:space="0" w:color="auto"/>
        <w:bottom w:val="none" w:sz="0" w:space="0" w:color="auto"/>
        <w:right w:val="none" w:sz="0" w:space="0" w:color="auto"/>
      </w:divBdr>
    </w:div>
    <w:div w:id="791674990">
      <w:bodyDiv w:val="1"/>
      <w:marLeft w:val="0"/>
      <w:marRight w:val="0"/>
      <w:marTop w:val="0"/>
      <w:marBottom w:val="0"/>
      <w:divBdr>
        <w:top w:val="none" w:sz="0" w:space="0" w:color="auto"/>
        <w:left w:val="none" w:sz="0" w:space="0" w:color="auto"/>
        <w:bottom w:val="none" w:sz="0" w:space="0" w:color="auto"/>
        <w:right w:val="none" w:sz="0" w:space="0" w:color="auto"/>
      </w:divBdr>
    </w:div>
    <w:div w:id="794371202">
      <w:bodyDiv w:val="1"/>
      <w:marLeft w:val="0"/>
      <w:marRight w:val="0"/>
      <w:marTop w:val="0"/>
      <w:marBottom w:val="0"/>
      <w:divBdr>
        <w:top w:val="none" w:sz="0" w:space="0" w:color="auto"/>
        <w:left w:val="none" w:sz="0" w:space="0" w:color="auto"/>
        <w:bottom w:val="none" w:sz="0" w:space="0" w:color="auto"/>
        <w:right w:val="none" w:sz="0" w:space="0" w:color="auto"/>
      </w:divBdr>
    </w:div>
    <w:div w:id="808211164">
      <w:bodyDiv w:val="1"/>
      <w:marLeft w:val="0"/>
      <w:marRight w:val="0"/>
      <w:marTop w:val="0"/>
      <w:marBottom w:val="0"/>
      <w:divBdr>
        <w:top w:val="none" w:sz="0" w:space="0" w:color="auto"/>
        <w:left w:val="none" w:sz="0" w:space="0" w:color="auto"/>
        <w:bottom w:val="none" w:sz="0" w:space="0" w:color="auto"/>
        <w:right w:val="none" w:sz="0" w:space="0" w:color="auto"/>
      </w:divBdr>
    </w:div>
    <w:div w:id="812715853">
      <w:bodyDiv w:val="1"/>
      <w:marLeft w:val="0"/>
      <w:marRight w:val="0"/>
      <w:marTop w:val="0"/>
      <w:marBottom w:val="0"/>
      <w:divBdr>
        <w:top w:val="none" w:sz="0" w:space="0" w:color="auto"/>
        <w:left w:val="none" w:sz="0" w:space="0" w:color="auto"/>
        <w:bottom w:val="none" w:sz="0" w:space="0" w:color="auto"/>
        <w:right w:val="none" w:sz="0" w:space="0" w:color="auto"/>
      </w:divBdr>
    </w:div>
    <w:div w:id="843326983">
      <w:bodyDiv w:val="1"/>
      <w:marLeft w:val="0"/>
      <w:marRight w:val="0"/>
      <w:marTop w:val="0"/>
      <w:marBottom w:val="0"/>
      <w:divBdr>
        <w:top w:val="none" w:sz="0" w:space="0" w:color="auto"/>
        <w:left w:val="none" w:sz="0" w:space="0" w:color="auto"/>
        <w:bottom w:val="none" w:sz="0" w:space="0" w:color="auto"/>
        <w:right w:val="none" w:sz="0" w:space="0" w:color="auto"/>
      </w:divBdr>
    </w:div>
    <w:div w:id="858740495">
      <w:bodyDiv w:val="1"/>
      <w:marLeft w:val="0"/>
      <w:marRight w:val="0"/>
      <w:marTop w:val="0"/>
      <w:marBottom w:val="0"/>
      <w:divBdr>
        <w:top w:val="none" w:sz="0" w:space="0" w:color="auto"/>
        <w:left w:val="none" w:sz="0" w:space="0" w:color="auto"/>
        <w:bottom w:val="none" w:sz="0" w:space="0" w:color="auto"/>
        <w:right w:val="none" w:sz="0" w:space="0" w:color="auto"/>
      </w:divBdr>
    </w:div>
    <w:div w:id="867789593">
      <w:bodyDiv w:val="1"/>
      <w:marLeft w:val="0"/>
      <w:marRight w:val="0"/>
      <w:marTop w:val="0"/>
      <w:marBottom w:val="0"/>
      <w:divBdr>
        <w:top w:val="none" w:sz="0" w:space="0" w:color="auto"/>
        <w:left w:val="none" w:sz="0" w:space="0" w:color="auto"/>
        <w:bottom w:val="none" w:sz="0" w:space="0" w:color="auto"/>
        <w:right w:val="none" w:sz="0" w:space="0" w:color="auto"/>
      </w:divBdr>
    </w:div>
    <w:div w:id="871302765">
      <w:bodyDiv w:val="1"/>
      <w:marLeft w:val="0"/>
      <w:marRight w:val="0"/>
      <w:marTop w:val="0"/>
      <w:marBottom w:val="0"/>
      <w:divBdr>
        <w:top w:val="none" w:sz="0" w:space="0" w:color="auto"/>
        <w:left w:val="none" w:sz="0" w:space="0" w:color="auto"/>
        <w:bottom w:val="none" w:sz="0" w:space="0" w:color="auto"/>
        <w:right w:val="none" w:sz="0" w:space="0" w:color="auto"/>
      </w:divBdr>
    </w:div>
    <w:div w:id="873660839">
      <w:bodyDiv w:val="1"/>
      <w:marLeft w:val="0"/>
      <w:marRight w:val="0"/>
      <w:marTop w:val="0"/>
      <w:marBottom w:val="0"/>
      <w:divBdr>
        <w:top w:val="none" w:sz="0" w:space="0" w:color="auto"/>
        <w:left w:val="none" w:sz="0" w:space="0" w:color="auto"/>
        <w:bottom w:val="none" w:sz="0" w:space="0" w:color="auto"/>
        <w:right w:val="none" w:sz="0" w:space="0" w:color="auto"/>
      </w:divBdr>
    </w:div>
    <w:div w:id="884217803">
      <w:bodyDiv w:val="1"/>
      <w:marLeft w:val="0"/>
      <w:marRight w:val="0"/>
      <w:marTop w:val="0"/>
      <w:marBottom w:val="0"/>
      <w:divBdr>
        <w:top w:val="none" w:sz="0" w:space="0" w:color="auto"/>
        <w:left w:val="none" w:sz="0" w:space="0" w:color="auto"/>
        <w:bottom w:val="none" w:sz="0" w:space="0" w:color="auto"/>
        <w:right w:val="none" w:sz="0" w:space="0" w:color="auto"/>
      </w:divBdr>
    </w:div>
    <w:div w:id="909734422">
      <w:bodyDiv w:val="1"/>
      <w:marLeft w:val="0"/>
      <w:marRight w:val="0"/>
      <w:marTop w:val="0"/>
      <w:marBottom w:val="0"/>
      <w:divBdr>
        <w:top w:val="none" w:sz="0" w:space="0" w:color="auto"/>
        <w:left w:val="none" w:sz="0" w:space="0" w:color="auto"/>
        <w:bottom w:val="none" w:sz="0" w:space="0" w:color="auto"/>
        <w:right w:val="none" w:sz="0" w:space="0" w:color="auto"/>
      </w:divBdr>
    </w:div>
    <w:div w:id="924917942">
      <w:bodyDiv w:val="1"/>
      <w:marLeft w:val="0"/>
      <w:marRight w:val="0"/>
      <w:marTop w:val="0"/>
      <w:marBottom w:val="0"/>
      <w:divBdr>
        <w:top w:val="none" w:sz="0" w:space="0" w:color="auto"/>
        <w:left w:val="none" w:sz="0" w:space="0" w:color="auto"/>
        <w:bottom w:val="none" w:sz="0" w:space="0" w:color="auto"/>
        <w:right w:val="none" w:sz="0" w:space="0" w:color="auto"/>
      </w:divBdr>
    </w:div>
    <w:div w:id="928662796">
      <w:bodyDiv w:val="1"/>
      <w:marLeft w:val="0"/>
      <w:marRight w:val="0"/>
      <w:marTop w:val="0"/>
      <w:marBottom w:val="0"/>
      <w:divBdr>
        <w:top w:val="none" w:sz="0" w:space="0" w:color="auto"/>
        <w:left w:val="none" w:sz="0" w:space="0" w:color="auto"/>
        <w:bottom w:val="none" w:sz="0" w:space="0" w:color="auto"/>
        <w:right w:val="none" w:sz="0" w:space="0" w:color="auto"/>
      </w:divBdr>
    </w:div>
    <w:div w:id="967472128">
      <w:bodyDiv w:val="1"/>
      <w:marLeft w:val="0"/>
      <w:marRight w:val="0"/>
      <w:marTop w:val="0"/>
      <w:marBottom w:val="0"/>
      <w:divBdr>
        <w:top w:val="none" w:sz="0" w:space="0" w:color="auto"/>
        <w:left w:val="none" w:sz="0" w:space="0" w:color="auto"/>
        <w:bottom w:val="none" w:sz="0" w:space="0" w:color="auto"/>
        <w:right w:val="none" w:sz="0" w:space="0" w:color="auto"/>
      </w:divBdr>
    </w:div>
    <w:div w:id="972298324">
      <w:bodyDiv w:val="1"/>
      <w:marLeft w:val="0"/>
      <w:marRight w:val="0"/>
      <w:marTop w:val="0"/>
      <w:marBottom w:val="0"/>
      <w:divBdr>
        <w:top w:val="none" w:sz="0" w:space="0" w:color="auto"/>
        <w:left w:val="none" w:sz="0" w:space="0" w:color="auto"/>
        <w:bottom w:val="none" w:sz="0" w:space="0" w:color="auto"/>
        <w:right w:val="none" w:sz="0" w:space="0" w:color="auto"/>
      </w:divBdr>
    </w:div>
    <w:div w:id="977683256">
      <w:bodyDiv w:val="1"/>
      <w:marLeft w:val="0"/>
      <w:marRight w:val="0"/>
      <w:marTop w:val="0"/>
      <w:marBottom w:val="0"/>
      <w:divBdr>
        <w:top w:val="none" w:sz="0" w:space="0" w:color="auto"/>
        <w:left w:val="none" w:sz="0" w:space="0" w:color="auto"/>
        <w:bottom w:val="none" w:sz="0" w:space="0" w:color="auto"/>
        <w:right w:val="none" w:sz="0" w:space="0" w:color="auto"/>
      </w:divBdr>
    </w:div>
    <w:div w:id="988562117">
      <w:bodyDiv w:val="1"/>
      <w:marLeft w:val="0"/>
      <w:marRight w:val="0"/>
      <w:marTop w:val="0"/>
      <w:marBottom w:val="0"/>
      <w:divBdr>
        <w:top w:val="none" w:sz="0" w:space="0" w:color="auto"/>
        <w:left w:val="none" w:sz="0" w:space="0" w:color="auto"/>
        <w:bottom w:val="none" w:sz="0" w:space="0" w:color="auto"/>
        <w:right w:val="none" w:sz="0" w:space="0" w:color="auto"/>
      </w:divBdr>
    </w:div>
    <w:div w:id="1001662681">
      <w:bodyDiv w:val="1"/>
      <w:marLeft w:val="0"/>
      <w:marRight w:val="0"/>
      <w:marTop w:val="0"/>
      <w:marBottom w:val="0"/>
      <w:divBdr>
        <w:top w:val="none" w:sz="0" w:space="0" w:color="auto"/>
        <w:left w:val="none" w:sz="0" w:space="0" w:color="auto"/>
        <w:bottom w:val="none" w:sz="0" w:space="0" w:color="auto"/>
        <w:right w:val="none" w:sz="0" w:space="0" w:color="auto"/>
      </w:divBdr>
    </w:div>
    <w:div w:id="1004161461">
      <w:bodyDiv w:val="1"/>
      <w:marLeft w:val="0"/>
      <w:marRight w:val="0"/>
      <w:marTop w:val="0"/>
      <w:marBottom w:val="0"/>
      <w:divBdr>
        <w:top w:val="none" w:sz="0" w:space="0" w:color="auto"/>
        <w:left w:val="none" w:sz="0" w:space="0" w:color="auto"/>
        <w:bottom w:val="none" w:sz="0" w:space="0" w:color="auto"/>
        <w:right w:val="none" w:sz="0" w:space="0" w:color="auto"/>
      </w:divBdr>
    </w:div>
    <w:div w:id="1011567899">
      <w:bodyDiv w:val="1"/>
      <w:marLeft w:val="0"/>
      <w:marRight w:val="0"/>
      <w:marTop w:val="0"/>
      <w:marBottom w:val="0"/>
      <w:divBdr>
        <w:top w:val="none" w:sz="0" w:space="0" w:color="auto"/>
        <w:left w:val="none" w:sz="0" w:space="0" w:color="auto"/>
        <w:bottom w:val="none" w:sz="0" w:space="0" w:color="auto"/>
        <w:right w:val="none" w:sz="0" w:space="0" w:color="auto"/>
      </w:divBdr>
    </w:div>
    <w:div w:id="1108282818">
      <w:bodyDiv w:val="1"/>
      <w:marLeft w:val="0"/>
      <w:marRight w:val="0"/>
      <w:marTop w:val="0"/>
      <w:marBottom w:val="0"/>
      <w:divBdr>
        <w:top w:val="none" w:sz="0" w:space="0" w:color="auto"/>
        <w:left w:val="none" w:sz="0" w:space="0" w:color="auto"/>
        <w:bottom w:val="none" w:sz="0" w:space="0" w:color="auto"/>
        <w:right w:val="none" w:sz="0" w:space="0" w:color="auto"/>
      </w:divBdr>
    </w:div>
    <w:div w:id="1121152498">
      <w:bodyDiv w:val="1"/>
      <w:marLeft w:val="0"/>
      <w:marRight w:val="0"/>
      <w:marTop w:val="0"/>
      <w:marBottom w:val="0"/>
      <w:divBdr>
        <w:top w:val="none" w:sz="0" w:space="0" w:color="auto"/>
        <w:left w:val="none" w:sz="0" w:space="0" w:color="auto"/>
        <w:bottom w:val="none" w:sz="0" w:space="0" w:color="auto"/>
        <w:right w:val="none" w:sz="0" w:space="0" w:color="auto"/>
      </w:divBdr>
    </w:div>
    <w:div w:id="1145315450">
      <w:bodyDiv w:val="1"/>
      <w:marLeft w:val="0"/>
      <w:marRight w:val="0"/>
      <w:marTop w:val="0"/>
      <w:marBottom w:val="0"/>
      <w:divBdr>
        <w:top w:val="none" w:sz="0" w:space="0" w:color="auto"/>
        <w:left w:val="none" w:sz="0" w:space="0" w:color="auto"/>
        <w:bottom w:val="none" w:sz="0" w:space="0" w:color="auto"/>
        <w:right w:val="none" w:sz="0" w:space="0" w:color="auto"/>
      </w:divBdr>
    </w:div>
    <w:div w:id="1150751691">
      <w:bodyDiv w:val="1"/>
      <w:marLeft w:val="0"/>
      <w:marRight w:val="0"/>
      <w:marTop w:val="0"/>
      <w:marBottom w:val="0"/>
      <w:divBdr>
        <w:top w:val="none" w:sz="0" w:space="0" w:color="auto"/>
        <w:left w:val="none" w:sz="0" w:space="0" w:color="auto"/>
        <w:bottom w:val="none" w:sz="0" w:space="0" w:color="auto"/>
        <w:right w:val="none" w:sz="0" w:space="0" w:color="auto"/>
      </w:divBdr>
    </w:div>
    <w:div w:id="1151671838">
      <w:bodyDiv w:val="1"/>
      <w:marLeft w:val="0"/>
      <w:marRight w:val="0"/>
      <w:marTop w:val="0"/>
      <w:marBottom w:val="0"/>
      <w:divBdr>
        <w:top w:val="none" w:sz="0" w:space="0" w:color="auto"/>
        <w:left w:val="none" w:sz="0" w:space="0" w:color="auto"/>
        <w:bottom w:val="none" w:sz="0" w:space="0" w:color="auto"/>
        <w:right w:val="none" w:sz="0" w:space="0" w:color="auto"/>
      </w:divBdr>
    </w:div>
    <w:div w:id="1165559596">
      <w:bodyDiv w:val="1"/>
      <w:marLeft w:val="0"/>
      <w:marRight w:val="0"/>
      <w:marTop w:val="0"/>
      <w:marBottom w:val="0"/>
      <w:divBdr>
        <w:top w:val="none" w:sz="0" w:space="0" w:color="auto"/>
        <w:left w:val="none" w:sz="0" w:space="0" w:color="auto"/>
        <w:bottom w:val="none" w:sz="0" w:space="0" w:color="auto"/>
        <w:right w:val="none" w:sz="0" w:space="0" w:color="auto"/>
      </w:divBdr>
    </w:div>
    <w:div w:id="1168979378">
      <w:bodyDiv w:val="1"/>
      <w:marLeft w:val="0"/>
      <w:marRight w:val="0"/>
      <w:marTop w:val="0"/>
      <w:marBottom w:val="0"/>
      <w:divBdr>
        <w:top w:val="none" w:sz="0" w:space="0" w:color="auto"/>
        <w:left w:val="none" w:sz="0" w:space="0" w:color="auto"/>
        <w:bottom w:val="none" w:sz="0" w:space="0" w:color="auto"/>
        <w:right w:val="none" w:sz="0" w:space="0" w:color="auto"/>
      </w:divBdr>
    </w:div>
    <w:div w:id="1168985321">
      <w:bodyDiv w:val="1"/>
      <w:marLeft w:val="0"/>
      <w:marRight w:val="0"/>
      <w:marTop w:val="0"/>
      <w:marBottom w:val="0"/>
      <w:divBdr>
        <w:top w:val="none" w:sz="0" w:space="0" w:color="auto"/>
        <w:left w:val="none" w:sz="0" w:space="0" w:color="auto"/>
        <w:bottom w:val="none" w:sz="0" w:space="0" w:color="auto"/>
        <w:right w:val="none" w:sz="0" w:space="0" w:color="auto"/>
      </w:divBdr>
    </w:div>
    <w:div w:id="1199859961">
      <w:bodyDiv w:val="1"/>
      <w:marLeft w:val="0"/>
      <w:marRight w:val="0"/>
      <w:marTop w:val="0"/>
      <w:marBottom w:val="0"/>
      <w:divBdr>
        <w:top w:val="none" w:sz="0" w:space="0" w:color="auto"/>
        <w:left w:val="none" w:sz="0" w:space="0" w:color="auto"/>
        <w:bottom w:val="none" w:sz="0" w:space="0" w:color="auto"/>
        <w:right w:val="none" w:sz="0" w:space="0" w:color="auto"/>
      </w:divBdr>
    </w:div>
    <w:div w:id="1233269835">
      <w:bodyDiv w:val="1"/>
      <w:marLeft w:val="0"/>
      <w:marRight w:val="0"/>
      <w:marTop w:val="0"/>
      <w:marBottom w:val="0"/>
      <w:divBdr>
        <w:top w:val="none" w:sz="0" w:space="0" w:color="auto"/>
        <w:left w:val="none" w:sz="0" w:space="0" w:color="auto"/>
        <w:bottom w:val="none" w:sz="0" w:space="0" w:color="auto"/>
        <w:right w:val="none" w:sz="0" w:space="0" w:color="auto"/>
      </w:divBdr>
    </w:div>
    <w:div w:id="1242325778">
      <w:bodyDiv w:val="1"/>
      <w:marLeft w:val="0"/>
      <w:marRight w:val="0"/>
      <w:marTop w:val="0"/>
      <w:marBottom w:val="0"/>
      <w:divBdr>
        <w:top w:val="none" w:sz="0" w:space="0" w:color="auto"/>
        <w:left w:val="none" w:sz="0" w:space="0" w:color="auto"/>
        <w:bottom w:val="none" w:sz="0" w:space="0" w:color="auto"/>
        <w:right w:val="none" w:sz="0" w:space="0" w:color="auto"/>
      </w:divBdr>
    </w:div>
    <w:div w:id="1246718923">
      <w:bodyDiv w:val="1"/>
      <w:marLeft w:val="0"/>
      <w:marRight w:val="0"/>
      <w:marTop w:val="0"/>
      <w:marBottom w:val="0"/>
      <w:divBdr>
        <w:top w:val="none" w:sz="0" w:space="0" w:color="auto"/>
        <w:left w:val="none" w:sz="0" w:space="0" w:color="auto"/>
        <w:bottom w:val="none" w:sz="0" w:space="0" w:color="auto"/>
        <w:right w:val="none" w:sz="0" w:space="0" w:color="auto"/>
      </w:divBdr>
    </w:div>
    <w:div w:id="1261260988">
      <w:bodyDiv w:val="1"/>
      <w:marLeft w:val="0"/>
      <w:marRight w:val="0"/>
      <w:marTop w:val="0"/>
      <w:marBottom w:val="0"/>
      <w:divBdr>
        <w:top w:val="none" w:sz="0" w:space="0" w:color="auto"/>
        <w:left w:val="none" w:sz="0" w:space="0" w:color="auto"/>
        <w:bottom w:val="none" w:sz="0" w:space="0" w:color="auto"/>
        <w:right w:val="none" w:sz="0" w:space="0" w:color="auto"/>
      </w:divBdr>
    </w:div>
    <w:div w:id="1285307576">
      <w:bodyDiv w:val="1"/>
      <w:marLeft w:val="0"/>
      <w:marRight w:val="0"/>
      <w:marTop w:val="0"/>
      <w:marBottom w:val="0"/>
      <w:divBdr>
        <w:top w:val="none" w:sz="0" w:space="0" w:color="auto"/>
        <w:left w:val="none" w:sz="0" w:space="0" w:color="auto"/>
        <w:bottom w:val="none" w:sz="0" w:space="0" w:color="auto"/>
        <w:right w:val="none" w:sz="0" w:space="0" w:color="auto"/>
      </w:divBdr>
    </w:div>
    <w:div w:id="1292251995">
      <w:bodyDiv w:val="1"/>
      <w:marLeft w:val="0"/>
      <w:marRight w:val="0"/>
      <w:marTop w:val="0"/>
      <w:marBottom w:val="0"/>
      <w:divBdr>
        <w:top w:val="none" w:sz="0" w:space="0" w:color="auto"/>
        <w:left w:val="none" w:sz="0" w:space="0" w:color="auto"/>
        <w:bottom w:val="none" w:sz="0" w:space="0" w:color="auto"/>
        <w:right w:val="none" w:sz="0" w:space="0" w:color="auto"/>
      </w:divBdr>
    </w:div>
    <w:div w:id="1294599117">
      <w:bodyDiv w:val="1"/>
      <w:marLeft w:val="0"/>
      <w:marRight w:val="0"/>
      <w:marTop w:val="0"/>
      <w:marBottom w:val="0"/>
      <w:divBdr>
        <w:top w:val="none" w:sz="0" w:space="0" w:color="auto"/>
        <w:left w:val="none" w:sz="0" w:space="0" w:color="auto"/>
        <w:bottom w:val="none" w:sz="0" w:space="0" w:color="auto"/>
        <w:right w:val="none" w:sz="0" w:space="0" w:color="auto"/>
      </w:divBdr>
    </w:div>
    <w:div w:id="1302688707">
      <w:bodyDiv w:val="1"/>
      <w:marLeft w:val="0"/>
      <w:marRight w:val="0"/>
      <w:marTop w:val="0"/>
      <w:marBottom w:val="0"/>
      <w:divBdr>
        <w:top w:val="none" w:sz="0" w:space="0" w:color="auto"/>
        <w:left w:val="none" w:sz="0" w:space="0" w:color="auto"/>
        <w:bottom w:val="none" w:sz="0" w:space="0" w:color="auto"/>
        <w:right w:val="none" w:sz="0" w:space="0" w:color="auto"/>
      </w:divBdr>
    </w:div>
    <w:div w:id="1310206304">
      <w:bodyDiv w:val="1"/>
      <w:marLeft w:val="0"/>
      <w:marRight w:val="0"/>
      <w:marTop w:val="0"/>
      <w:marBottom w:val="0"/>
      <w:divBdr>
        <w:top w:val="none" w:sz="0" w:space="0" w:color="auto"/>
        <w:left w:val="none" w:sz="0" w:space="0" w:color="auto"/>
        <w:bottom w:val="none" w:sz="0" w:space="0" w:color="auto"/>
        <w:right w:val="none" w:sz="0" w:space="0" w:color="auto"/>
      </w:divBdr>
    </w:div>
    <w:div w:id="1320771501">
      <w:bodyDiv w:val="1"/>
      <w:marLeft w:val="0"/>
      <w:marRight w:val="0"/>
      <w:marTop w:val="0"/>
      <w:marBottom w:val="0"/>
      <w:divBdr>
        <w:top w:val="none" w:sz="0" w:space="0" w:color="auto"/>
        <w:left w:val="none" w:sz="0" w:space="0" w:color="auto"/>
        <w:bottom w:val="none" w:sz="0" w:space="0" w:color="auto"/>
        <w:right w:val="none" w:sz="0" w:space="0" w:color="auto"/>
      </w:divBdr>
    </w:div>
    <w:div w:id="1325283879">
      <w:bodyDiv w:val="1"/>
      <w:marLeft w:val="0"/>
      <w:marRight w:val="0"/>
      <w:marTop w:val="0"/>
      <w:marBottom w:val="0"/>
      <w:divBdr>
        <w:top w:val="none" w:sz="0" w:space="0" w:color="auto"/>
        <w:left w:val="none" w:sz="0" w:space="0" w:color="auto"/>
        <w:bottom w:val="none" w:sz="0" w:space="0" w:color="auto"/>
        <w:right w:val="none" w:sz="0" w:space="0" w:color="auto"/>
      </w:divBdr>
    </w:div>
    <w:div w:id="1326475282">
      <w:bodyDiv w:val="1"/>
      <w:marLeft w:val="0"/>
      <w:marRight w:val="0"/>
      <w:marTop w:val="0"/>
      <w:marBottom w:val="0"/>
      <w:divBdr>
        <w:top w:val="none" w:sz="0" w:space="0" w:color="auto"/>
        <w:left w:val="none" w:sz="0" w:space="0" w:color="auto"/>
        <w:bottom w:val="none" w:sz="0" w:space="0" w:color="auto"/>
        <w:right w:val="none" w:sz="0" w:space="0" w:color="auto"/>
      </w:divBdr>
    </w:div>
    <w:div w:id="1338272113">
      <w:bodyDiv w:val="1"/>
      <w:marLeft w:val="0"/>
      <w:marRight w:val="0"/>
      <w:marTop w:val="0"/>
      <w:marBottom w:val="0"/>
      <w:divBdr>
        <w:top w:val="none" w:sz="0" w:space="0" w:color="auto"/>
        <w:left w:val="none" w:sz="0" w:space="0" w:color="auto"/>
        <w:bottom w:val="none" w:sz="0" w:space="0" w:color="auto"/>
        <w:right w:val="none" w:sz="0" w:space="0" w:color="auto"/>
      </w:divBdr>
    </w:div>
    <w:div w:id="1359434158">
      <w:bodyDiv w:val="1"/>
      <w:marLeft w:val="0"/>
      <w:marRight w:val="0"/>
      <w:marTop w:val="0"/>
      <w:marBottom w:val="0"/>
      <w:divBdr>
        <w:top w:val="none" w:sz="0" w:space="0" w:color="auto"/>
        <w:left w:val="none" w:sz="0" w:space="0" w:color="auto"/>
        <w:bottom w:val="none" w:sz="0" w:space="0" w:color="auto"/>
        <w:right w:val="none" w:sz="0" w:space="0" w:color="auto"/>
      </w:divBdr>
    </w:div>
    <w:div w:id="1395393014">
      <w:bodyDiv w:val="1"/>
      <w:marLeft w:val="0"/>
      <w:marRight w:val="0"/>
      <w:marTop w:val="0"/>
      <w:marBottom w:val="0"/>
      <w:divBdr>
        <w:top w:val="none" w:sz="0" w:space="0" w:color="auto"/>
        <w:left w:val="none" w:sz="0" w:space="0" w:color="auto"/>
        <w:bottom w:val="none" w:sz="0" w:space="0" w:color="auto"/>
        <w:right w:val="none" w:sz="0" w:space="0" w:color="auto"/>
      </w:divBdr>
    </w:div>
    <w:div w:id="1398548893">
      <w:bodyDiv w:val="1"/>
      <w:marLeft w:val="0"/>
      <w:marRight w:val="0"/>
      <w:marTop w:val="0"/>
      <w:marBottom w:val="0"/>
      <w:divBdr>
        <w:top w:val="none" w:sz="0" w:space="0" w:color="auto"/>
        <w:left w:val="none" w:sz="0" w:space="0" w:color="auto"/>
        <w:bottom w:val="none" w:sz="0" w:space="0" w:color="auto"/>
        <w:right w:val="none" w:sz="0" w:space="0" w:color="auto"/>
      </w:divBdr>
    </w:div>
    <w:div w:id="1407269057">
      <w:bodyDiv w:val="1"/>
      <w:marLeft w:val="0"/>
      <w:marRight w:val="0"/>
      <w:marTop w:val="0"/>
      <w:marBottom w:val="0"/>
      <w:divBdr>
        <w:top w:val="none" w:sz="0" w:space="0" w:color="auto"/>
        <w:left w:val="none" w:sz="0" w:space="0" w:color="auto"/>
        <w:bottom w:val="none" w:sz="0" w:space="0" w:color="auto"/>
        <w:right w:val="none" w:sz="0" w:space="0" w:color="auto"/>
      </w:divBdr>
    </w:div>
    <w:div w:id="1416585429">
      <w:bodyDiv w:val="1"/>
      <w:marLeft w:val="0"/>
      <w:marRight w:val="0"/>
      <w:marTop w:val="0"/>
      <w:marBottom w:val="0"/>
      <w:divBdr>
        <w:top w:val="none" w:sz="0" w:space="0" w:color="auto"/>
        <w:left w:val="none" w:sz="0" w:space="0" w:color="auto"/>
        <w:bottom w:val="none" w:sz="0" w:space="0" w:color="auto"/>
        <w:right w:val="none" w:sz="0" w:space="0" w:color="auto"/>
      </w:divBdr>
    </w:div>
    <w:div w:id="1417945645">
      <w:bodyDiv w:val="1"/>
      <w:marLeft w:val="0"/>
      <w:marRight w:val="0"/>
      <w:marTop w:val="0"/>
      <w:marBottom w:val="0"/>
      <w:divBdr>
        <w:top w:val="none" w:sz="0" w:space="0" w:color="auto"/>
        <w:left w:val="none" w:sz="0" w:space="0" w:color="auto"/>
        <w:bottom w:val="none" w:sz="0" w:space="0" w:color="auto"/>
        <w:right w:val="none" w:sz="0" w:space="0" w:color="auto"/>
      </w:divBdr>
    </w:div>
    <w:div w:id="1431581829">
      <w:bodyDiv w:val="1"/>
      <w:marLeft w:val="0"/>
      <w:marRight w:val="0"/>
      <w:marTop w:val="0"/>
      <w:marBottom w:val="0"/>
      <w:divBdr>
        <w:top w:val="none" w:sz="0" w:space="0" w:color="auto"/>
        <w:left w:val="none" w:sz="0" w:space="0" w:color="auto"/>
        <w:bottom w:val="none" w:sz="0" w:space="0" w:color="auto"/>
        <w:right w:val="none" w:sz="0" w:space="0" w:color="auto"/>
      </w:divBdr>
    </w:div>
    <w:div w:id="1449541704">
      <w:bodyDiv w:val="1"/>
      <w:marLeft w:val="0"/>
      <w:marRight w:val="0"/>
      <w:marTop w:val="0"/>
      <w:marBottom w:val="0"/>
      <w:divBdr>
        <w:top w:val="none" w:sz="0" w:space="0" w:color="auto"/>
        <w:left w:val="none" w:sz="0" w:space="0" w:color="auto"/>
        <w:bottom w:val="none" w:sz="0" w:space="0" w:color="auto"/>
        <w:right w:val="none" w:sz="0" w:space="0" w:color="auto"/>
      </w:divBdr>
    </w:div>
    <w:div w:id="1462309941">
      <w:bodyDiv w:val="1"/>
      <w:marLeft w:val="0"/>
      <w:marRight w:val="0"/>
      <w:marTop w:val="0"/>
      <w:marBottom w:val="0"/>
      <w:divBdr>
        <w:top w:val="none" w:sz="0" w:space="0" w:color="auto"/>
        <w:left w:val="none" w:sz="0" w:space="0" w:color="auto"/>
        <w:bottom w:val="none" w:sz="0" w:space="0" w:color="auto"/>
        <w:right w:val="none" w:sz="0" w:space="0" w:color="auto"/>
      </w:divBdr>
    </w:div>
    <w:div w:id="1477801917">
      <w:bodyDiv w:val="1"/>
      <w:marLeft w:val="0"/>
      <w:marRight w:val="0"/>
      <w:marTop w:val="0"/>
      <w:marBottom w:val="0"/>
      <w:divBdr>
        <w:top w:val="none" w:sz="0" w:space="0" w:color="auto"/>
        <w:left w:val="none" w:sz="0" w:space="0" w:color="auto"/>
        <w:bottom w:val="none" w:sz="0" w:space="0" w:color="auto"/>
        <w:right w:val="none" w:sz="0" w:space="0" w:color="auto"/>
      </w:divBdr>
    </w:div>
    <w:div w:id="1484351747">
      <w:bodyDiv w:val="1"/>
      <w:marLeft w:val="0"/>
      <w:marRight w:val="0"/>
      <w:marTop w:val="0"/>
      <w:marBottom w:val="0"/>
      <w:divBdr>
        <w:top w:val="none" w:sz="0" w:space="0" w:color="auto"/>
        <w:left w:val="none" w:sz="0" w:space="0" w:color="auto"/>
        <w:bottom w:val="none" w:sz="0" w:space="0" w:color="auto"/>
        <w:right w:val="none" w:sz="0" w:space="0" w:color="auto"/>
      </w:divBdr>
    </w:div>
    <w:div w:id="1489636403">
      <w:bodyDiv w:val="1"/>
      <w:marLeft w:val="0"/>
      <w:marRight w:val="0"/>
      <w:marTop w:val="0"/>
      <w:marBottom w:val="0"/>
      <w:divBdr>
        <w:top w:val="none" w:sz="0" w:space="0" w:color="auto"/>
        <w:left w:val="none" w:sz="0" w:space="0" w:color="auto"/>
        <w:bottom w:val="none" w:sz="0" w:space="0" w:color="auto"/>
        <w:right w:val="none" w:sz="0" w:space="0" w:color="auto"/>
      </w:divBdr>
    </w:div>
    <w:div w:id="1496918191">
      <w:bodyDiv w:val="1"/>
      <w:marLeft w:val="0"/>
      <w:marRight w:val="0"/>
      <w:marTop w:val="0"/>
      <w:marBottom w:val="0"/>
      <w:divBdr>
        <w:top w:val="none" w:sz="0" w:space="0" w:color="auto"/>
        <w:left w:val="none" w:sz="0" w:space="0" w:color="auto"/>
        <w:bottom w:val="none" w:sz="0" w:space="0" w:color="auto"/>
        <w:right w:val="none" w:sz="0" w:space="0" w:color="auto"/>
      </w:divBdr>
    </w:div>
    <w:div w:id="1528832685">
      <w:bodyDiv w:val="1"/>
      <w:marLeft w:val="0"/>
      <w:marRight w:val="0"/>
      <w:marTop w:val="0"/>
      <w:marBottom w:val="0"/>
      <w:divBdr>
        <w:top w:val="none" w:sz="0" w:space="0" w:color="auto"/>
        <w:left w:val="none" w:sz="0" w:space="0" w:color="auto"/>
        <w:bottom w:val="none" w:sz="0" w:space="0" w:color="auto"/>
        <w:right w:val="none" w:sz="0" w:space="0" w:color="auto"/>
      </w:divBdr>
    </w:div>
    <w:div w:id="1542278077">
      <w:bodyDiv w:val="1"/>
      <w:marLeft w:val="0"/>
      <w:marRight w:val="0"/>
      <w:marTop w:val="0"/>
      <w:marBottom w:val="0"/>
      <w:divBdr>
        <w:top w:val="none" w:sz="0" w:space="0" w:color="auto"/>
        <w:left w:val="none" w:sz="0" w:space="0" w:color="auto"/>
        <w:bottom w:val="none" w:sz="0" w:space="0" w:color="auto"/>
        <w:right w:val="none" w:sz="0" w:space="0" w:color="auto"/>
      </w:divBdr>
    </w:div>
    <w:div w:id="1574051140">
      <w:bodyDiv w:val="1"/>
      <w:marLeft w:val="0"/>
      <w:marRight w:val="0"/>
      <w:marTop w:val="0"/>
      <w:marBottom w:val="0"/>
      <w:divBdr>
        <w:top w:val="none" w:sz="0" w:space="0" w:color="auto"/>
        <w:left w:val="none" w:sz="0" w:space="0" w:color="auto"/>
        <w:bottom w:val="none" w:sz="0" w:space="0" w:color="auto"/>
        <w:right w:val="none" w:sz="0" w:space="0" w:color="auto"/>
      </w:divBdr>
    </w:div>
    <w:div w:id="1594971180">
      <w:bodyDiv w:val="1"/>
      <w:marLeft w:val="0"/>
      <w:marRight w:val="0"/>
      <w:marTop w:val="0"/>
      <w:marBottom w:val="0"/>
      <w:divBdr>
        <w:top w:val="none" w:sz="0" w:space="0" w:color="auto"/>
        <w:left w:val="none" w:sz="0" w:space="0" w:color="auto"/>
        <w:bottom w:val="none" w:sz="0" w:space="0" w:color="auto"/>
        <w:right w:val="none" w:sz="0" w:space="0" w:color="auto"/>
      </w:divBdr>
    </w:div>
    <w:div w:id="1608005716">
      <w:bodyDiv w:val="1"/>
      <w:marLeft w:val="0"/>
      <w:marRight w:val="0"/>
      <w:marTop w:val="0"/>
      <w:marBottom w:val="0"/>
      <w:divBdr>
        <w:top w:val="none" w:sz="0" w:space="0" w:color="auto"/>
        <w:left w:val="none" w:sz="0" w:space="0" w:color="auto"/>
        <w:bottom w:val="none" w:sz="0" w:space="0" w:color="auto"/>
        <w:right w:val="none" w:sz="0" w:space="0" w:color="auto"/>
      </w:divBdr>
    </w:div>
    <w:div w:id="1618025091">
      <w:bodyDiv w:val="1"/>
      <w:marLeft w:val="0"/>
      <w:marRight w:val="0"/>
      <w:marTop w:val="0"/>
      <w:marBottom w:val="0"/>
      <w:divBdr>
        <w:top w:val="none" w:sz="0" w:space="0" w:color="auto"/>
        <w:left w:val="none" w:sz="0" w:space="0" w:color="auto"/>
        <w:bottom w:val="none" w:sz="0" w:space="0" w:color="auto"/>
        <w:right w:val="none" w:sz="0" w:space="0" w:color="auto"/>
      </w:divBdr>
    </w:div>
    <w:div w:id="1624729524">
      <w:bodyDiv w:val="1"/>
      <w:marLeft w:val="0"/>
      <w:marRight w:val="0"/>
      <w:marTop w:val="0"/>
      <w:marBottom w:val="0"/>
      <w:divBdr>
        <w:top w:val="none" w:sz="0" w:space="0" w:color="auto"/>
        <w:left w:val="none" w:sz="0" w:space="0" w:color="auto"/>
        <w:bottom w:val="none" w:sz="0" w:space="0" w:color="auto"/>
        <w:right w:val="none" w:sz="0" w:space="0" w:color="auto"/>
      </w:divBdr>
    </w:div>
    <w:div w:id="1670212299">
      <w:bodyDiv w:val="1"/>
      <w:marLeft w:val="0"/>
      <w:marRight w:val="0"/>
      <w:marTop w:val="0"/>
      <w:marBottom w:val="0"/>
      <w:divBdr>
        <w:top w:val="none" w:sz="0" w:space="0" w:color="auto"/>
        <w:left w:val="none" w:sz="0" w:space="0" w:color="auto"/>
        <w:bottom w:val="none" w:sz="0" w:space="0" w:color="auto"/>
        <w:right w:val="none" w:sz="0" w:space="0" w:color="auto"/>
      </w:divBdr>
    </w:div>
    <w:div w:id="1672488667">
      <w:bodyDiv w:val="1"/>
      <w:marLeft w:val="0"/>
      <w:marRight w:val="0"/>
      <w:marTop w:val="0"/>
      <w:marBottom w:val="0"/>
      <w:divBdr>
        <w:top w:val="none" w:sz="0" w:space="0" w:color="auto"/>
        <w:left w:val="none" w:sz="0" w:space="0" w:color="auto"/>
        <w:bottom w:val="none" w:sz="0" w:space="0" w:color="auto"/>
        <w:right w:val="none" w:sz="0" w:space="0" w:color="auto"/>
      </w:divBdr>
    </w:div>
    <w:div w:id="1698316247">
      <w:bodyDiv w:val="1"/>
      <w:marLeft w:val="0"/>
      <w:marRight w:val="0"/>
      <w:marTop w:val="0"/>
      <w:marBottom w:val="0"/>
      <w:divBdr>
        <w:top w:val="none" w:sz="0" w:space="0" w:color="auto"/>
        <w:left w:val="none" w:sz="0" w:space="0" w:color="auto"/>
        <w:bottom w:val="none" w:sz="0" w:space="0" w:color="auto"/>
        <w:right w:val="none" w:sz="0" w:space="0" w:color="auto"/>
      </w:divBdr>
    </w:div>
    <w:div w:id="1702171854">
      <w:bodyDiv w:val="1"/>
      <w:marLeft w:val="0"/>
      <w:marRight w:val="0"/>
      <w:marTop w:val="0"/>
      <w:marBottom w:val="0"/>
      <w:divBdr>
        <w:top w:val="none" w:sz="0" w:space="0" w:color="auto"/>
        <w:left w:val="none" w:sz="0" w:space="0" w:color="auto"/>
        <w:bottom w:val="none" w:sz="0" w:space="0" w:color="auto"/>
        <w:right w:val="none" w:sz="0" w:space="0" w:color="auto"/>
      </w:divBdr>
    </w:div>
    <w:div w:id="1703168054">
      <w:bodyDiv w:val="1"/>
      <w:marLeft w:val="0"/>
      <w:marRight w:val="0"/>
      <w:marTop w:val="0"/>
      <w:marBottom w:val="0"/>
      <w:divBdr>
        <w:top w:val="none" w:sz="0" w:space="0" w:color="auto"/>
        <w:left w:val="none" w:sz="0" w:space="0" w:color="auto"/>
        <w:bottom w:val="none" w:sz="0" w:space="0" w:color="auto"/>
        <w:right w:val="none" w:sz="0" w:space="0" w:color="auto"/>
      </w:divBdr>
    </w:div>
    <w:div w:id="1703285402">
      <w:bodyDiv w:val="1"/>
      <w:marLeft w:val="0"/>
      <w:marRight w:val="0"/>
      <w:marTop w:val="0"/>
      <w:marBottom w:val="0"/>
      <w:divBdr>
        <w:top w:val="none" w:sz="0" w:space="0" w:color="auto"/>
        <w:left w:val="none" w:sz="0" w:space="0" w:color="auto"/>
        <w:bottom w:val="none" w:sz="0" w:space="0" w:color="auto"/>
        <w:right w:val="none" w:sz="0" w:space="0" w:color="auto"/>
      </w:divBdr>
    </w:div>
    <w:div w:id="1737166972">
      <w:bodyDiv w:val="1"/>
      <w:marLeft w:val="0"/>
      <w:marRight w:val="0"/>
      <w:marTop w:val="0"/>
      <w:marBottom w:val="0"/>
      <w:divBdr>
        <w:top w:val="none" w:sz="0" w:space="0" w:color="auto"/>
        <w:left w:val="none" w:sz="0" w:space="0" w:color="auto"/>
        <w:bottom w:val="none" w:sz="0" w:space="0" w:color="auto"/>
        <w:right w:val="none" w:sz="0" w:space="0" w:color="auto"/>
      </w:divBdr>
    </w:div>
    <w:div w:id="1754233040">
      <w:bodyDiv w:val="1"/>
      <w:marLeft w:val="0"/>
      <w:marRight w:val="0"/>
      <w:marTop w:val="0"/>
      <w:marBottom w:val="0"/>
      <w:divBdr>
        <w:top w:val="none" w:sz="0" w:space="0" w:color="auto"/>
        <w:left w:val="none" w:sz="0" w:space="0" w:color="auto"/>
        <w:bottom w:val="none" w:sz="0" w:space="0" w:color="auto"/>
        <w:right w:val="none" w:sz="0" w:space="0" w:color="auto"/>
      </w:divBdr>
    </w:div>
    <w:div w:id="1785075632">
      <w:bodyDiv w:val="1"/>
      <w:marLeft w:val="0"/>
      <w:marRight w:val="0"/>
      <w:marTop w:val="0"/>
      <w:marBottom w:val="0"/>
      <w:divBdr>
        <w:top w:val="none" w:sz="0" w:space="0" w:color="auto"/>
        <w:left w:val="none" w:sz="0" w:space="0" w:color="auto"/>
        <w:bottom w:val="none" w:sz="0" w:space="0" w:color="auto"/>
        <w:right w:val="none" w:sz="0" w:space="0" w:color="auto"/>
      </w:divBdr>
    </w:div>
    <w:div w:id="1805155979">
      <w:bodyDiv w:val="1"/>
      <w:marLeft w:val="0"/>
      <w:marRight w:val="0"/>
      <w:marTop w:val="0"/>
      <w:marBottom w:val="0"/>
      <w:divBdr>
        <w:top w:val="none" w:sz="0" w:space="0" w:color="auto"/>
        <w:left w:val="none" w:sz="0" w:space="0" w:color="auto"/>
        <w:bottom w:val="none" w:sz="0" w:space="0" w:color="auto"/>
        <w:right w:val="none" w:sz="0" w:space="0" w:color="auto"/>
      </w:divBdr>
    </w:div>
    <w:div w:id="1811744688">
      <w:bodyDiv w:val="1"/>
      <w:marLeft w:val="0"/>
      <w:marRight w:val="0"/>
      <w:marTop w:val="0"/>
      <w:marBottom w:val="0"/>
      <w:divBdr>
        <w:top w:val="none" w:sz="0" w:space="0" w:color="auto"/>
        <w:left w:val="none" w:sz="0" w:space="0" w:color="auto"/>
        <w:bottom w:val="none" w:sz="0" w:space="0" w:color="auto"/>
        <w:right w:val="none" w:sz="0" w:space="0" w:color="auto"/>
      </w:divBdr>
    </w:div>
    <w:div w:id="1816289272">
      <w:bodyDiv w:val="1"/>
      <w:marLeft w:val="0"/>
      <w:marRight w:val="0"/>
      <w:marTop w:val="0"/>
      <w:marBottom w:val="0"/>
      <w:divBdr>
        <w:top w:val="none" w:sz="0" w:space="0" w:color="auto"/>
        <w:left w:val="none" w:sz="0" w:space="0" w:color="auto"/>
        <w:bottom w:val="none" w:sz="0" w:space="0" w:color="auto"/>
        <w:right w:val="none" w:sz="0" w:space="0" w:color="auto"/>
      </w:divBdr>
    </w:div>
    <w:div w:id="1817605229">
      <w:bodyDiv w:val="1"/>
      <w:marLeft w:val="0"/>
      <w:marRight w:val="0"/>
      <w:marTop w:val="0"/>
      <w:marBottom w:val="0"/>
      <w:divBdr>
        <w:top w:val="none" w:sz="0" w:space="0" w:color="auto"/>
        <w:left w:val="none" w:sz="0" w:space="0" w:color="auto"/>
        <w:bottom w:val="none" w:sz="0" w:space="0" w:color="auto"/>
        <w:right w:val="none" w:sz="0" w:space="0" w:color="auto"/>
      </w:divBdr>
    </w:div>
    <w:div w:id="1833526670">
      <w:bodyDiv w:val="1"/>
      <w:marLeft w:val="0"/>
      <w:marRight w:val="0"/>
      <w:marTop w:val="0"/>
      <w:marBottom w:val="0"/>
      <w:divBdr>
        <w:top w:val="none" w:sz="0" w:space="0" w:color="auto"/>
        <w:left w:val="none" w:sz="0" w:space="0" w:color="auto"/>
        <w:bottom w:val="none" w:sz="0" w:space="0" w:color="auto"/>
        <w:right w:val="none" w:sz="0" w:space="0" w:color="auto"/>
      </w:divBdr>
    </w:div>
    <w:div w:id="1839806597">
      <w:bodyDiv w:val="1"/>
      <w:marLeft w:val="0"/>
      <w:marRight w:val="0"/>
      <w:marTop w:val="0"/>
      <w:marBottom w:val="0"/>
      <w:divBdr>
        <w:top w:val="none" w:sz="0" w:space="0" w:color="auto"/>
        <w:left w:val="none" w:sz="0" w:space="0" w:color="auto"/>
        <w:bottom w:val="none" w:sz="0" w:space="0" w:color="auto"/>
        <w:right w:val="none" w:sz="0" w:space="0" w:color="auto"/>
      </w:divBdr>
    </w:div>
    <w:div w:id="1856915451">
      <w:bodyDiv w:val="1"/>
      <w:marLeft w:val="0"/>
      <w:marRight w:val="0"/>
      <w:marTop w:val="0"/>
      <w:marBottom w:val="0"/>
      <w:divBdr>
        <w:top w:val="none" w:sz="0" w:space="0" w:color="auto"/>
        <w:left w:val="none" w:sz="0" w:space="0" w:color="auto"/>
        <w:bottom w:val="none" w:sz="0" w:space="0" w:color="auto"/>
        <w:right w:val="none" w:sz="0" w:space="0" w:color="auto"/>
      </w:divBdr>
    </w:div>
    <w:div w:id="1860773229">
      <w:bodyDiv w:val="1"/>
      <w:marLeft w:val="0"/>
      <w:marRight w:val="0"/>
      <w:marTop w:val="0"/>
      <w:marBottom w:val="0"/>
      <w:divBdr>
        <w:top w:val="none" w:sz="0" w:space="0" w:color="auto"/>
        <w:left w:val="none" w:sz="0" w:space="0" w:color="auto"/>
        <w:bottom w:val="none" w:sz="0" w:space="0" w:color="auto"/>
        <w:right w:val="none" w:sz="0" w:space="0" w:color="auto"/>
      </w:divBdr>
    </w:div>
    <w:div w:id="1904949481">
      <w:bodyDiv w:val="1"/>
      <w:marLeft w:val="0"/>
      <w:marRight w:val="0"/>
      <w:marTop w:val="0"/>
      <w:marBottom w:val="0"/>
      <w:divBdr>
        <w:top w:val="none" w:sz="0" w:space="0" w:color="auto"/>
        <w:left w:val="none" w:sz="0" w:space="0" w:color="auto"/>
        <w:bottom w:val="none" w:sz="0" w:space="0" w:color="auto"/>
        <w:right w:val="none" w:sz="0" w:space="0" w:color="auto"/>
      </w:divBdr>
    </w:div>
    <w:div w:id="1905875548">
      <w:bodyDiv w:val="1"/>
      <w:marLeft w:val="0"/>
      <w:marRight w:val="0"/>
      <w:marTop w:val="0"/>
      <w:marBottom w:val="0"/>
      <w:divBdr>
        <w:top w:val="none" w:sz="0" w:space="0" w:color="auto"/>
        <w:left w:val="none" w:sz="0" w:space="0" w:color="auto"/>
        <w:bottom w:val="none" w:sz="0" w:space="0" w:color="auto"/>
        <w:right w:val="none" w:sz="0" w:space="0" w:color="auto"/>
      </w:divBdr>
    </w:div>
    <w:div w:id="1913813750">
      <w:bodyDiv w:val="1"/>
      <w:marLeft w:val="0"/>
      <w:marRight w:val="0"/>
      <w:marTop w:val="0"/>
      <w:marBottom w:val="0"/>
      <w:divBdr>
        <w:top w:val="none" w:sz="0" w:space="0" w:color="auto"/>
        <w:left w:val="none" w:sz="0" w:space="0" w:color="auto"/>
        <w:bottom w:val="none" w:sz="0" w:space="0" w:color="auto"/>
        <w:right w:val="none" w:sz="0" w:space="0" w:color="auto"/>
      </w:divBdr>
    </w:div>
    <w:div w:id="1921022686">
      <w:bodyDiv w:val="1"/>
      <w:marLeft w:val="0"/>
      <w:marRight w:val="0"/>
      <w:marTop w:val="0"/>
      <w:marBottom w:val="0"/>
      <w:divBdr>
        <w:top w:val="none" w:sz="0" w:space="0" w:color="auto"/>
        <w:left w:val="none" w:sz="0" w:space="0" w:color="auto"/>
        <w:bottom w:val="none" w:sz="0" w:space="0" w:color="auto"/>
        <w:right w:val="none" w:sz="0" w:space="0" w:color="auto"/>
      </w:divBdr>
    </w:div>
    <w:div w:id="1921863365">
      <w:bodyDiv w:val="1"/>
      <w:marLeft w:val="0"/>
      <w:marRight w:val="0"/>
      <w:marTop w:val="0"/>
      <w:marBottom w:val="0"/>
      <w:divBdr>
        <w:top w:val="none" w:sz="0" w:space="0" w:color="auto"/>
        <w:left w:val="none" w:sz="0" w:space="0" w:color="auto"/>
        <w:bottom w:val="none" w:sz="0" w:space="0" w:color="auto"/>
        <w:right w:val="none" w:sz="0" w:space="0" w:color="auto"/>
      </w:divBdr>
    </w:div>
    <w:div w:id="1939748815">
      <w:bodyDiv w:val="1"/>
      <w:marLeft w:val="0"/>
      <w:marRight w:val="0"/>
      <w:marTop w:val="0"/>
      <w:marBottom w:val="0"/>
      <w:divBdr>
        <w:top w:val="none" w:sz="0" w:space="0" w:color="auto"/>
        <w:left w:val="none" w:sz="0" w:space="0" w:color="auto"/>
        <w:bottom w:val="none" w:sz="0" w:space="0" w:color="auto"/>
        <w:right w:val="none" w:sz="0" w:space="0" w:color="auto"/>
      </w:divBdr>
    </w:div>
    <w:div w:id="1944141622">
      <w:bodyDiv w:val="1"/>
      <w:marLeft w:val="0"/>
      <w:marRight w:val="0"/>
      <w:marTop w:val="0"/>
      <w:marBottom w:val="0"/>
      <w:divBdr>
        <w:top w:val="none" w:sz="0" w:space="0" w:color="auto"/>
        <w:left w:val="none" w:sz="0" w:space="0" w:color="auto"/>
        <w:bottom w:val="none" w:sz="0" w:space="0" w:color="auto"/>
        <w:right w:val="none" w:sz="0" w:space="0" w:color="auto"/>
      </w:divBdr>
    </w:div>
    <w:div w:id="1959215781">
      <w:bodyDiv w:val="1"/>
      <w:marLeft w:val="0"/>
      <w:marRight w:val="0"/>
      <w:marTop w:val="0"/>
      <w:marBottom w:val="0"/>
      <w:divBdr>
        <w:top w:val="none" w:sz="0" w:space="0" w:color="auto"/>
        <w:left w:val="none" w:sz="0" w:space="0" w:color="auto"/>
        <w:bottom w:val="none" w:sz="0" w:space="0" w:color="auto"/>
        <w:right w:val="none" w:sz="0" w:space="0" w:color="auto"/>
      </w:divBdr>
    </w:div>
    <w:div w:id="1980842658">
      <w:bodyDiv w:val="1"/>
      <w:marLeft w:val="0"/>
      <w:marRight w:val="0"/>
      <w:marTop w:val="0"/>
      <w:marBottom w:val="0"/>
      <w:divBdr>
        <w:top w:val="none" w:sz="0" w:space="0" w:color="auto"/>
        <w:left w:val="none" w:sz="0" w:space="0" w:color="auto"/>
        <w:bottom w:val="none" w:sz="0" w:space="0" w:color="auto"/>
        <w:right w:val="none" w:sz="0" w:space="0" w:color="auto"/>
      </w:divBdr>
    </w:div>
    <w:div w:id="2014406880">
      <w:bodyDiv w:val="1"/>
      <w:marLeft w:val="0"/>
      <w:marRight w:val="0"/>
      <w:marTop w:val="0"/>
      <w:marBottom w:val="0"/>
      <w:divBdr>
        <w:top w:val="none" w:sz="0" w:space="0" w:color="auto"/>
        <w:left w:val="none" w:sz="0" w:space="0" w:color="auto"/>
        <w:bottom w:val="none" w:sz="0" w:space="0" w:color="auto"/>
        <w:right w:val="none" w:sz="0" w:space="0" w:color="auto"/>
      </w:divBdr>
    </w:div>
    <w:div w:id="2021733559">
      <w:bodyDiv w:val="1"/>
      <w:marLeft w:val="0"/>
      <w:marRight w:val="0"/>
      <w:marTop w:val="0"/>
      <w:marBottom w:val="0"/>
      <w:divBdr>
        <w:top w:val="none" w:sz="0" w:space="0" w:color="auto"/>
        <w:left w:val="none" w:sz="0" w:space="0" w:color="auto"/>
        <w:bottom w:val="none" w:sz="0" w:space="0" w:color="auto"/>
        <w:right w:val="none" w:sz="0" w:space="0" w:color="auto"/>
      </w:divBdr>
    </w:div>
    <w:div w:id="2023778325">
      <w:bodyDiv w:val="1"/>
      <w:marLeft w:val="0"/>
      <w:marRight w:val="0"/>
      <w:marTop w:val="0"/>
      <w:marBottom w:val="0"/>
      <w:divBdr>
        <w:top w:val="none" w:sz="0" w:space="0" w:color="auto"/>
        <w:left w:val="none" w:sz="0" w:space="0" w:color="auto"/>
        <w:bottom w:val="none" w:sz="0" w:space="0" w:color="auto"/>
        <w:right w:val="none" w:sz="0" w:space="0" w:color="auto"/>
      </w:divBdr>
    </w:div>
    <w:div w:id="2037656236">
      <w:bodyDiv w:val="1"/>
      <w:marLeft w:val="0"/>
      <w:marRight w:val="0"/>
      <w:marTop w:val="0"/>
      <w:marBottom w:val="0"/>
      <w:divBdr>
        <w:top w:val="none" w:sz="0" w:space="0" w:color="auto"/>
        <w:left w:val="none" w:sz="0" w:space="0" w:color="auto"/>
        <w:bottom w:val="none" w:sz="0" w:space="0" w:color="auto"/>
        <w:right w:val="none" w:sz="0" w:space="0" w:color="auto"/>
      </w:divBdr>
    </w:div>
    <w:div w:id="2049644318">
      <w:bodyDiv w:val="1"/>
      <w:marLeft w:val="0"/>
      <w:marRight w:val="0"/>
      <w:marTop w:val="0"/>
      <w:marBottom w:val="0"/>
      <w:divBdr>
        <w:top w:val="none" w:sz="0" w:space="0" w:color="auto"/>
        <w:left w:val="none" w:sz="0" w:space="0" w:color="auto"/>
        <w:bottom w:val="none" w:sz="0" w:space="0" w:color="auto"/>
        <w:right w:val="none" w:sz="0" w:space="0" w:color="auto"/>
      </w:divBdr>
    </w:div>
    <w:div w:id="2064399932">
      <w:bodyDiv w:val="1"/>
      <w:marLeft w:val="0"/>
      <w:marRight w:val="0"/>
      <w:marTop w:val="0"/>
      <w:marBottom w:val="0"/>
      <w:divBdr>
        <w:top w:val="none" w:sz="0" w:space="0" w:color="auto"/>
        <w:left w:val="none" w:sz="0" w:space="0" w:color="auto"/>
        <w:bottom w:val="none" w:sz="0" w:space="0" w:color="auto"/>
        <w:right w:val="none" w:sz="0" w:space="0" w:color="auto"/>
      </w:divBdr>
    </w:div>
    <w:div w:id="2099904915">
      <w:bodyDiv w:val="1"/>
      <w:marLeft w:val="0"/>
      <w:marRight w:val="0"/>
      <w:marTop w:val="0"/>
      <w:marBottom w:val="0"/>
      <w:divBdr>
        <w:top w:val="none" w:sz="0" w:space="0" w:color="auto"/>
        <w:left w:val="none" w:sz="0" w:space="0" w:color="auto"/>
        <w:bottom w:val="none" w:sz="0" w:space="0" w:color="auto"/>
        <w:right w:val="none" w:sz="0" w:space="0" w:color="auto"/>
      </w:divBdr>
    </w:div>
    <w:div w:id="2121294121">
      <w:bodyDiv w:val="1"/>
      <w:marLeft w:val="0"/>
      <w:marRight w:val="0"/>
      <w:marTop w:val="0"/>
      <w:marBottom w:val="0"/>
      <w:divBdr>
        <w:top w:val="none" w:sz="0" w:space="0" w:color="auto"/>
        <w:left w:val="none" w:sz="0" w:space="0" w:color="auto"/>
        <w:bottom w:val="none" w:sz="0" w:space="0" w:color="auto"/>
        <w:right w:val="none" w:sz="0" w:space="0" w:color="auto"/>
      </w:divBdr>
    </w:div>
    <w:div w:id="2122213937">
      <w:bodyDiv w:val="1"/>
      <w:marLeft w:val="0"/>
      <w:marRight w:val="0"/>
      <w:marTop w:val="0"/>
      <w:marBottom w:val="0"/>
      <w:divBdr>
        <w:top w:val="none" w:sz="0" w:space="0" w:color="auto"/>
        <w:left w:val="none" w:sz="0" w:space="0" w:color="auto"/>
        <w:bottom w:val="none" w:sz="0" w:space="0" w:color="auto"/>
        <w:right w:val="none" w:sz="0" w:space="0" w:color="auto"/>
      </w:divBdr>
    </w:div>
    <w:div w:id="2127970069">
      <w:bodyDiv w:val="1"/>
      <w:marLeft w:val="0"/>
      <w:marRight w:val="0"/>
      <w:marTop w:val="0"/>
      <w:marBottom w:val="0"/>
      <w:divBdr>
        <w:top w:val="none" w:sz="0" w:space="0" w:color="auto"/>
        <w:left w:val="none" w:sz="0" w:space="0" w:color="auto"/>
        <w:bottom w:val="none" w:sz="0" w:space="0" w:color="auto"/>
        <w:right w:val="none" w:sz="0" w:space="0" w:color="auto"/>
      </w:divBdr>
    </w:div>
    <w:div w:id="2146391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1</Pages>
  <Words>17797</Words>
  <Characters>101443</Characters>
  <Application>Microsoft Office Word</Application>
  <DocSecurity>0</DocSecurity>
  <Lines>845</Lines>
  <Paragraphs>238</Paragraphs>
  <ScaleCrop>false</ScaleCrop>
  <Company/>
  <LinksUpToDate>false</LinksUpToDate>
  <CharactersWithSpaces>119002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76</cp:revision>
  <cp:lastPrinted>2023-08-28T02:39:00Z</cp:lastPrinted>
  <dcterms:created xsi:type="dcterms:W3CDTF">2023-08-17T06:35:00Z</dcterms:created>
  <dcterms:modified xsi:type="dcterms:W3CDTF">2023-08-28T02:40:00Z</dcterms:modified>
</cp:coreProperties>
</file>