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F9" w:rsidRPr="000A2E6B" w:rsidRDefault="008A1DF1">
      <w:pPr>
        <w:spacing w:before="200" w:after="1000" w:line="560" w:lineRule="exact"/>
        <w:jc w:val="center"/>
        <w:rPr>
          <w:rFonts w:ascii="宋体" w:eastAsia="宋体" w:hAnsi="宋体" w:cs="宋体"/>
          <w:szCs w:val="21"/>
        </w:rPr>
      </w:pPr>
      <w:r w:rsidRPr="000A2E6B">
        <w:rPr>
          <w:rFonts w:ascii="宋体" w:eastAsia="宋体" w:hAnsi="宋体" w:cs="宋体"/>
          <w:szCs w:val="21"/>
        </w:rPr>
        <w:t>证券代码：000936                证券简称：华西股份                公告编号：2023-005</w:t>
      </w:r>
    </w:p>
    <w:p w:rsidR="00F563F9" w:rsidRDefault="008A1DF1">
      <w:pPr>
        <w:spacing w:after="1000" w:line="400" w:lineRule="exact"/>
        <w:jc w:val="center"/>
        <w:rPr>
          <w:rFonts w:ascii="宋体" w:eastAsia="宋体" w:hAnsi="宋体" w:cs="宋体"/>
          <w:b/>
          <w:bCs/>
          <w:sz w:val="36"/>
          <w:szCs w:val="36"/>
        </w:rPr>
      </w:pPr>
      <w:r>
        <w:rPr>
          <w:rFonts w:ascii="宋体" w:eastAsia="宋体" w:hAnsi="宋体" w:cs="宋体"/>
          <w:b/>
          <w:bCs/>
          <w:sz w:val="36"/>
          <w:szCs w:val="36"/>
        </w:rPr>
        <w:t>江苏华西村股份有限公司2022年年度报告摘要</w:t>
      </w:r>
    </w:p>
    <w:p w:rsidR="00F563F9" w:rsidRDefault="008A1DF1" w:rsidP="000A2E6B">
      <w:pPr>
        <w:rPr>
          <w:rFonts w:ascii="宋体" w:eastAsia="宋体" w:hAnsi="宋体" w:cs="宋体"/>
          <w:b/>
          <w:bCs/>
          <w:sz w:val="24"/>
          <w:szCs w:val="24"/>
        </w:rPr>
      </w:pPr>
      <w:bookmarkStart w:id="0" w:name="_Toc988889"/>
      <w:r>
        <w:rPr>
          <w:rFonts w:ascii="宋体" w:eastAsia="宋体" w:hAnsi="宋体" w:cs="宋体"/>
          <w:b/>
          <w:bCs/>
          <w:sz w:val="24"/>
          <w:szCs w:val="24"/>
        </w:rPr>
        <w:t>一、重要提示</w:t>
      </w:r>
      <w:bookmarkEnd w:id="0"/>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本年度报告摘要来自年度报告全文，为全面了解本公司的经营成果、财务状况及未来发展规划，投资者应当到证监会指定媒体仔细阅读年度报告全文。</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所有董事均</w:t>
      </w:r>
      <w:proofErr w:type="gramStart"/>
      <w:r>
        <w:rPr>
          <w:rFonts w:ascii="宋体" w:eastAsia="宋体" w:hAnsi="宋体" w:cs="宋体"/>
          <w:sz w:val="18"/>
          <w:szCs w:val="18"/>
        </w:rPr>
        <w:t>已出席</w:t>
      </w:r>
      <w:proofErr w:type="gramEnd"/>
      <w:r>
        <w:rPr>
          <w:rFonts w:ascii="宋体" w:eastAsia="宋体" w:hAnsi="宋体" w:cs="宋体"/>
          <w:sz w:val="18"/>
          <w:szCs w:val="18"/>
        </w:rPr>
        <w:t>了审议本报告的董事会会议。</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非标准审计意见提示</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董事会审议的报告期利润分配预案或公积金转增股本预案</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是否以公积金转增股本</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公司经本次董事会审议通过的利润分配预案为：以 886,012,887为基数，向全体股东每10股派发现金红利0.2元（含税），送红股0股（含税），不以公积金转增股本。</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sidR="000A2E6B">
        <w:rPr>
          <w:rFonts w:ascii="宋体" w:eastAsia="宋体" w:hAnsi="宋体" w:cs="宋体"/>
          <w:sz w:val="18"/>
          <w:szCs w:val="18"/>
        </w:rPr>
        <w:sym w:font="Wingdings 2" w:char="F052"/>
      </w:r>
      <w:r>
        <w:rPr>
          <w:rFonts w:ascii="宋体" w:eastAsia="宋体" w:hAnsi="宋体" w:cs="宋体"/>
          <w:sz w:val="18"/>
          <w:szCs w:val="18"/>
        </w:rPr>
        <w:t>不适用</w:t>
      </w:r>
    </w:p>
    <w:p w:rsidR="00F563F9" w:rsidRDefault="008A1DF1">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F563F9" w:rsidRDefault="008A1DF1">
      <w:pPr>
        <w:pStyle w:val="3"/>
        <w:spacing w:line="280" w:lineRule="exact"/>
        <w:jc w:val="left"/>
        <w:rPr>
          <w:rFonts w:ascii="宋体" w:hAnsi="宋体" w:cs="宋体"/>
          <w:b/>
          <w:bCs/>
        </w:rPr>
      </w:pPr>
      <w:bookmarkStart w:id="2" w:name="_Toc988891"/>
      <w:r>
        <w:rPr>
          <w:rFonts w:ascii="宋体" w:hAnsi="宋体" w:cs="宋体"/>
          <w:b/>
          <w:bCs/>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199"/>
        <w:gridCol w:w="1480"/>
        <w:gridCol w:w="740"/>
        <w:gridCol w:w="740"/>
        <w:gridCol w:w="1480"/>
      </w:tblGrid>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1480"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华西股份</w:t>
            </w:r>
          </w:p>
        </w:tc>
        <w:tc>
          <w:tcPr>
            <w:tcW w:w="148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1480"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000936</w:t>
            </w:r>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4439" w:type="dxa"/>
            <w:gridSpan w:val="4"/>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王学良</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proofErr w:type="gramStart"/>
            <w:r>
              <w:rPr>
                <w:rFonts w:ascii="宋体" w:eastAsia="宋体" w:hAnsi="宋体" w:cs="宋体"/>
                <w:sz w:val="18"/>
                <w:szCs w:val="18"/>
              </w:rPr>
              <w:t>查建玉</w:t>
            </w:r>
            <w:proofErr w:type="gramEnd"/>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0510-86217177</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0510-86217177</w:t>
            </w:r>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0510-86217188</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0510-86217149</w:t>
            </w:r>
          </w:p>
        </w:tc>
      </w:tr>
      <w:tr w:rsidR="00F563F9">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zhajy@cnhuaxicun.com</w:t>
            </w:r>
          </w:p>
        </w:tc>
      </w:tr>
    </w:tbl>
    <w:p w:rsidR="00F563F9" w:rsidRDefault="008A1DF1">
      <w:pPr>
        <w:pStyle w:val="3"/>
        <w:spacing w:line="280" w:lineRule="exact"/>
        <w:jc w:val="left"/>
        <w:rPr>
          <w:rFonts w:ascii="宋体" w:hAnsi="宋体" w:cs="宋体"/>
          <w:b/>
          <w:bCs/>
        </w:rPr>
      </w:pPr>
      <w:bookmarkStart w:id="3" w:name="_Toc988892"/>
      <w:r>
        <w:rPr>
          <w:rFonts w:ascii="宋体" w:hAnsi="宋体" w:cs="宋体"/>
          <w:b/>
          <w:bCs/>
        </w:rPr>
        <w:t>2、报告期主要业务或产品简介</w:t>
      </w:r>
      <w:bookmarkEnd w:id="3"/>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Style w:val="a4"/>
          <w:rFonts w:cs="Calibri" w:hint="eastAsia"/>
          <w:sz w:val="18"/>
          <w:szCs w:val="18"/>
        </w:rPr>
        <w:t>（一）公司主要业务情况</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cs="Calibri" w:hint="eastAsia"/>
          <w:sz w:val="18"/>
          <w:szCs w:val="18"/>
        </w:rPr>
        <w:t>公司主要从事涤纶化纤的研发、生产和销售，石化仓储物流服务。</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cs="Calibri" w:hint="eastAsia"/>
          <w:sz w:val="18"/>
          <w:szCs w:val="18"/>
        </w:rPr>
        <w:t>1、涤纶化纤业务</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cs="Calibri" w:hint="eastAsia"/>
          <w:sz w:val="18"/>
          <w:szCs w:val="18"/>
        </w:rPr>
        <w:lastRenderedPageBreak/>
        <w:t>公司化纤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ascii="Times New Roman" w:hAnsi="Times New Roman" w:cs="Times New Roman"/>
          <w:sz w:val="18"/>
          <w:szCs w:val="18"/>
        </w:rPr>
        <w:t>2</w:t>
      </w:r>
      <w:r>
        <w:rPr>
          <w:rFonts w:cs="Calibri" w:hint="eastAsia"/>
          <w:sz w:val="18"/>
          <w:szCs w:val="18"/>
        </w:rPr>
        <w:t>、石化仓储业务</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cs="Calibri" w:hint="eastAsia"/>
          <w:sz w:val="18"/>
          <w:szCs w:val="18"/>
        </w:rPr>
        <w:t>公司的石化仓储业务主要由全资子公司华西码头开展。华西码头位于苏、锡、常化工企业中心区，紧邻长江、连</w:t>
      </w:r>
      <w:r w:rsidR="006C555E">
        <w:rPr>
          <w:rFonts w:cs="Calibri" w:hint="eastAsia"/>
          <w:sz w:val="18"/>
          <w:szCs w:val="18"/>
        </w:rPr>
        <w:t>接</w:t>
      </w:r>
      <w:r>
        <w:rPr>
          <w:rFonts w:cs="Calibri" w:hint="eastAsia"/>
          <w:sz w:val="18"/>
          <w:szCs w:val="18"/>
        </w:rPr>
        <w:t>京杭大运河，顺长江而上可直达长江中上游主要城市，地理位置优越，是长三角石化物流基地的重要国际港口口岸。华西码头仓储总容量达</w:t>
      </w:r>
      <w:r>
        <w:rPr>
          <w:rFonts w:ascii="Times New Roman" w:hAnsi="Times New Roman" w:cs="Times New Roman"/>
          <w:sz w:val="18"/>
          <w:szCs w:val="18"/>
        </w:rPr>
        <w:t>30</w:t>
      </w:r>
      <w:r>
        <w:rPr>
          <w:rFonts w:cs="Calibri" w:hint="eastAsia"/>
          <w:sz w:val="18"/>
          <w:szCs w:val="18"/>
        </w:rPr>
        <w:t>万立方米，可接卸苯类、醇类、酸类等五十多种化工品。经过多年的稳健发展和客户积累，华西码头目前已经成为长江中下游最为成熟的物流仓储企业之一。</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cs="Calibri"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77090F" w:rsidRDefault="008A1DF1" w:rsidP="000A2E6B">
      <w:pPr>
        <w:pStyle w:val="a3"/>
        <w:snapToGrid w:val="0"/>
        <w:spacing w:before="40" w:beforeAutospacing="0" w:after="40" w:afterAutospacing="0" w:line="360" w:lineRule="auto"/>
        <w:ind w:firstLine="360"/>
        <w:jc w:val="both"/>
        <w:divId w:val="216431764"/>
        <w:rPr>
          <w:rFonts w:ascii="Calibri" w:hAnsi="Calibri" w:cs="Calibri"/>
          <w:sz w:val="21"/>
          <w:szCs w:val="21"/>
        </w:rPr>
      </w:pPr>
      <w:r>
        <w:rPr>
          <w:rFonts w:ascii="Calibri" w:hAnsi="Calibri" w:cs="Calibri"/>
          <w:sz w:val="21"/>
          <w:szCs w:val="21"/>
        </w:rPr>
        <w:t> </w:t>
      </w:r>
    </w:p>
    <w:p w:rsidR="0077090F" w:rsidRDefault="008A1DF1" w:rsidP="000A2E6B">
      <w:pPr>
        <w:pStyle w:val="a3"/>
        <w:snapToGrid w:val="0"/>
        <w:spacing w:before="0" w:beforeAutospacing="0" w:after="0" w:afterAutospacing="0" w:line="360" w:lineRule="auto"/>
        <w:ind w:firstLine="360"/>
        <w:jc w:val="both"/>
        <w:divId w:val="216431764"/>
      </w:pPr>
      <w:r>
        <w:rPr>
          <w:rStyle w:val="a4"/>
          <w:rFonts w:hint="eastAsia"/>
          <w:sz w:val="18"/>
          <w:szCs w:val="18"/>
        </w:rPr>
        <w:t>（二）行业发展状况及总体供求趋势</w:t>
      </w:r>
    </w:p>
    <w:p w:rsidR="0077090F" w:rsidRDefault="008A1DF1" w:rsidP="000A2E6B">
      <w:pPr>
        <w:pStyle w:val="a3"/>
        <w:snapToGrid w:val="0"/>
        <w:spacing w:before="0" w:beforeAutospacing="0" w:after="50" w:afterAutospacing="0" w:line="360" w:lineRule="auto"/>
        <w:ind w:firstLine="360"/>
        <w:jc w:val="both"/>
        <w:divId w:val="216431764"/>
        <w:rPr>
          <w:rFonts w:ascii="Calibri" w:hAnsi="Calibri" w:cs="Calibri"/>
          <w:sz w:val="21"/>
          <w:szCs w:val="21"/>
        </w:rPr>
      </w:pPr>
      <w:r>
        <w:rPr>
          <w:rFonts w:cs="Calibri" w:hint="eastAsia"/>
          <w:sz w:val="18"/>
          <w:szCs w:val="18"/>
        </w:rPr>
        <w:t>根据中国证监会发布的《上市公司行业分类指引》，公司的行业分类为化学纤维制造业（分类代码C28）。</w:t>
      </w:r>
    </w:p>
    <w:p w:rsidR="0077090F" w:rsidRDefault="008A1DF1" w:rsidP="000A2E6B">
      <w:pPr>
        <w:pStyle w:val="a3"/>
        <w:snapToGrid w:val="0"/>
        <w:spacing w:before="0" w:beforeAutospacing="0" w:after="0" w:afterAutospacing="0" w:line="360" w:lineRule="auto"/>
        <w:ind w:firstLine="360"/>
        <w:jc w:val="both"/>
        <w:divId w:val="216431764"/>
      </w:pPr>
      <w:r>
        <w:rPr>
          <w:rFonts w:hint="eastAsia"/>
          <w:sz w:val="18"/>
          <w:szCs w:val="18"/>
        </w:rPr>
        <w:t>2022年国际形势多变，全球市场面临的风险挑战更多样化，经济复苏压力加剧。俄</w:t>
      </w:r>
      <w:proofErr w:type="gramStart"/>
      <w:r>
        <w:rPr>
          <w:rFonts w:hint="eastAsia"/>
          <w:sz w:val="18"/>
          <w:szCs w:val="18"/>
        </w:rPr>
        <w:t>乌冲突</w:t>
      </w:r>
      <w:proofErr w:type="gramEnd"/>
      <w:r>
        <w:rPr>
          <w:rFonts w:hint="eastAsia"/>
          <w:sz w:val="18"/>
          <w:szCs w:val="18"/>
        </w:rPr>
        <w:t>导致供应链短缺，供需矛盾进一步激化，化纤聚酯行业的PTA等原燃料价格维持在高位运行，国内企业面临的输入性通胀压力加大。国内市场受经济下行压力加大，消费者信心不足，终端开工率维持在低水平，行业供大于求的局面仍未有实质性改善，“高成本、高库存、低需求、低效益”仍是常态。每一个市场参与者，都切身感觉到了很大的压力。</w:t>
      </w:r>
    </w:p>
    <w:p w:rsidR="0077090F" w:rsidRDefault="008A1DF1" w:rsidP="000A2E6B">
      <w:pPr>
        <w:pStyle w:val="a3"/>
        <w:snapToGrid w:val="0"/>
        <w:spacing w:before="0" w:beforeAutospacing="0" w:after="0" w:afterAutospacing="0" w:line="360" w:lineRule="auto"/>
        <w:ind w:firstLine="360"/>
        <w:jc w:val="both"/>
        <w:divId w:val="216431764"/>
        <w:rPr>
          <w:rFonts w:ascii="Calibri" w:hAnsi="Calibri" w:cs="Calibri"/>
          <w:sz w:val="21"/>
          <w:szCs w:val="21"/>
        </w:rPr>
      </w:pPr>
      <w:r>
        <w:rPr>
          <w:rFonts w:cs="Calibri" w:hint="eastAsia"/>
          <w:sz w:val="18"/>
          <w:szCs w:val="18"/>
        </w:rPr>
        <w:t>据华瑞CCF统计，2022年国内直纺涤纶短纤维新投产能110万吨，剔除无效产能65万吨，国内直纺涤纶短纤维有效产能在900万吨，同比增长5.26%。产量出现明显下滑，全年产量减少20万吨，总量685万吨，增速下降2.84%。</w:t>
      </w:r>
    </w:p>
    <w:p w:rsidR="0077090F" w:rsidRDefault="008A1DF1" w:rsidP="000A2E6B">
      <w:pPr>
        <w:pStyle w:val="a3"/>
        <w:snapToGrid w:val="0"/>
        <w:spacing w:before="0" w:beforeAutospacing="0" w:after="0" w:afterAutospacing="0" w:line="360" w:lineRule="auto"/>
        <w:ind w:firstLine="360"/>
        <w:jc w:val="both"/>
        <w:divId w:val="216431764"/>
        <w:rPr>
          <w:rFonts w:ascii="Calibri" w:hAnsi="Calibri" w:cs="Calibri"/>
          <w:sz w:val="21"/>
          <w:szCs w:val="21"/>
        </w:rPr>
      </w:pPr>
      <w:r>
        <w:rPr>
          <w:rFonts w:cs="Calibri" w:hint="eastAsia"/>
          <w:sz w:val="18"/>
          <w:szCs w:val="18"/>
        </w:rPr>
        <w:t>虽然行业处于低景气度周期，但在国家促进消费投资、完善分配格局、提升供给质量、完善市场体系、畅通经济循环的扩大内需战略背景下，在国内相关产业政策的落实、稳健的货币政策及强大的经济发展韧性下，行业运行具备启稳回升的可能，出口有望保持稳定增长。</w:t>
      </w:r>
    </w:p>
    <w:p w:rsidR="0077090F" w:rsidRDefault="008A1DF1" w:rsidP="000A2E6B">
      <w:pPr>
        <w:pStyle w:val="a3"/>
        <w:snapToGrid w:val="0"/>
        <w:spacing w:before="0" w:beforeAutospacing="0" w:after="0" w:afterAutospacing="0" w:line="360" w:lineRule="auto"/>
        <w:ind w:firstLine="480"/>
        <w:jc w:val="both"/>
        <w:divId w:val="216431764"/>
        <w:rPr>
          <w:rFonts w:ascii="Calibri" w:hAnsi="Calibri" w:cs="Calibri"/>
          <w:sz w:val="21"/>
          <w:szCs w:val="21"/>
        </w:rPr>
      </w:pPr>
      <w:r>
        <w:rPr>
          <w:rFonts w:cs="Calibri" w:hint="eastAsia"/>
          <w:sz w:val="18"/>
          <w:szCs w:val="18"/>
        </w:rPr>
        <w:t>2022年由工业和信息化部、国家发展改革委联合印发《关于化纤工业高质量发展的指导意见》提出：到2025年，规模以上化纤企业工业增加值年均增长5%，化纤产量在全球占比基本稳定。创新能力不断增强，行业研发经费投入强度达到2%，高性能纤维研发制造能力满足国家战略需求。数字化转型取得明显成效，企业经营管理数字化普及率达80%，关键工序数控化率达80%。绿色制造体系不断完善，绿色纤维占比提高到25%以上，生物基化学纤维和</w:t>
      </w:r>
      <w:proofErr w:type="gramStart"/>
      <w:r>
        <w:rPr>
          <w:rFonts w:cs="Calibri" w:hint="eastAsia"/>
          <w:sz w:val="18"/>
          <w:szCs w:val="18"/>
        </w:rPr>
        <w:t>可</w:t>
      </w:r>
      <w:proofErr w:type="gramEnd"/>
      <w:r>
        <w:rPr>
          <w:rFonts w:cs="Calibri" w:hint="eastAsia"/>
          <w:sz w:val="18"/>
          <w:szCs w:val="18"/>
        </w:rPr>
        <w:t>降解纤维材料产量年均增长20%以上，废旧资源综合利用水平和规模进一步发展，行业碳排放强度明显降低。形成一批具备较强竞争力的龙头企业，构建高端化、智能化、绿色</w:t>
      </w:r>
      <w:proofErr w:type="gramStart"/>
      <w:r>
        <w:rPr>
          <w:rFonts w:cs="Calibri" w:hint="eastAsia"/>
          <w:sz w:val="18"/>
          <w:szCs w:val="18"/>
        </w:rPr>
        <w:t>化现代</w:t>
      </w:r>
      <w:proofErr w:type="gramEnd"/>
      <w:r>
        <w:rPr>
          <w:rFonts w:cs="Calibri" w:hint="eastAsia"/>
          <w:sz w:val="18"/>
          <w:szCs w:val="18"/>
        </w:rPr>
        <w:t>产业体系，全面建设化纤强国。</w:t>
      </w:r>
    </w:p>
    <w:p w:rsidR="0077090F" w:rsidRDefault="008A1DF1" w:rsidP="000A2E6B">
      <w:pPr>
        <w:pStyle w:val="a3"/>
        <w:snapToGrid w:val="0"/>
        <w:spacing w:before="0" w:beforeAutospacing="0" w:after="0" w:afterAutospacing="0" w:line="360" w:lineRule="auto"/>
        <w:ind w:firstLine="480"/>
        <w:jc w:val="both"/>
        <w:divId w:val="216431764"/>
        <w:rPr>
          <w:rFonts w:ascii="Calibri" w:hAnsi="Calibri" w:cs="Calibri"/>
          <w:sz w:val="21"/>
          <w:szCs w:val="21"/>
        </w:rPr>
      </w:pPr>
      <w:r>
        <w:rPr>
          <w:rFonts w:cs="Calibri" w:hint="eastAsia"/>
          <w:sz w:val="18"/>
          <w:szCs w:val="18"/>
        </w:rPr>
        <w:t>由此可见，中国化纤行业将进入高质量发展阶段，科技创新对经济的贡献度将逐步提升，企业将向着提升品质，坚持走绿色制造、</w:t>
      </w:r>
      <w:proofErr w:type="gramStart"/>
      <w:r>
        <w:rPr>
          <w:rFonts w:cs="Calibri" w:hint="eastAsia"/>
          <w:sz w:val="18"/>
          <w:szCs w:val="18"/>
        </w:rPr>
        <w:t>节能降碳的</w:t>
      </w:r>
      <w:proofErr w:type="gramEnd"/>
      <w:r>
        <w:rPr>
          <w:rFonts w:cs="Calibri" w:hint="eastAsia"/>
          <w:sz w:val="18"/>
          <w:szCs w:val="18"/>
        </w:rPr>
        <w:t>可持续发展方向迈进。</w:t>
      </w:r>
    </w:p>
    <w:p w:rsidR="0077090F" w:rsidRDefault="008A1DF1" w:rsidP="000A2E6B">
      <w:pPr>
        <w:pStyle w:val="a3"/>
        <w:snapToGrid w:val="0"/>
        <w:spacing w:before="0" w:beforeAutospacing="0" w:after="0" w:afterAutospacing="0" w:line="360" w:lineRule="auto"/>
        <w:ind w:firstLine="480"/>
        <w:jc w:val="both"/>
        <w:divId w:val="216431764"/>
        <w:rPr>
          <w:rFonts w:ascii="Calibri" w:hAnsi="Calibri" w:cs="Calibri"/>
          <w:sz w:val="21"/>
          <w:szCs w:val="21"/>
        </w:rPr>
      </w:pPr>
      <w:r>
        <w:rPr>
          <w:rFonts w:ascii="Calibri" w:hAnsi="Calibri" w:cs="Calibri"/>
          <w:sz w:val="18"/>
          <w:szCs w:val="18"/>
        </w:rPr>
        <w:t> </w:t>
      </w:r>
    </w:p>
    <w:p w:rsidR="0077090F" w:rsidRDefault="008A1DF1" w:rsidP="000A2E6B">
      <w:pPr>
        <w:pStyle w:val="a3"/>
        <w:snapToGrid w:val="0"/>
        <w:spacing w:before="0" w:beforeAutospacing="0" w:after="0" w:afterAutospacing="0" w:line="360" w:lineRule="auto"/>
        <w:ind w:firstLine="360"/>
        <w:divId w:val="216431764"/>
      </w:pPr>
      <w:r>
        <w:rPr>
          <w:rStyle w:val="a4"/>
          <w:rFonts w:hint="eastAsia"/>
          <w:sz w:val="18"/>
          <w:szCs w:val="18"/>
        </w:rPr>
        <w:t>（三）所属行业情况及公司地位</w:t>
      </w:r>
    </w:p>
    <w:p w:rsidR="0077090F" w:rsidRDefault="008A1DF1" w:rsidP="000A2E6B">
      <w:pPr>
        <w:pStyle w:val="a3"/>
        <w:snapToGrid w:val="0"/>
        <w:spacing w:before="0" w:beforeAutospacing="0" w:after="0" w:afterAutospacing="0" w:line="360" w:lineRule="auto"/>
        <w:ind w:firstLine="360"/>
        <w:jc w:val="both"/>
        <w:divId w:val="216431764"/>
        <w:rPr>
          <w:rFonts w:ascii="Calibri" w:hAnsi="Calibri" w:cs="Calibri"/>
          <w:sz w:val="21"/>
          <w:szCs w:val="21"/>
        </w:rPr>
      </w:pPr>
      <w:r>
        <w:rPr>
          <w:rFonts w:cs="Calibri" w:hint="eastAsia"/>
          <w:sz w:val="18"/>
          <w:szCs w:val="18"/>
        </w:rPr>
        <w:t>公司所处的化纤行业属于国计民生的基础性行业，行业波动主要受上游原材料、产品供给和下游产品需求等因素影响。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公司短</w:t>
      </w:r>
      <w:proofErr w:type="gramStart"/>
      <w:r>
        <w:rPr>
          <w:rFonts w:cs="Calibri" w:hint="eastAsia"/>
          <w:sz w:val="18"/>
          <w:szCs w:val="18"/>
        </w:rPr>
        <w:t>纤</w:t>
      </w:r>
      <w:proofErr w:type="gramEnd"/>
      <w:r>
        <w:rPr>
          <w:rFonts w:cs="Calibri" w:hint="eastAsia"/>
          <w:sz w:val="18"/>
          <w:szCs w:val="18"/>
        </w:rPr>
        <w:t>产能为40万吨/年，产品上的主要竞争优势是技术创新和产品研发，不断提升差别化纤维品种比重，目前差别化率达85%，部分产品引领行业，</w:t>
      </w:r>
      <w:r>
        <w:rPr>
          <w:rFonts w:cs="Calibri" w:hint="eastAsia"/>
          <w:sz w:val="18"/>
          <w:szCs w:val="18"/>
        </w:rPr>
        <w:lastRenderedPageBreak/>
        <w:t>行业地位处于前列。公司将继续在差别化、高附加值产品上进一步规划，在一些领域继续</w:t>
      </w:r>
      <w:proofErr w:type="gramStart"/>
      <w:r>
        <w:rPr>
          <w:rFonts w:cs="Calibri" w:hint="eastAsia"/>
          <w:sz w:val="18"/>
          <w:szCs w:val="18"/>
        </w:rPr>
        <w:t>扩大占</w:t>
      </w:r>
      <w:proofErr w:type="gramEnd"/>
      <w:r>
        <w:rPr>
          <w:rFonts w:cs="Calibri" w:hint="eastAsia"/>
          <w:sz w:val="18"/>
          <w:szCs w:val="18"/>
        </w:rPr>
        <w:t>比，同时上下游联动，与下游客户合作，形成利益共享，进一步提高附加值水平。在新品研发上，做到生产一代、</w:t>
      </w:r>
      <w:r w:rsidR="006C555E">
        <w:rPr>
          <w:rFonts w:cs="Calibri" w:hint="eastAsia"/>
          <w:sz w:val="18"/>
          <w:szCs w:val="18"/>
        </w:rPr>
        <w:t>研发一代、</w:t>
      </w:r>
      <w:r>
        <w:rPr>
          <w:rFonts w:cs="Calibri" w:hint="eastAsia"/>
          <w:sz w:val="18"/>
          <w:szCs w:val="18"/>
        </w:rPr>
        <w:t>储备一代。</w:t>
      </w:r>
    </w:p>
    <w:p w:rsidR="00F563F9" w:rsidRDefault="008A1DF1">
      <w:pPr>
        <w:pStyle w:val="3"/>
        <w:spacing w:line="280" w:lineRule="exact"/>
        <w:jc w:val="left"/>
        <w:rPr>
          <w:rFonts w:ascii="宋体" w:hAnsi="宋体" w:cs="宋体"/>
          <w:b/>
          <w:bCs/>
        </w:rPr>
      </w:pPr>
      <w:bookmarkStart w:id="4" w:name="_Toc988893"/>
      <w:r>
        <w:rPr>
          <w:rFonts w:ascii="宋体" w:hAnsi="宋体" w:cs="宋体"/>
          <w:b/>
          <w:bCs/>
        </w:rPr>
        <w:t>3、主要会计数据和财务指标</w:t>
      </w:r>
      <w:bookmarkEnd w:id="4"/>
    </w:p>
    <w:p w:rsidR="00F563F9" w:rsidRDefault="008A1DF1">
      <w:pPr>
        <w:keepNext/>
        <w:keepLines/>
        <w:spacing w:before="300" w:after="300" w:line="280" w:lineRule="exact"/>
        <w:outlineLvl w:val="3"/>
        <w:rPr>
          <w:rFonts w:ascii="宋体" w:eastAsia="宋体" w:hAnsi="宋体" w:cs="宋体"/>
          <w:b/>
          <w:bCs/>
          <w:sz w:val="18"/>
          <w:szCs w:val="18"/>
        </w:rPr>
      </w:pPr>
      <w:bookmarkStart w:id="5" w:name="_Toc988894"/>
      <w:r>
        <w:rPr>
          <w:rFonts w:ascii="宋体" w:eastAsia="宋体" w:hAnsi="宋体" w:cs="宋体"/>
          <w:b/>
          <w:bCs/>
          <w:sz w:val="18"/>
          <w:szCs w:val="18"/>
        </w:rPr>
        <w:t>（1） 近三年主要会计数据和财务指标</w:t>
      </w:r>
      <w:bookmarkEnd w:id="5"/>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563F9" w:rsidRDefault="008A1DF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2021年末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2020年末</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总资产</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6,723,135,632.50</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-4.99%</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8,675,167,428.78</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0.83%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4,702,935,119.82</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2020年</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2,418,019,870.19</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21.07%</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2,355,558,721.43</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341,643,809.00</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-38.83%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-332,742,553.95</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201,304,801.62</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337,018,294.09</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-40.27%</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-65,870,328.13</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-40,354,538.75</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133.75%</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141,623,282.14</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-38.46%</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-0.38</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-38.46%</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-0.38</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4.15%</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7.03%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E130D8" w:rsidP="00E130D8">
            <w:pPr>
              <w:spacing w:line="240" w:lineRule="exact"/>
              <w:jc w:val="right"/>
              <w:rPr>
                <w:rFonts w:ascii="宋体" w:eastAsia="宋体" w:hAnsi="宋体" w:cs="宋体"/>
                <w:sz w:val="18"/>
                <w:szCs w:val="18"/>
              </w:rPr>
            </w:pPr>
            <w:r>
              <w:rPr>
                <w:rFonts w:ascii="宋体" w:eastAsia="宋体" w:hAnsi="宋体" w:cs="宋体" w:hint="eastAsia"/>
                <w:sz w:val="18"/>
                <w:szCs w:val="18"/>
              </w:rPr>
              <w:t>减少了2.88个百分点</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-6.77%</w:t>
            </w:r>
          </w:p>
        </w:tc>
      </w:tr>
    </w:tbl>
    <w:p w:rsidR="00F563F9" w:rsidRDefault="008A1DF1">
      <w:pPr>
        <w:keepNext/>
        <w:keepLines/>
        <w:spacing w:before="300" w:after="300" w:line="280" w:lineRule="exact"/>
        <w:outlineLvl w:val="3"/>
        <w:rPr>
          <w:rFonts w:ascii="宋体" w:eastAsia="宋体" w:hAnsi="宋体" w:cs="宋体"/>
          <w:b/>
          <w:bCs/>
          <w:sz w:val="18"/>
          <w:szCs w:val="18"/>
        </w:rPr>
      </w:pPr>
      <w:bookmarkStart w:id="6" w:name="_Toc988895"/>
      <w:r>
        <w:rPr>
          <w:rFonts w:ascii="宋体" w:eastAsia="宋体" w:hAnsi="宋体" w:cs="宋体"/>
          <w:b/>
          <w:bCs/>
          <w:sz w:val="18"/>
          <w:szCs w:val="18"/>
        </w:rPr>
        <w:t>（2） 分季度主要会计数据</w:t>
      </w:r>
      <w:bookmarkEnd w:id="6"/>
    </w:p>
    <w:p w:rsidR="00F563F9" w:rsidRDefault="008A1DF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第一季度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第二季度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第四季度</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671,123,046.63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806,267,967.51</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739,557,993.62</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710,488,891.94</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19,312,322.07</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79,415,729.00</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48,923,201.81</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61,339,789.89</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19,058,536.63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79,144,945.91</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49,100,188.05</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54,001,131.03</w:t>
            </w:r>
          </w:p>
        </w:tc>
      </w:tr>
      <w:tr w:rsidR="00F563F9">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-191,999,840.46</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99,548,973.63</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-24,930,479.48</w:t>
            </w:r>
          </w:p>
        </w:tc>
        <w:tc>
          <w:tcPr>
            <w:tcW w:w="1928" w:type="dxa"/>
            <w:tcBorders>
              <w:top w:val="single" w:sz="2" w:space="0" w:color="auto"/>
              <w:left w:val="single" w:sz="2" w:space="0" w:color="auto"/>
              <w:bottom w:val="single" w:sz="2" w:space="0" w:color="auto"/>
              <w:right w:val="single" w:sz="2" w:space="0" w:color="auto"/>
            </w:tcBorders>
            <w:vAlign w:val="center"/>
          </w:tcPr>
          <w:p w:rsidR="00F563F9" w:rsidRDefault="00F469CC">
            <w:pPr>
              <w:spacing w:line="240" w:lineRule="exact"/>
              <w:jc w:val="right"/>
              <w:rPr>
                <w:rFonts w:ascii="宋体" w:eastAsia="宋体" w:hAnsi="宋体" w:cs="宋体"/>
                <w:sz w:val="18"/>
                <w:szCs w:val="18"/>
              </w:rPr>
            </w:pPr>
            <w:r w:rsidRPr="00F469CC">
              <w:rPr>
                <w:rFonts w:ascii="宋体" w:eastAsia="宋体" w:hAnsi="宋体" w:cs="宋体" w:hint="eastAsia"/>
                <w:sz w:val="18"/>
                <w:szCs w:val="18"/>
              </w:rPr>
              <w:t>130,999,596.25</w:t>
            </w:r>
          </w:p>
        </w:tc>
      </w:tr>
    </w:tbl>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563F9" w:rsidRDefault="008A1DF1">
      <w:pPr>
        <w:pStyle w:val="3"/>
        <w:spacing w:line="280" w:lineRule="exact"/>
        <w:jc w:val="left"/>
        <w:rPr>
          <w:rFonts w:ascii="宋体" w:hAnsi="宋体" w:cs="宋体"/>
          <w:b/>
          <w:bCs/>
        </w:rPr>
      </w:pPr>
      <w:bookmarkStart w:id="7" w:name="_Toc988896"/>
      <w:r>
        <w:rPr>
          <w:rFonts w:ascii="宋体" w:hAnsi="宋体" w:cs="宋体"/>
          <w:b/>
          <w:bCs/>
        </w:rPr>
        <w:lastRenderedPageBreak/>
        <w:t>4、股本及股东情况</w:t>
      </w:r>
      <w:bookmarkEnd w:id="7"/>
    </w:p>
    <w:p w:rsidR="00F563F9" w:rsidRDefault="008A1DF1">
      <w:pPr>
        <w:keepNext/>
        <w:keepLines/>
        <w:spacing w:before="300" w:after="300" w:line="280" w:lineRule="exact"/>
        <w:outlineLvl w:val="3"/>
        <w:rPr>
          <w:rFonts w:ascii="宋体" w:eastAsia="宋体" w:hAnsi="宋体" w:cs="宋体"/>
          <w:b/>
          <w:bCs/>
          <w:sz w:val="18"/>
          <w:szCs w:val="18"/>
        </w:rPr>
      </w:pPr>
      <w:bookmarkStart w:id="8" w:name="_Toc988897"/>
      <w:r>
        <w:rPr>
          <w:rFonts w:ascii="宋体" w:eastAsia="宋体" w:hAnsi="宋体" w:cs="宋体"/>
          <w:b/>
          <w:bCs/>
          <w:sz w:val="18"/>
          <w:szCs w:val="18"/>
        </w:rPr>
        <w:t>（1） 普通股股东和表决权恢复的优先股股东数量及前10名股东持股情况表</w:t>
      </w:r>
      <w:bookmarkEnd w:id="8"/>
    </w:p>
    <w:p w:rsidR="00F563F9" w:rsidRDefault="008A1DF1">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F563F9">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57,052</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年度报告披露日前一个月末普通股股东总数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61,933</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年度报告披露日前一个月末表决权恢复的优先股股东总数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63F9">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F563F9">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F563F9">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F563F9"/>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26,000,000</w:t>
            </w: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11.24%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99,629,483.00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陈朝晖</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1.51%</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13,349,306.00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5,710,004.00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李蓬勃</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4,229,100.00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黄跃</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3,861,500.00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李敏</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任海森</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2,605,700.00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proofErr w:type="gramStart"/>
            <w:r>
              <w:rPr>
                <w:rFonts w:ascii="宋体" w:eastAsia="宋体" w:hAnsi="宋体" w:cs="宋体"/>
                <w:sz w:val="18"/>
                <w:szCs w:val="18"/>
              </w:rPr>
              <w:t>王申安</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2,508,000.00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沈加权</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jc w:val="right"/>
              <w:rPr>
                <w:rFonts w:ascii="宋体" w:eastAsia="宋体" w:hAnsi="宋体" w:cs="宋体"/>
                <w:sz w:val="18"/>
                <w:szCs w:val="18"/>
              </w:rPr>
            </w:pPr>
            <w:r>
              <w:rPr>
                <w:rFonts w:ascii="宋体" w:eastAsia="宋体" w:hAnsi="宋体" w:cs="宋体"/>
                <w:sz w:val="18"/>
                <w:szCs w:val="18"/>
              </w:rPr>
              <w:t>2,484,755.00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563F9" w:rsidRDefault="00F563F9">
            <w:pPr>
              <w:spacing w:line="240" w:lineRule="exact"/>
              <w:jc w:val="right"/>
              <w:rPr>
                <w:rFonts w:ascii="宋体" w:eastAsia="宋体" w:hAnsi="宋体" w:cs="宋体"/>
                <w:sz w:val="18"/>
                <w:szCs w:val="18"/>
              </w:rPr>
            </w:pPr>
          </w:p>
        </w:tc>
      </w:tr>
      <w:tr w:rsidR="00F563F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rsidR="00F563F9" w:rsidRDefault="008A1DF1" w:rsidP="000A2E6B">
            <w:pPr>
              <w:spacing w:line="240" w:lineRule="exact"/>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F563F9">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7497" w:type="dxa"/>
            <w:gridSpan w:val="7"/>
            <w:tcBorders>
              <w:top w:val="single" w:sz="2" w:space="0" w:color="auto"/>
              <w:left w:val="single" w:sz="2" w:space="0" w:color="auto"/>
              <w:bottom w:val="single" w:sz="2" w:space="0" w:color="auto"/>
              <w:right w:val="single" w:sz="2" w:space="0" w:color="auto"/>
            </w:tcBorders>
            <w:vAlign w:val="center"/>
          </w:tcPr>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股东“陈朝晖”通过信用交易担保证券账户持有公司股票13,349,306股。</w:t>
            </w:r>
          </w:p>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股东“杨光勇”通过信用交易担保证券账户持有公司股票5,710,004股。</w:t>
            </w:r>
          </w:p>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股东“黄跃”通过普通账户持有公司股票538,000股，通过信用交易担保证券账户持有公司股票3,323,500股。</w:t>
            </w:r>
          </w:p>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股东“李敏”通过普通账户持有公司股票100股，通过信用交易担保证券账户持有公司股票2,920,000股。</w:t>
            </w:r>
          </w:p>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股东“任海森”通过信用交易担保证券账户持有公司股票2,605,700股。</w:t>
            </w:r>
          </w:p>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股东“王申安”通过信用交易担保证券账户持有公司股票2,508,000股。</w:t>
            </w:r>
          </w:p>
          <w:p w:rsidR="00F563F9" w:rsidRDefault="008A1DF1">
            <w:pPr>
              <w:spacing w:line="240" w:lineRule="exact"/>
              <w:rPr>
                <w:rFonts w:ascii="宋体" w:eastAsia="宋体" w:hAnsi="宋体" w:cs="宋体"/>
                <w:sz w:val="18"/>
                <w:szCs w:val="18"/>
              </w:rPr>
            </w:pPr>
            <w:r>
              <w:rPr>
                <w:rFonts w:ascii="宋体" w:eastAsia="宋体" w:hAnsi="宋体" w:cs="宋体"/>
                <w:sz w:val="18"/>
                <w:szCs w:val="18"/>
              </w:rPr>
              <w:t>股东“沈加权”通过信用交易担保证券账户持有公司股票2,484,755股。</w:t>
            </w:r>
          </w:p>
        </w:tc>
      </w:tr>
    </w:tbl>
    <w:p w:rsidR="00F563F9" w:rsidRDefault="008A1DF1">
      <w:pPr>
        <w:keepNext/>
        <w:keepLines/>
        <w:spacing w:before="300" w:after="300" w:line="280" w:lineRule="exact"/>
        <w:outlineLvl w:val="3"/>
        <w:rPr>
          <w:rFonts w:ascii="宋体" w:eastAsia="宋体" w:hAnsi="宋体" w:cs="宋体"/>
          <w:b/>
          <w:bCs/>
          <w:sz w:val="18"/>
          <w:szCs w:val="18"/>
        </w:rPr>
      </w:pPr>
      <w:bookmarkStart w:id="9" w:name="_Toc988898"/>
      <w:r>
        <w:rPr>
          <w:rFonts w:ascii="宋体" w:eastAsia="宋体" w:hAnsi="宋体" w:cs="宋体"/>
          <w:b/>
          <w:bCs/>
          <w:sz w:val="18"/>
          <w:szCs w:val="18"/>
        </w:rPr>
        <w:t>（2） 公司优先股股东总数及前10名优先股股东持股情况表</w:t>
      </w:r>
      <w:bookmarkEnd w:id="9"/>
    </w:p>
    <w:p w:rsidR="00F563F9" w:rsidRDefault="008A1DF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公司报告期无优先股股东持股情况。</w:t>
      </w:r>
    </w:p>
    <w:p w:rsidR="00F563F9" w:rsidRDefault="008A1DF1">
      <w:pPr>
        <w:keepNext/>
        <w:keepLines/>
        <w:spacing w:before="300" w:after="300" w:line="280" w:lineRule="exact"/>
        <w:outlineLvl w:val="3"/>
        <w:rPr>
          <w:rFonts w:ascii="宋体" w:eastAsia="宋体" w:hAnsi="宋体" w:cs="宋体"/>
          <w:b/>
          <w:bCs/>
          <w:sz w:val="18"/>
          <w:szCs w:val="18"/>
        </w:rPr>
      </w:pPr>
      <w:bookmarkStart w:id="10" w:name="_Toc988899"/>
      <w:r>
        <w:rPr>
          <w:rFonts w:ascii="宋体" w:eastAsia="宋体" w:hAnsi="宋体" w:cs="宋体"/>
          <w:b/>
          <w:bCs/>
          <w:sz w:val="18"/>
          <w:szCs w:val="18"/>
        </w:rPr>
        <w:lastRenderedPageBreak/>
        <w:t>（3） 以方框图形式披露公司与实际控制人之间的产权及控制关系</w:t>
      </w:r>
      <w:bookmarkEnd w:id="10"/>
    </w:p>
    <w:p w:rsidR="00F563F9" w:rsidRDefault="00454AFE" w:rsidP="000A2E6B">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3171825" cy="2876550"/>
            <wp:effectExtent l="0" t="0" r="9525" b="0"/>
            <wp:docPr id="2" name="图片 2" descr="F:\定期报告\2022年报\股权结构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定期报告\2022年报\股权结构图.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2876550"/>
                    </a:xfrm>
                    <a:prstGeom prst="rect">
                      <a:avLst/>
                    </a:prstGeom>
                    <a:noFill/>
                    <a:ln>
                      <a:noFill/>
                    </a:ln>
                  </pic:spPr>
                </pic:pic>
              </a:graphicData>
            </a:graphic>
          </wp:inline>
        </w:drawing>
      </w:r>
      <w:bookmarkStart w:id="11" w:name="_GoBack"/>
      <w:bookmarkEnd w:id="11"/>
    </w:p>
    <w:p w:rsidR="00F563F9" w:rsidRDefault="008A1DF1">
      <w:pPr>
        <w:pStyle w:val="3"/>
        <w:spacing w:line="280" w:lineRule="exact"/>
        <w:jc w:val="left"/>
        <w:rPr>
          <w:rFonts w:ascii="宋体" w:hAnsi="宋体" w:cs="宋体"/>
          <w:b/>
          <w:bCs/>
        </w:rPr>
      </w:pPr>
      <w:bookmarkStart w:id="12" w:name="_Toc988900"/>
      <w:r>
        <w:rPr>
          <w:rFonts w:ascii="宋体" w:hAnsi="宋体" w:cs="宋体"/>
          <w:b/>
          <w:bCs/>
        </w:rPr>
        <w:t>5、在年度报告批准报出日存续的债券情况</w:t>
      </w:r>
      <w:bookmarkEnd w:id="12"/>
    </w:p>
    <w:p w:rsidR="00F563F9" w:rsidRDefault="008A1DF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63F9" w:rsidRDefault="008A1DF1">
      <w:pPr>
        <w:pStyle w:val="2"/>
        <w:spacing w:before="300" w:after="300" w:line="320" w:lineRule="exact"/>
        <w:rPr>
          <w:rFonts w:ascii="宋体" w:eastAsia="宋体" w:hAnsi="宋体" w:cs="宋体"/>
          <w:b/>
          <w:bCs/>
          <w:sz w:val="24"/>
          <w:szCs w:val="24"/>
        </w:rPr>
      </w:pPr>
      <w:bookmarkStart w:id="13" w:name="_Toc988901"/>
      <w:r>
        <w:rPr>
          <w:rFonts w:ascii="宋体" w:eastAsia="宋体" w:hAnsi="宋体" w:cs="宋体"/>
          <w:b/>
          <w:bCs/>
          <w:sz w:val="24"/>
          <w:szCs w:val="24"/>
        </w:rPr>
        <w:t>三、重要事项</w:t>
      </w:r>
      <w:bookmarkEnd w:id="13"/>
    </w:p>
    <w:p w:rsidR="0077090F" w:rsidRDefault="008A1DF1">
      <w:pPr>
        <w:pStyle w:val="a3"/>
        <w:divId w:val="407195165"/>
        <w:rPr>
          <w:sz w:val="18"/>
          <w:szCs w:val="18"/>
        </w:rPr>
      </w:pPr>
      <w:r>
        <w:rPr>
          <w:rFonts w:hint="eastAsia"/>
          <w:sz w:val="18"/>
          <w:szCs w:val="18"/>
        </w:rPr>
        <w:t>不适用。</w:t>
      </w:r>
    </w:p>
    <w:p w:rsidR="000A2E6B" w:rsidRDefault="000A2E6B">
      <w:pPr>
        <w:pStyle w:val="a3"/>
        <w:divId w:val="407195165"/>
        <w:rPr>
          <w:sz w:val="18"/>
          <w:szCs w:val="18"/>
        </w:rPr>
      </w:pPr>
    </w:p>
    <w:p w:rsidR="000A2E6B" w:rsidRPr="000A2E6B" w:rsidRDefault="000A2E6B" w:rsidP="000A2E6B">
      <w:pPr>
        <w:widowControl/>
        <w:spacing w:before="100" w:beforeAutospacing="1" w:after="100" w:afterAutospacing="1"/>
        <w:divId w:val="407195165"/>
        <w:rPr>
          <w:rFonts w:ascii="宋体" w:eastAsia="宋体" w:hAnsi="宋体" w:cs="宋体"/>
          <w:b/>
          <w:kern w:val="0"/>
          <w:szCs w:val="21"/>
        </w:rPr>
      </w:pPr>
      <w:r w:rsidRPr="000A2E6B">
        <w:rPr>
          <w:rFonts w:ascii="宋体" w:eastAsia="宋体" w:hAnsi="宋体" w:cs="宋体" w:hint="eastAsia"/>
          <w:kern w:val="0"/>
          <w:sz w:val="18"/>
          <w:szCs w:val="18"/>
        </w:rPr>
        <w:t xml:space="preserve">       </w:t>
      </w:r>
      <w:r w:rsidRPr="000A2E6B">
        <w:rPr>
          <w:rFonts w:ascii="宋体" w:eastAsia="宋体" w:hAnsi="宋体" w:cs="宋体" w:hint="eastAsia"/>
          <w:b/>
          <w:kern w:val="0"/>
          <w:szCs w:val="21"/>
        </w:rPr>
        <w:t xml:space="preserve">   </w:t>
      </w:r>
      <w:r>
        <w:rPr>
          <w:rFonts w:ascii="宋体" w:eastAsia="宋体" w:hAnsi="宋体" w:cs="宋体" w:hint="eastAsia"/>
          <w:b/>
          <w:kern w:val="0"/>
          <w:szCs w:val="21"/>
        </w:rPr>
        <w:t xml:space="preserve">                                       </w:t>
      </w:r>
      <w:r w:rsidRPr="000A2E6B">
        <w:rPr>
          <w:rFonts w:ascii="宋体" w:eastAsia="宋体" w:hAnsi="宋体" w:cs="宋体" w:hint="eastAsia"/>
          <w:b/>
          <w:kern w:val="0"/>
          <w:szCs w:val="21"/>
        </w:rPr>
        <w:t xml:space="preserve">  江苏华西村股份有限公司董事会</w:t>
      </w:r>
    </w:p>
    <w:p w:rsidR="000A2E6B" w:rsidRPr="000A2E6B" w:rsidRDefault="000A2E6B" w:rsidP="000A2E6B">
      <w:pPr>
        <w:widowControl/>
        <w:spacing w:before="100" w:beforeAutospacing="1" w:after="100" w:afterAutospacing="1"/>
        <w:divId w:val="407195165"/>
        <w:rPr>
          <w:rFonts w:ascii="宋体" w:eastAsia="宋体" w:hAnsi="宋体" w:cs="宋体"/>
          <w:b/>
          <w:kern w:val="0"/>
          <w:szCs w:val="21"/>
        </w:rPr>
      </w:pPr>
      <w:r w:rsidRPr="000A2E6B">
        <w:rPr>
          <w:rFonts w:ascii="宋体" w:eastAsia="宋体" w:hAnsi="宋体" w:cs="宋体" w:hint="eastAsia"/>
          <w:b/>
          <w:kern w:val="0"/>
          <w:szCs w:val="21"/>
        </w:rPr>
        <w:t xml:space="preserve">                                                          董事长：吴协恩</w:t>
      </w:r>
    </w:p>
    <w:p w:rsidR="000A2E6B" w:rsidRPr="000A2E6B" w:rsidRDefault="000A2E6B" w:rsidP="000A2E6B">
      <w:pPr>
        <w:widowControl/>
        <w:spacing w:before="100" w:beforeAutospacing="1" w:after="100" w:afterAutospacing="1"/>
        <w:divId w:val="407195165"/>
        <w:rPr>
          <w:rFonts w:ascii="宋体" w:eastAsia="宋体" w:hAnsi="宋体" w:cs="宋体"/>
          <w:b/>
          <w:kern w:val="0"/>
          <w:szCs w:val="21"/>
        </w:rPr>
      </w:pPr>
      <w:r w:rsidRPr="000A2E6B">
        <w:rPr>
          <w:rFonts w:ascii="宋体" w:eastAsia="宋体" w:hAnsi="宋体" w:cs="宋体" w:hint="eastAsia"/>
          <w:b/>
          <w:kern w:val="0"/>
          <w:szCs w:val="21"/>
        </w:rPr>
        <w:t xml:space="preserve">                                                          2023年4月</w:t>
      </w:r>
      <w:r>
        <w:rPr>
          <w:rFonts w:ascii="宋体" w:eastAsia="宋体" w:hAnsi="宋体" w:cs="宋体" w:hint="eastAsia"/>
          <w:b/>
          <w:kern w:val="0"/>
          <w:szCs w:val="21"/>
        </w:rPr>
        <w:t>27</w:t>
      </w:r>
      <w:r w:rsidRPr="000A2E6B">
        <w:rPr>
          <w:rFonts w:ascii="宋体" w:eastAsia="宋体" w:hAnsi="宋体" w:cs="宋体" w:hint="eastAsia"/>
          <w:b/>
          <w:kern w:val="0"/>
          <w:szCs w:val="21"/>
        </w:rPr>
        <w:t>日</w:t>
      </w:r>
    </w:p>
    <w:p w:rsidR="000A2E6B" w:rsidRDefault="000A2E6B">
      <w:pPr>
        <w:pStyle w:val="a3"/>
        <w:divId w:val="407195165"/>
        <w:rPr>
          <w:sz w:val="18"/>
          <w:szCs w:val="18"/>
        </w:rPr>
      </w:pPr>
    </w:p>
    <w:sectPr w:rsidR="000A2E6B">
      <w:headerReference w:type="default" r:id="rId8"/>
      <w:footerReference w:type="default" r:id="rId9"/>
      <w:pgSz w:w="11905" w:h="16840"/>
      <w:pgMar w:top="850" w:right="1134" w:bottom="85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35F" w:rsidRDefault="0093735F">
      <w:r>
        <w:separator/>
      </w:r>
    </w:p>
  </w:endnote>
  <w:endnote w:type="continuationSeparator" w:id="0">
    <w:p w:rsidR="0093735F" w:rsidRDefault="0093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F9" w:rsidRDefault="008A1DF1">
    <w:pPr>
      <w:pStyle w:val="fotter1"/>
    </w:pPr>
    <w:r>
      <w:fldChar w:fldCharType="begin"/>
    </w:r>
    <w:r>
      <w:instrText>PAGE   \* MERGEFORMAT</w:instrText>
    </w:r>
    <w:r>
      <w:fldChar w:fldCharType="separate"/>
    </w:r>
    <w:r w:rsidR="00454AFE">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35F" w:rsidRDefault="0093735F">
      <w:r>
        <w:separator/>
      </w:r>
    </w:p>
  </w:footnote>
  <w:footnote w:type="continuationSeparator" w:id="0">
    <w:p w:rsidR="0093735F" w:rsidRDefault="00937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F9" w:rsidRDefault="008A1DF1">
    <w:pPr>
      <w:pStyle w:val="Header1"/>
      <w:pBdr>
        <w:bottom w:val="single" w:sz="6" w:space="1" w:color="auto"/>
      </w:pBdr>
    </w:pPr>
    <w:r>
      <w:t>江苏华西村股份有限公司2022年年度报告摘要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63F9"/>
    <w:rsid w:val="000A2E6B"/>
    <w:rsid w:val="002E4A85"/>
    <w:rsid w:val="00454AFE"/>
    <w:rsid w:val="00496557"/>
    <w:rsid w:val="006C555E"/>
    <w:rsid w:val="0077090F"/>
    <w:rsid w:val="008A1DF1"/>
    <w:rsid w:val="0093735F"/>
    <w:rsid w:val="00B97778"/>
    <w:rsid w:val="00E130D8"/>
    <w:rsid w:val="00F469CC"/>
    <w:rsid w:val="00F5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center"/>
    </w:pPr>
    <w:rPr>
      <w:rFonts w:ascii="仿宋" w:eastAsia="仿宋"/>
      <w:szCs w:val="21"/>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0A2E6B"/>
    <w:rPr>
      <w:sz w:val="18"/>
      <w:szCs w:val="18"/>
    </w:rPr>
  </w:style>
  <w:style w:type="character" w:customStyle="1" w:styleId="Char">
    <w:name w:val="批注框文本 Char"/>
    <w:basedOn w:val="a0"/>
    <w:link w:val="a5"/>
    <w:uiPriority w:val="99"/>
    <w:semiHidden/>
    <w:rsid w:val="000A2E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center"/>
    </w:pPr>
    <w:rPr>
      <w:rFonts w:ascii="仿宋" w:eastAsia="仿宋"/>
      <w:szCs w:val="21"/>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0A2E6B"/>
    <w:rPr>
      <w:sz w:val="18"/>
      <w:szCs w:val="18"/>
    </w:rPr>
  </w:style>
  <w:style w:type="character" w:customStyle="1" w:styleId="Char">
    <w:name w:val="批注框文本 Char"/>
    <w:basedOn w:val="a0"/>
    <w:link w:val="a5"/>
    <w:uiPriority w:val="99"/>
    <w:semiHidden/>
    <w:rsid w:val="000A2E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31764">
      <w:bodyDiv w:val="1"/>
      <w:marLeft w:val="0"/>
      <w:marRight w:val="0"/>
      <w:marTop w:val="0"/>
      <w:marBottom w:val="0"/>
      <w:divBdr>
        <w:top w:val="none" w:sz="0" w:space="0" w:color="auto"/>
        <w:left w:val="none" w:sz="0" w:space="0" w:color="auto"/>
        <w:bottom w:val="none" w:sz="0" w:space="0" w:color="auto"/>
        <w:right w:val="none" w:sz="0" w:space="0" w:color="auto"/>
      </w:divBdr>
    </w:div>
    <w:div w:id="4071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cp:revision>
  <cp:lastPrinted>2023-04-23T00:21:00Z</cp:lastPrinted>
  <dcterms:created xsi:type="dcterms:W3CDTF">2023-04-23T00:17:00Z</dcterms:created>
  <dcterms:modified xsi:type="dcterms:W3CDTF">2023-04-25T08:13:00Z</dcterms:modified>
</cp:coreProperties>
</file>