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D9" w:rsidRPr="001141C8" w:rsidRDefault="005E19D9" w:rsidP="00BF5358">
      <w:pPr>
        <w:adjustRightInd w:val="0"/>
        <w:snapToGrid w:val="0"/>
        <w:spacing w:line="35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5E19D9">
        <w:rPr>
          <w:rFonts w:asciiTheme="minorEastAsia" w:eastAsiaTheme="minorEastAsia" w:hAnsiTheme="minorEastAsia"/>
          <w:kern w:val="0"/>
          <w:sz w:val="24"/>
        </w:rPr>
        <w:t>证券</w:t>
      </w:r>
      <w:r w:rsidRPr="005E19D9">
        <w:rPr>
          <w:rFonts w:asciiTheme="minorEastAsia" w:eastAsiaTheme="minorEastAsia" w:hAnsiTheme="minorEastAsia"/>
          <w:bCs/>
          <w:sz w:val="24"/>
        </w:rPr>
        <w:t xml:space="preserve">代码：000936         证券简称：华西股份    </w:t>
      </w:r>
      <w:r w:rsidRPr="004757E6">
        <w:rPr>
          <w:rFonts w:asciiTheme="minorEastAsia" w:eastAsiaTheme="minorEastAsia" w:hAnsiTheme="minorEastAsia"/>
          <w:bCs/>
          <w:color w:val="FF0000"/>
          <w:sz w:val="24"/>
        </w:rPr>
        <w:t xml:space="preserve">  </w:t>
      </w:r>
      <w:r w:rsidRPr="001141C8">
        <w:rPr>
          <w:rFonts w:asciiTheme="minorEastAsia" w:eastAsiaTheme="minorEastAsia" w:hAnsiTheme="minorEastAsia"/>
          <w:bCs/>
          <w:sz w:val="24"/>
        </w:rPr>
        <w:t>公告编号：</w:t>
      </w:r>
      <w:r w:rsidR="004757E6" w:rsidRPr="001141C8">
        <w:rPr>
          <w:rFonts w:asciiTheme="minorEastAsia" w:eastAsiaTheme="minorEastAsia" w:hAnsiTheme="minorEastAsia" w:hint="eastAsia"/>
          <w:bCs/>
          <w:sz w:val="24"/>
        </w:rPr>
        <w:t>2022</w:t>
      </w:r>
      <w:r w:rsidRPr="001141C8">
        <w:rPr>
          <w:rFonts w:asciiTheme="minorEastAsia" w:eastAsiaTheme="minorEastAsia" w:hAnsiTheme="minorEastAsia"/>
          <w:bCs/>
          <w:sz w:val="24"/>
        </w:rPr>
        <w:t>-</w:t>
      </w:r>
      <w:r w:rsidR="00BF5358" w:rsidRPr="001141C8">
        <w:rPr>
          <w:rFonts w:asciiTheme="minorEastAsia" w:eastAsiaTheme="minorEastAsia" w:hAnsiTheme="minorEastAsia" w:hint="eastAsia"/>
          <w:bCs/>
          <w:sz w:val="24"/>
        </w:rPr>
        <w:t>0</w:t>
      </w:r>
      <w:r w:rsidR="00525C0C" w:rsidRPr="001141C8">
        <w:rPr>
          <w:rFonts w:asciiTheme="minorEastAsia" w:eastAsiaTheme="minorEastAsia" w:hAnsiTheme="minorEastAsia" w:hint="eastAsia"/>
          <w:bCs/>
          <w:sz w:val="24"/>
        </w:rPr>
        <w:t>49</w:t>
      </w:r>
    </w:p>
    <w:p w:rsidR="00BF5358" w:rsidRPr="005E19D9" w:rsidRDefault="00BF5358" w:rsidP="00BF5358">
      <w:pPr>
        <w:adjustRightInd w:val="0"/>
        <w:snapToGrid w:val="0"/>
        <w:spacing w:line="350" w:lineRule="auto"/>
        <w:jc w:val="center"/>
        <w:rPr>
          <w:rFonts w:asciiTheme="minorEastAsia" w:eastAsiaTheme="minorEastAsia" w:hAnsiTheme="minorEastAsia"/>
          <w:sz w:val="24"/>
        </w:rPr>
      </w:pPr>
    </w:p>
    <w:p w:rsidR="005E19D9" w:rsidRPr="00F24EAA" w:rsidRDefault="005E19D9" w:rsidP="001770C6">
      <w:pPr>
        <w:spacing w:line="56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F24EAA">
        <w:rPr>
          <w:rFonts w:ascii="黑体" w:eastAsia="黑体" w:hAnsi="黑体" w:hint="eastAsia"/>
          <w:b/>
          <w:sz w:val="30"/>
          <w:szCs w:val="30"/>
        </w:rPr>
        <w:t>江苏华西村</w:t>
      </w:r>
      <w:r w:rsidR="00201BD9" w:rsidRPr="00F24EAA">
        <w:rPr>
          <w:rFonts w:ascii="黑体" w:eastAsia="黑体" w:hAnsi="黑体" w:hint="eastAsia"/>
          <w:b/>
          <w:sz w:val="30"/>
          <w:szCs w:val="30"/>
        </w:rPr>
        <w:t>股份有限公司</w:t>
      </w:r>
    </w:p>
    <w:p w:rsidR="00201BD9" w:rsidRPr="00F24EAA" w:rsidRDefault="005E19D9" w:rsidP="001770C6">
      <w:pPr>
        <w:spacing w:line="56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F24EAA">
        <w:rPr>
          <w:rFonts w:ascii="黑体" w:eastAsia="黑体" w:hAnsi="黑体" w:hint="eastAsia"/>
          <w:b/>
          <w:sz w:val="30"/>
          <w:szCs w:val="30"/>
        </w:rPr>
        <w:t>关于</w:t>
      </w:r>
      <w:r w:rsidR="00201BD9" w:rsidRPr="00F24EAA">
        <w:rPr>
          <w:rFonts w:ascii="黑体" w:eastAsia="黑体" w:hAnsi="黑体" w:hint="eastAsia"/>
          <w:b/>
          <w:sz w:val="30"/>
          <w:szCs w:val="30"/>
        </w:rPr>
        <w:t>放弃</w:t>
      </w:r>
      <w:r w:rsidR="00BF5358" w:rsidRPr="00F24EAA">
        <w:rPr>
          <w:rFonts w:ascii="黑体" w:eastAsia="黑体" w:hAnsi="黑体" w:hint="eastAsia"/>
          <w:b/>
          <w:sz w:val="30"/>
          <w:szCs w:val="30"/>
        </w:rPr>
        <w:t>参股公司</w:t>
      </w:r>
      <w:r w:rsidR="000273F8" w:rsidRPr="00F24EAA">
        <w:rPr>
          <w:rFonts w:ascii="黑体" w:eastAsia="黑体" w:hAnsi="黑体" w:hint="eastAsia"/>
          <w:b/>
          <w:sz w:val="30"/>
          <w:szCs w:val="30"/>
        </w:rPr>
        <w:t>优先</w:t>
      </w:r>
      <w:r w:rsidR="00DE53FE" w:rsidRPr="00F24EAA">
        <w:rPr>
          <w:rFonts w:ascii="黑体" w:eastAsia="黑体" w:hAnsi="黑体" w:hint="eastAsia"/>
          <w:b/>
          <w:sz w:val="30"/>
          <w:szCs w:val="30"/>
        </w:rPr>
        <w:t>认购</w:t>
      </w:r>
      <w:r w:rsidR="00201BD9" w:rsidRPr="00F24EAA">
        <w:rPr>
          <w:rFonts w:ascii="黑体" w:eastAsia="黑体" w:hAnsi="黑体" w:hint="eastAsia"/>
          <w:b/>
          <w:sz w:val="30"/>
          <w:szCs w:val="30"/>
        </w:rPr>
        <w:t>权</w:t>
      </w:r>
      <w:r w:rsidR="00E60B94" w:rsidRPr="00F24EAA">
        <w:rPr>
          <w:rFonts w:ascii="黑体" w:eastAsia="黑体" w:hAnsi="黑体" w:hint="eastAsia"/>
          <w:b/>
          <w:sz w:val="30"/>
          <w:szCs w:val="30"/>
        </w:rPr>
        <w:t>的</w:t>
      </w:r>
      <w:r w:rsidR="00201BD9" w:rsidRPr="00F24EAA">
        <w:rPr>
          <w:rFonts w:ascii="黑体" w:eastAsia="黑体" w:hAnsi="黑体" w:hint="eastAsia"/>
          <w:b/>
          <w:sz w:val="30"/>
          <w:szCs w:val="30"/>
        </w:rPr>
        <w:t>公告</w:t>
      </w:r>
    </w:p>
    <w:p w:rsidR="005E19D9" w:rsidRPr="00F24EAA" w:rsidRDefault="005E19D9" w:rsidP="00F24EAA">
      <w:pPr>
        <w:spacing w:line="56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</w:p>
    <w:p w:rsidR="005E19D9" w:rsidRPr="005E19D9" w:rsidRDefault="005E19D9" w:rsidP="005E19D9">
      <w:pPr>
        <w:tabs>
          <w:tab w:val="num" w:pos="900"/>
        </w:tabs>
        <w:spacing w:line="35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E19D9">
        <w:rPr>
          <w:rFonts w:asciiTheme="minorEastAsia" w:eastAsiaTheme="minorEastAsia" w:hAnsiTheme="minorEastAsia"/>
          <w:sz w:val="24"/>
        </w:rPr>
        <w:t>本公司及董事会全体成员保证信息披露内容的真实、准确和完整，没有虚假记载、误导性陈述或重大遗漏。</w:t>
      </w:r>
    </w:p>
    <w:p w:rsidR="005E19D9" w:rsidRPr="00E75F56" w:rsidRDefault="005E19D9" w:rsidP="005E19D9">
      <w:pPr>
        <w:spacing w:line="560" w:lineRule="exact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</w:p>
    <w:p w:rsidR="00201BD9" w:rsidRPr="005E19D9" w:rsidRDefault="00201BD9" w:rsidP="00D6110E">
      <w:pPr>
        <w:adjustRightInd w:val="0"/>
        <w:snapToGrid w:val="0"/>
        <w:spacing w:line="360" w:lineRule="auto"/>
        <w:ind w:firstLineChars="176" w:firstLine="424"/>
        <w:rPr>
          <w:rFonts w:asciiTheme="minorEastAsia" w:eastAsiaTheme="minorEastAsia" w:hAnsiTheme="minorEastAsia"/>
          <w:b/>
          <w:sz w:val="24"/>
        </w:rPr>
      </w:pPr>
      <w:r w:rsidRPr="005E19D9">
        <w:rPr>
          <w:rFonts w:asciiTheme="minorEastAsia" w:eastAsiaTheme="minorEastAsia" w:hAnsiTheme="minorEastAsia" w:hint="eastAsia"/>
          <w:b/>
          <w:sz w:val="24"/>
        </w:rPr>
        <w:t>一、</w:t>
      </w:r>
      <w:r w:rsidR="00E75F56">
        <w:rPr>
          <w:rFonts w:asciiTheme="minorEastAsia" w:eastAsiaTheme="minorEastAsia" w:hAnsiTheme="minorEastAsia" w:hint="eastAsia"/>
          <w:b/>
          <w:sz w:val="24"/>
        </w:rPr>
        <w:t>放弃权利事项</w:t>
      </w:r>
      <w:r w:rsidRPr="005E19D9">
        <w:rPr>
          <w:rFonts w:asciiTheme="minorEastAsia" w:eastAsiaTheme="minorEastAsia" w:hAnsiTheme="minorEastAsia" w:hint="eastAsia"/>
          <w:b/>
          <w:sz w:val="24"/>
        </w:rPr>
        <w:t>概述</w:t>
      </w:r>
    </w:p>
    <w:p w:rsidR="0014490C" w:rsidRDefault="00E60B94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14490C">
        <w:rPr>
          <w:rFonts w:asciiTheme="minorEastAsia" w:eastAsiaTheme="minorEastAsia" w:hAnsiTheme="minorEastAsia" w:hint="eastAsia"/>
          <w:sz w:val="24"/>
        </w:rPr>
        <w:t>概述</w:t>
      </w:r>
    </w:p>
    <w:p w:rsidR="00BF5358" w:rsidRPr="00BF5358" w:rsidRDefault="00E60B94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江苏华西村股份有限公司（以下简称“公司”）参股公司</w:t>
      </w:r>
      <w:r w:rsidR="00BF5358">
        <w:rPr>
          <w:rFonts w:asciiTheme="minorEastAsia" w:eastAsiaTheme="minorEastAsia" w:hAnsiTheme="minorEastAsia" w:hint="eastAsia"/>
          <w:sz w:val="24"/>
        </w:rPr>
        <w:t>浙江稠州商业银行股份有限公司</w:t>
      </w:r>
      <w:r>
        <w:rPr>
          <w:rFonts w:asciiTheme="minorEastAsia" w:eastAsiaTheme="minorEastAsia" w:hAnsiTheme="minorEastAsia" w:hint="eastAsia"/>
          <w:sz w:val="24"/>
        </w:rPr>
        <w:t>（以下简称“</w:t>
      </w:r>
      <w:r w:rsidR="00BF5358">
        <w:rPr>
          <w:rFonts w:asciiTheme="minorEastAsia" w:eastAsiaTheme="minorEastAsia" w:hAnsiTheme="minorEastAsia" w:hint="eastAsia"/>
          <w:sz w:val="24"/>
        </w:rPr>
        <w:t>稠州银行</w:t>
      </w:r>
      <w:r>
        <w:rPr>
          <w:rFonts w:asciiTheme="minorEastAsia" w:eastAsiaTheme="minorEastAsia" w:hAnsiTheme="minorEastAsia" w:hint="eastAsia"/>
          <w:sz w:val="24"/>
        </w:rPr>
        <w:t>”）</w:t>
      </w:r>
      <w:r w:rsidR="000273F8" w:rsidRPr="000273F8">
        <w:rPr>
          <w:rFonts w:asciiTheme="minorEastAsia" w:eastAsiaTheme="minorEastAsia" w:hAnsiTheme="minorEastAsia" w:hint="eastAsia"/>
          <w:sz w:val="24"/>
        </w:rPr>
        <w:t>拟</w:t>
      </w:r>
      <w:r w:rsidR="00BF5358">
        <w:rPr>
          <w:rFonts w:asciiTheme="minorEastAsia" w:eastAsiaTheme="minorEastAsia" w:hAnsiTheme="minorEastAsia" w:hint="eastAsia"/>
          <w:sz w:val="24"/>
        </w:rPr>
        <w:t>实施增资扩股，向特定对象非公开发行股份数量不超过8亿</w:t>
      </w:r>
      <w:r w:rsidR="00F24EAA">
        <w:rPr>
          <w:rFonts w:asciiTheme="minorEastAsia" w:eastAsiaTheme="minorEastAsia" w:hAnsiTheme="minorEastAsia" w:hint="eastAsia"/>
          <w:sz w:val="24"/>
        </w:rPr>
        <w:t>股</w:t>
      </w:r>
      <w:r w:rsidR="00BF5358">
        <w:rPr>
          <w:rFonts w:asciiTheme="minorEastAsia" w:eastAsiaTheme="minorEastAsia" w:hAnsiTheme="minorEastAsia" w:hint="eastAsia"/>
          <w:sz w:val="24"/>
        </w:rPr>
        <w:t>（含本数），发行价格为每股人民币2.80元。</w:t>
      </w:r>
      <w:r w:rsidR="00BF5358" w:rsidRPr="00BF5358">
        <w:rPr>
          <w:rFonts w:asciiTheme="minorEastAsia" w:eastAsiaTheme="minorEastAsia" w:hAnsiTheme="minorEastAsia"/>
          <w:sz w:val="24"/>
        </w:rPr>
        <w:t>基于公司</w:t>
      </w:r>
      <w:r w:rsidR="00053891">
        <w:rPr>
          <w:rFonts w:asciiTheme="minorEastAsia" w:eastAsiaTheme="minorEastAsia" w:hAnsiTheme="minorEastAsia"/>
          <w:sz w:val="24"/>
        </w:rPr>
        <w:t>目前</w:t>
      </w:r>
      <w:r w:rsidR="00BF5358" w:rsidRPr="00BF5358">
        <w:rPr>
          <w:rFonts w:asciiTheme="minorEastAsia" w:eastAsiaTheme="minorEastAsia" w:hAnsiTheme="minorEastAsia"/>
          <w:sz w:val="24"/>
        </w:rPr>
        <w:t>战略</w:t>
      </w:r>
      <w:r w:rsidR="00053891">
        <w:rPr>
          <w:rFonts w:asciiTheme="minorEastAsia" w:eastAsiaTheme="minorEastAsia" w:hAnsiTheme="minorEastAsia"/>
          <w:sz w:val="24"/>
        </w:rPr>
        <w:t>规划</w:t>
      </w:r>
      <w:r w:rsidR="00BF5358" w:rsidRPr="00BF5358">
        <w:rPr>
          <w:rFonts w:asciiTheme="minorEastAsia" w:eastAsiaTheme="minorEastAsia" w:hAnsiTheme="minorEastAsia"/>
          <w:sz w:val="24"/>
        </w:rPr>
        <w:t>，公司</w:t>
      </w:r>
      <w:r w:rsidR="00BF5358">
        <w:rPr>
          <w:rFonts w:asciiTheme="minorEastAsia" w:eastAsiaTheme="minorEastAsia" w:hAnsiTheme="minorEastAsia" w:hint="eastAsia"/>
          <w:sz w:val="24"/>
        </w:rPr>
        <w:t>拟</w:t>
      </w:r>
      <w:r w:rsidR="00BF5358" w:rsidRPr="00BF5358">
        <w:rPr>
          <w:rFonts w:asciiTheme="minorEastAsia" w:eastAsiaTheme="minorEastAsia" w:hAnsiTheme="minorEastAsia"/>
          <w:sz w:val="24"/>
        </w:rPr>
        <w:t>放弃本次优先认购权。</w:t>
      </w:r>
    </w:p>
    <w:p w:rsidR="00201BD9" w:rsidRPr="00053891" w:rsidRDefault="00BF5358" w:rsidP="00BF5358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本次稠州银行增资扩股前，公司全资子公司江阴华西村资本有限公司</w:t>
      </w:r>
      <w:r w:rsidR="00AC2CA2">
        <w:rPr>
          <w:rFonts w:asciiTheme="minorEastAsia" w:eastAsiaTheme="minorEastAsia" w:hAnsiTheme="minorEastAsia" w:hint="eastAsia"/>
          <w:sz w:val="24"/>
        </w:rPr>
        <w:t>（以下简称“华西资本”）</w:t>
      </w:r>
      <w:r>
        <w:rPr>
          <w:rFonts w:asciiTheme="minorEastAsia" w:eastAsiaTheme="minorEastAsia" w:hAnsiTheme="minorEastAsia" w:hint="eastAsia"/>
          <w:sz w:val="24"/>
        </w:rPr>
        <w:t>持有稠州银行20,232万股股份，持股比例4.82%。</w:t>
      </w:r>
      <w:r w:rsidR="004E35B5">
        <w:rPr>
          <w:rFonts w:asciiTheme="minorEastAsia" w:eastAsiaTheme="minorEastAsia" w:hAnsiTheme="minorEastAsia" w:hint="eastAsia"/>
          <w:sz w:val="24"/>
        </w:rPr>
        <w:t>本次</w:t>
      </w:r>
      <w:r w:rsidR="000273F8">
        <w:rPr>
          <w:rFonts w:asciiTheme="minorEastAsia" w:eastAsiaTheme="minorEastAsia" w:hAnsiTheme="minorEastAsia" w:hint="eastAsia"/>
          <w:sz w:val="24"/>
        </w:rPr>
        <w:t>增资</w:t>
      </w:r>
      <w:r w:rsidR="004E35B5">
        <w:rPr>
          <w:rFonts w:asciiTheme="minorEastAsia" w:eastAsiaTheme="minorEastAsia" w:hAnsiTheme="minorEastAsia" w:hint="eastAsia"/>
          <w:sz w:val="24"/>
        </w:rPr>
        <w:t>扩股</w:t>
      </w:r>
      <w:r w:rsidR="000273F8">
        <w:rPr>
          <w:rFonts w:asciiTheme="minorEastAsia" w:eastAsiaTheme="minorEastAsia" w:hAnsiTheme="minorEastAsia" w:hint="eastAsia"/>
          <w:sz w:val="24"/>
        </w:rPr>
        <w:t>完成后，</w:t>
      </w:r>
      <w:r w:rsidR="00AC2CA2">
        <w:rPr>
          <w:rFonts w:asciiTheme="minorEastAsia" w:eastAsiaTheme="minorEastAsia" w:hAnsiTheme="minorEastAsia" w:hint="eastAsia"/>
          <w:sz w:val="24"/>
        </w:rPr>
        <w:t>华西资本</w:t>
      </w:r>
      <w:r w:rsidR="000273F8">
        <w:rPr>
          <w:rFonts w:asciiTheme="minorEastAsia" w:eastAsiaTheme="minorEastAsia" w:hAnsiTheme="minorEastAsia" w:hint="eastAsia"/>
          <w:sz w:val="24"/>
        </w:rPr>
        <w:t>持有</w:t>
      </w:r>
      <w:r>
        <w:rPr>
          <w:rFonts w:asciiTheme="minorEastAsia" w:eastAsiaTheme="minorEastAsia" w:hAnsiTheme="minorEastAsia" w:hint="eastAsia"/>
          <w:sz w:val="24"/>
        </w:rPr>
        <w:t>稠州银行</w:t>
      </w:r>
      <w:r w:rsidR="000273F8">
        <w:rPr>
          <w:rFonts w:asciiTheme="minorEastAsia" w:eastAsiaTheme="minorEastAsia" w:hAnsiTheme="minorEastAsia" w:hint="eastAsia"/>
          <w:sz w:val="24"/>
        </w:rPr>
        <w:t>的比例</w:t>
      </w:r>
      <w:r>
        <w:rPr>
          <w:rFonts w:asciiTheme="minorEastAsia" w:eastAsiaTheme="minorEastAsia" w:hAnsiTheme="minorEastAsia" w:hint="eastAsia"/>
          <w:sz w:val="24"/>
        </w:rPr>
        <w:t>预计</w:t>
      </w:r>
      <w:r w:rsidR="000273F8">
        <w:rPr>
          <w:rFonts w:asciiTheme="minorEastAsia" w:eastAsiaTheme="minorEastAsia" w:hAnsiTheme="minorEastAsia" w:hint="eastAsia"/>
          <w:sz w:val="24"/>
        </w:rPr>
        <w:t>将下降至</w:t>
      </w:r>
      <w:r w:rsidR="00053891">
        <w:rPr>
          <w:rFonts w:asciiTheme="minorEastAsia" w:eastAsiaTheme="minorEastAsia" w:hAnsiTheme="minorEastAsia" w:hint="eastAsia"/>
          <w:sz w:val="24"/>
        </w:rPr>
        <w:t>4.05</w:t>
      </w:r>
      <w:r w:rsidR="000273F8">
        <w:rPr>
          <w:rFonts w:asciiTheme="minorEastAsia" w:eastAsiaTheme="minorEastAsia" w:hAnsiTheme="minorEastAsia" w:hint="eastAsia"/>
          <w:sz w:val="24"/>
        </w:rPr>
        <w:t>%</w:t>
      </w:r>
      <w:r w:rsidR="00053891">
        <w:rPr>
          <w:rFonts w:asciiTheme="minorEastAsia" w:eastAsiaTheme="minorEastAsia" w:hAnsiTheme="minorEastAsia" w:hint="eastAsia"/>
          <w:sz w:val="24"/>
        </w:rPr>
        <w:t>，最终比例根据稠州银行增资扩股</w:t>
      </w:r>
      <w:r w:rsidR="00437960">
        <w:rPr>
          <w:rFonts w:asciiTheme="minorEastAsia" w:eastAsiaTheme="minorEastAsia" w:hAnsiTheme="minorEastAsia" w:hint="eastAsia"/>
          <w:sz w:val="24"/>
        </w:rPr>
        <w:t>结果</w:t>
      </w:r>
      <w:r w:rsidR="00053891">
        <w:rPr>
          <w:rFonts w:asciiTheme="minorEastAsia" w:eastAsiaTheme="minorEastAsia" w:hAnsiTheme="minorEastAsia" w:hint="eastAsia"/>
          <w:sz w:val="24"/>
        </w:rPr>
        <w:t>确定。</w:t>
      </w:r>
    </w:p>
    <w:p w:rsidR="004E35B5" w:rsidRDefault="004E35B5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</w:p>
    <w:p w:rsidR="007A6F05" w:rsidRPr="00A241D3" w:rsidRDefault="007A6F05" w:rsidP="0005389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 w:rsidRPr="00D808B8">
        <w:rPr>
          <w:rFonts w:ascii="宋体" w:hAnsi="宋体" w:cs="宋体" w:hint="eastAsia"/>
          <w:color w:val="000000"/>
          <w:kern w:val="0"/>
          <w:sz w:val="24"/>
        </w:rPr>
        <w:t>、</w:t>
      </w:r>
      <w:r w:rsidRPr="00A241D3">
        <w:rPr>
          <w:rFonts w:ascii="宋体" w:hAnsi="宋体" w:hint="eastAsia"/>
          <w:sz w:val="24"/>
        </w:rPr>
        <w:t>本次</w:t>
      </w:r>
      <w:r w:rsidR="004E35B5">
        <w:rPr>
          <w:rFonts w:ascii="宋体" w:hAnsi="宋体" w:hint="eastAsia"/>
          <w:sz w:val="24"/>
        </w:rPr>
        <w:t>放弃</w:t>
      </w:r>
      <w:r w:rsidR="00053891">
        <w:rPr>
          <w:rFonts w:ascii="宋体" w:hAnsi="宋体" w:hint="eastAsia"/>
          <w:sz w:val="24"/>
        </w:rPr>
        <w:t>权利事项不</w:t>
      </w:r>
      <w:r w:rsidRPr="00A241D3">
        <w:rPr>
          <w:rFonts w:ascii="宋体" w:hAnsi="宋体" w:hint="eastAsia"/>
          <w:sz w:val="24"/>
        </w:rPr>
        <w:t>构成关联交易。</w:t>
      </w:r>
    </w:p>
    <w:p w:rsidR="007A6F05" w:rsidRPr="00053891" w:rsidRDefault="007A6F05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</w:p>
    <w:p w:rsidR="00E60B94" w:rsidRPr="00F12FC7" w:rsidRDefault="004E35B5" w:rsidP="00D6110E">
      <w:pPr>
        <w:adjustRightInd w:val="0"/>
        <w:snapToGrid w:val="0"/>
        <w:spacing w:line="360" w:lineRule="auto"/>
        <w:ind w:firstLineChars="225" w:firstLine="5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E60B94" w:rsidRPr="00F12FC7">
        <w:rPr>
          <w:rFonts w:asciiTheme="minorEastAsia" w:eastAsiaTheme="minorEastAsia" w:hAnsiTheme="minorEastAsia" w:hint="eastAsia"/>
          <w:sz w:val="24"/>
        </w:rPr>
        <w:t>、</w:t>
      </w:r>
      <w:r w:rsidR="00E60B94" w:rsidRPr="00F12FC7">
        <w:rPr>
          <w:rFonts w:asciiTheme="minorEastAsia" w:eastAsiaTheme="minorEastAsia" w:hAnsiTheme="minorEastAsia"/>
          <w:sz w:val="24"/>
        </w:rPr>
        <w:t>审批程序</w:t>
      </w:r>
    </w:p>
    <w:p w:rsidR="004E35B5" w:rsidRDefault="00E60B94" w:rsidP="00D6110E">
      <w:pPr>
        <w:pStyle w:val="Default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F24EAA">
        <w:rPr>
          <w:rFonts w:asciiTheme="minorEastAsia" w:eastAsiaTheme="minorEastAsia" w:hAnsiTheme="minorEastAsia"/>
          <w:color w:val="auto"/>
        </w:rPr>
        <w:t>公司第八届董事会第</w:t>
      </w:r>
      <w:r w:rsidR="00053891" w:rsidRPr="00F24EAA">
        <w:rPr>
          <w:rFonts w:asciiTheme="minorEastAsia" w:eastAsiaTheme="minorEastAsia" w:hAnsiTheme="minorEastAsia"/>
          <w:color w:val="auto"/>
        </w:rPr>
        <w:t>十四</w:t>
      </w:r>
      <w:r w:rsidRPr="00F24EAA">
        <w:rPr>
          <w:rFonts w:asciiTheme="minorEastAsia" w:eastAsiaTheme="minorEastAsia" w:hAnsiTheme="minorEastAsia"/>
          <w:color w:val="auto"/>
        </w:rPr>
        <w:t>次会议以</w:t>
      </w:r>
      <w:r w:rsidR="00053891" w:rsidRPr="00F24EAA">
        <w:rPr>
          <w:rFonts w:asciiTheme="minorEastAsia" w:eastAsiaTheme="minorEastAsia" w:hAnsiTheme="minorEastAsia" w:hint="eastAsia"/>
          <w:color w:val="auto"/>
        </w:rPr>
        <w:t>7</w:t>
      </w:r>
      <w:r w:rsidRPr="00F24EAA">
        <w:rPr>
          <w:rFonts w:asciiTheme="minorEastAsia" w:eastAsiaTheme="minorEastAsia" w:hAnsiTheme="minorEastAsia"/>
          <w:color w:val="auto"/>
        </w:rPr>
        <w:t>票同意</w:t>
      </w:r>
      <w:r w:rsidRPr="000273F8">
        <w:rPr>
          <w:rFonts w:asciiTheme="minorEastAsia" w:eastAsiaTheme="minorEastAsia" w:hAnsiTheme="minorEastAsia"/>
        </w:rPr>
        <w:t>，0票反对，0票弃权审议通过了《关于放弃</w:t>
      </w:r>
      <w:r w:rsidR="00053891">
        <w:rPr>
          <w:rFonts w:asciiTheme="minorEastAsia" w:eastAsiaTheme="minorEastAsia" w:hAnsiTheme="minorEastAsia"/>
        </w:rPr>
        <w:t>参股公司</w:t>
      </w:r>
      <w:r w:rsidR="007357D4">
        <w:rPr>
          <w:rFonts w:asciiTheme="minorEastAsia" w:eastAsiaTheme="minorEastAsia" w:hAnsiTheme="minorEastAsia"/>
        </w:rPr>
        <w:t>优先认购权</w:t>
      </w:r>
      <w:r w:rsidR="00053891">
        <w:rPr>
          <w:rFonts w:asciiTheme="minorEastAsia" w:eastAsiaTheme="minorEastAsia" w:hAnsiTheme="minorEastAsia"/>
        </w:rPr>
        <w:t>的</w:t>
      </w:r>
      <w:r w:rsidR="00437960">
        <w:rPr>
          <w:rFonts w:asciiTheme="minorEastAsia" w:eastAsiaTheme="minorEastAsia" w:hAnsiTheme="minorEastAsia"/>
        </w:rPr>
        <w:t>议案》</w:t>
      </w:r>
      <w:r w:rsidRPr="000273F8">
        <w:rPr>
          <w:rFonts w:asciiTheme="minorEastAsia" w:eastAsiaTheme="minorEastAsia" w:hAnsiTheme="minorEastAsia"/>
        </w:rPr>
        <w:t>。</w:t>
      </w:r>
    </w:p>
    <w:p w:rsidR="00E60B94" w:rsidRDefault="00053891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  <w:r w:rsidRPr="00F12FC7">
        <w:rPr>
          <w:rFonts w:asciiTheme="minorEastAsia" w:eastAsiaTheme="minorEastAsia" w:hAnsiTheme="minorEastAsia"/>
          <w:sz w:val="24"/>
        </w:rPr>
        <w:t>本次交易不构成《上市公司重大资产重组管理办法》规定的重大资产重组。</w:t>
      </w:r>
      <w:r w:rsidR="00E60B94" w:rsidRPr="000273F8">
        <w:rPr>
          <w:rFonts w:asciiTheme="minorEastAsia" w:eastAsiaTheme="minorEastAsia" w:hAnsiTheme="minorEastAsia"/>
          <w:sz w:val="24"/>
        </w:rPr>
        <w:t>根据</w:t>
      </w:r>
      <w:r w:rsidR="00F24EAA" w:rsidRPr="000273F8">
        <w:rPr>
          <w:rFonts w:asciiTheme="minorEastAsia" w:eastAsiaTheme="minorEastAsia" w:hAnsiTheme="minorEastAsia"/>
          <w:sz w:val="24"/>
        </w:rPr>
        <w:t>《</w:t>
      </w:r>
      <w:r w:rsidR="00E60B94" w:rsidRPr="000273F8">
        <w:rPr>
          <w:rFonts w:asciiTheme="minorEastAsia" w:eastAsiaTheme="minorEastAsia" w:hAnsiTheme="minorEastAsia"/>
          <w:sz w:val="24"/>
        </w:rPr>
        <w:t>深圳证券交易所股票上市规则》、《公司章程》等规定，本次交易金额在董事会决策权限内，无需提交公司股东大会审议批准。</w:t>
      </w:r>
    </w:p>
    <w:p w:rsidR="00053891" w:rsidRDefault="00053891" w:rsidP="00D6110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201BD9" w:rsidRPr="000E62DE" w:rsidRDefault="004E2903" w:rsidP="00D6110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</w:t>
      </w:r>
      <w:r w:rsidR="00201BD9" w:rsidRPr="000E62DE">
        <w:rPr>
          <w:rFonts w:asciiTheme="minorEastAsia" w:eastAsiaTheme="minorEastAsia" w:hAnsiTheme="minorEastAsia" w:hint="eastAsia"/>
          <w:b/>
          <w:sz w:val="24"/>
        </w:rPr>
        <w:t>、</w:t>
      </w:r>
      <w:r w:rsidR="00E75F56">
        <w:rPr>
          <w:rFonts w:asciiTheme="minorEastAsia" w:eastAsiaTheme="minorEastAsia" w:hAnsiTheme="minorEastAsia" w:hint="eastAsia"/>
          <w:b/>
          <w:sz w:val="24"/>
        </w:rPr>
        <w:t>所涉标的</w:t>
      </w:r>
      <w:r w:rsidR="00201BD9" w:rsidRPr="000E62DE">
        <w:rPr>
          <w:rFonts w:asciiTheme="minorEastAsia" w:eastAsiaTheme="minorEastAsia" w:hAnsiTheme="minorEastAsia" w:hint="eastAsia"/>
          <w:b/>
          <w:sz w:val="24"/>
        </w:rPr>
        <w:t>基本情况</w:t>
      </w:r>
    </w:p>
    <w:p w:rsidR="007C7A5D" w:rsidRDefault="000E62DE" w:rsidP="007C7A5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1、基本情况</w:t>
      </w:r>
    </w:p>
    <w:p w:rsidR="007C7A5D" w:rsidRPr="007C7A5D" w:rsidRDefault="000E62DE" w:rsidP="007C7A5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公司名称：</w:t>
      </w:r>
      <w:r w:rsidR="007C7A5D" w:rsidRPr="007C7A5D">
        <w:rPr>
          <w:rFonts w:asciiTheme="minorEastAsia" w:eastAsiaTheme="minorEastAsia" w:hAnsiTheme="minorEastAsia" w:hint="eastAsia"/>
          <w:sz w:val="24"/>
        </w:rPr>
        <w:t>浙江稠州商业银行股份有限公司</w:t>
      </w:r>
    </w:p>
    <w:p w:rsidR="007C7A5D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E62DE">
        <w:rPr>
          <w:rFonts w:asciiTheme="minorEastAsia" w:eastAsiaTheme="minorEastAsia" w:hAnsiTheme="minorEastAsia"/>
          <w:sz w:val="24"/>
        </w:rPr>
        <w:t>统一社会信用代码：</w:t>
      </w:r>
      <w:r w:rsidR="007C7A5D" w:rsidRPr="007C7A5D">
        <w:rPr>
          <w:rFonts w:asciiTheme="minorEastAsia" w:eastAsiaTheme="minorEastAsia" w:hAnsiTheme="minorEastAsia"/>
          <w:sz w:val="24"/>
        </w:rPr>
        <w:t>91330000609786330F</w:t>
      </w:r>
    </w:p>
    <w:p w:rsidR="007C7A5D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注册地址：</w:t>
      </w:r>
      <w:r w:rsidR="007C7A5D" w:rsidRPr="007C7A5D">
        <w:rPr>
          <w:rFonts w:asciiTheme="minorEastAsia" w:eastAsiaTheme="minorEastAsia" w:hAnsiTheme="minorEastAsia" w:hint="eastAsia"/>
          <w:sz w:val="24"/>
        </w:rPr>
        <w:t>浙江省金华市义乌市福田街道商城大道188号B栋1、2、6-9、11-14层</w:t>
      </w:r>
    </w:p>
    <w:p w:rsidR="000E62DE" w:rsidRPr="0030347A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企业类型：</w:t>
      </w:r>
      <w:r w:rsidR="007C7A5D" w:rsidRPr="007C7A5D">
        <w:rPr>
          <w:rFonts w:asciiTheme="minorEastAsia" w:eastAsiaTheme="minorEastAsia" w:hAnsiTheme="minorEastAsia"/>
          <w:sz w:val="24"/>
        </w:rPr>
        <w:t>其他股份有限公司(非上市)</w:t>
      </w:r>
    </w:p>
    <w:p w:rsidR="000E62DE" w:rsidRPr="0030347A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法定代表人：</w:t>
      </w:r>
      <w:r w:rsidR="007C7A5D">
        <w:rPr>
          <w:rFonts w:asciiTheme="minorEastAsia" w:eastAsiaTheme="minorEastAsia" w:hAnsiTheme="minorEastAsia" w:hint="eastAsia"/>
          <w:sz w:val="24"/>
        </w:rPr>
        <w:t>金子军</w:t>
      </w:r>
    </w:p>
    <w:p w:rsidR="000E62DE" w:rsidRPr="0030347A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注册资本：</w:t>
      </w:r>
      <w:r w:rsidR="007C7A5D">
        <w:rPr>
          <w:rFonts w:asciiTheme="minorEastAsia" w:eastAsiaTheme="minorEastAsia" w:hAnsiTheme="minorEastAsia" w:hint="eastAsia"/>
          <w:sz w:val="24"/>
        </w:rPr>
        <w:t>420,000</w:t>
      </w:r>
      <w:r w:rsidRPr="0030347A">
        <w:rPr>
          <w:rFonts w:asciiTheme="minorEastAsia" w:eastAsiaTheme="minorEastAsia" w:hAnsiTheme="minorEastAsia"/>
          <w:sz w:val="24"/>
        </w:rPr>
        <w:t>万元</w:t>
      </w:r>
    </w:p>
    <w:p w:rsidR="007C7A5D" w:rsidRPr="007C7A5D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/>
          <w:sz w:val="24"/>
        </w:rPr>
        <w:t>成立日期：</w:t>
      </w:r>
      <w:r w:rsidR="007C7A5D" w:rsidRPr="007C7A5D">
        <w:rPr>
          <w:rFonts w:asciiTheme="minorEastAsia" w:eastAsiaTheme="minorEastAsia" w:hAnsiTheme="minorEastAsia" w:hint="eastAsia"/>
          <w:sz w:val="24"/>
        </w:rPr>
        <w:t>1987年6月25日</w:t>
      </w:r>
    </w:p>
    <w:p w:rsidR="007C7A5D" w:rsidRPr="00F205C8" w:rsidRDefault="000E62DE" w:rsidP="007C7A5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205C8">
        <w:rPr>
          <w:rFonts w:asciiTheme="minorEastAsia" w:eastAsiaTheme="minorEastAsia" w:hAnsiTheme="minorEastAsia" w:hint="eastAsia"/>
          <w:sz w:val="24"/>
        </w:rPr>
        <w:t>经营范围：</w:t>
      </w:r>
      <w:r w:rsidR="007C7A5D" w:rsidRPr="00F205C8">
        <w:rPr>
          <w:rFonts w:asciiTheme="minorEastAsia" w:eastAsiaTheme="minorEastAsia" w:hAnsiTheme="minorEastAsia" w:hint="eastAsia"/>
          <w:sz w:val="24"/>
        </w:rPr>
        <w:t>（一）吸收公众存款；（二）发放短期、中期和长期贷款；（三）办理国内外结算；（四）办理票据承兑与贴现；（五）发行金融债券；（六）代理发行、代理兑付、承销政府债券；（七）买卖政府债券、金融债券；（八）从事同业拆借；（九）售汇、结汇业务；（十）从事银行卡业务；（十一）提供信用证服务及担保；（十二）代理收付款项及代理保险业务；（十三）提供保管箱服务；（十四）经银行业监督管理机构及有关部门批准的其他业务。</w:t>
      </w:r>
    </w:p>
    <w:p w:rsidR="00476A58" w:rsidRPr="007C7A5D" w:rsidRDefault="00476A58" w:rsidP="007C7A5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FF0000"/>
          <w:sz w:val="24"/>
        </w:rPr>
      </w:pPr>
    </w:p>
    <w:p w:rsidR="007C7A5D" w:rsidRPr="00F205C8" w:rsidRDefault="000E62DE" w:rsidP="007C7A5D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F205C8">
        <w:rPr>
          <w:rFonts w:asciiTheme="minorEastAsia" w:eastAsiaTheme="minorEastAsia" w:hAnsiTheme="minorEastAsia" w:hint="eastAsia"/>
          <w:sz w:val="24"/>
        </w:rPr>
        <w:t>2、</w:t>
      </w:r>
      <w:r w:rsidR="00567C2A">
        <w:rPr>
          <w:rFonts w:asciiTheme="minorEastAsia" w:eastAsiaTheme="minorEastAsia" w:hAnsiTheme="minorEastAsia" w:hint="eastAsia"/>
          <w:sz w:val="24"/>
        </w:rPr>
        <w:t>截止2022年9月，稠州银行</w:t>
      </w:r>
      <w:r w:rsidR="007C7A5D" w:rsidRPr="00F205C8">
        <w:rPr>
          <w:rFonts w:asciiTheme="minorEastAsia" w:eastAsiaTheme="minorEastAsia" w:hAnsiTheme="minorEastAsia" w:cs="宋体" w:hint="eastAsia"/>
          <w:kern w:val="0"/>
          <w:sz w:val="24"/>
        </w:rPr>
        <w:t>前十大股东情况</w:t>
      </w:r>
      <w:r w:rsidR="00567C2A">
        <w:rPr>
          <w:rFonts w:asciiTheme="minorEastAsia" w:eastAsiaTheme="minorEastAsia" w:hAnsiTheme="minorEastAsia" w:cs="宋体" w:hint="eastAsia"/>
          <w:kern w:val="0"/>
          <w:sz w:val="24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8"/>
        <w:gridCol w:w="4392"/>
        <w:gridCol w:w="1982"/>
        <w:gridCol w:w="1190"/>
      </w:tblGrid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FFFFFF" w:themeFill="background1"/>
            <w:vAlign w:val="center"/>
          </w:tcPr>
          <w:p w:rsidR="007C7A5D" w:rsidRPr="00F205C8" w:rsidRDefault="007C7A5D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bCs/>
                <w:szCs w:val="21"/>
              </w:rPr>
              <w:t>序号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 w:themeFill="background1"/>
            <w:vAlign w:val="center"/>
          </w:tcPr>
          <w:p w:rsidR="007C7A5D" w:rsidRPr="00F205C8" w:rsidRDefault="007C7A5D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bCs/>
                <w:szCs w:val="21"/>
              </w:rPr>
              <w:t>股东名称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 w:themeFill="background1"/>
            <w:vAlign w:val="center"/>
          </w:tcPr>
          <w:p w:rsidR="007C7A5D" w:rsidRPr="00F205C8" w:rsidRDefault="007C7A5D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bCs/>
                <w:szCs w:val="21"/>
              </w:rPr>
              <w:t>股份数（</w:t>
            </w:r>
            <w:r w:rsidR="00F205C8" w:rsidRPr="00F205C8">
              <w:rPr>
                <w:rFonts w:asciiTheme="minorEastAsia" w:eastAsiaTheme="minorEastAsia" w:hAnsiTheme="minorEastAsia"/>
                <w:bCs/>
                <w:szCs w:val="21"/>
              </w:rPr>
              <w:t>万</w:t>
            </w:r>
            <w:r w:rsidRPr="00F205C8">
              <w:rPr>
                <w:rFonts w:asciiTheme="minorEastAsia" w:eastAsiaTheme="minorEastAsia" w:hAnsiTheme="minorEastAsia"/>
                <w:bCs/>
                <w:szCs w:val="21"/>
              </w:rPr>
              <w:t>股）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8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7A5D" w:rsidRPr="00F205C8" w:rsidRDefault="007C7A5D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bCs/>
                <w:szCs w:val="21"/>
              </w:rPr>
              <w:t>持股</w:t>
            </w:r>
            <w:r w:rsidRPr="00F205C8">
              <w:rPr>
                <w:rFonts w:asciiTheme="minorEastAsia" w:eastAsiaTheme="minorEastAsia" w:hAnsiTheme="minorEastAsia" w:hint="eastAsia"/>
                <w:bCs/>
                <w:szCs w:val="21"/>
              </w:rPr>
              <w:t>比例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浙江东宇物流有限公司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29,671.20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7</w:t>
            </w:r>
            <w:r w:rsidRPr="00F205C8">
              <w:rPr>
                <w:rFonts w:asciiTheme="minorEastAsia" w:eastAsiaTheme="minorEastAsia" w:hAnsiTheme="minorEastAsia" w:hint="eastAsia"/>
                <w:szCs w:val="21"/>
              </w:rPr>
              <w:t>.06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%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宁波杉杉股份有限公司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29,671.20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7</w:t>
            </w:r>
            <w:r w:rsidRPr="00F205C8">
              <w:rPr>
                <w:rFonts w:asciiTheme="minorEastAsia" w:eastAsiaTheme="minorEastAsia" w:hAnsiTheme="minorEastAsia" w:hint="eastAsia"/>
                <w:szCs w:val="21"/>
              </w:rPr>
              <w:t>.06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%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F205C8" w:rsidRPr="00F205C8" w:rsidRDefault="00F205C8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F205C8" w:rsidRPr="00F205C8" w:rsidRDefault="00F205C8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杭州乾智投资管理有限公司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F205C8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20,760.50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F205C8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4.94%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F205C8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义乌市豪泰工艺品有限公司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20,728.15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C7A5D" w:rsidRPr="00F205C8" w:rsidRDefault="007C7A5D" w:rsidP="00F205C8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4.</w:t>
            </w:r>
            <w:r w:rsidR="00F205C8" w:rsidRPr="00F205C8">
              <w:rPr>
                <w:rFonts w:asciiTheme="minorEastAsia" w:eastAsiaTheme="minorEastAsia" w:hAnsiTheme="minorEastAsia" w:hint="eastAsia"/>
                <w:szCs w:val="21"/>
              </w:rPr>
              <w:t>94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%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F205C8" w:rsidRPr="00F205C8" w:rsidRDefault="00F205C8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F205C8" w:rsidRPr="00F205C8" w:rsidRDefault="00D10749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江阴</w:t>
            </w:r>
            <w:r w:rsidR="00F205C8" w:rsidRPr="00F205C8">
              <w:rPr>
                <w:rFonts w:asciiTheme="minorEastAsia" w:eastAsiaTheme="minorEastAsia" w:hAnsiTheme="minorEastAsia"/>
                <w:szCs w:val="21"/>
              </w:rPr>
              <w:t>华西村资本有限公司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F205C8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20,232.00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F205C8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4.82%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义乌市兰生工贸有限公司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18,516.00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4</w:t>
            </w:r>
            <w:r w:rsidRPr="00F205C8">
              <w:rPr>
                <w:rFonts w:asciiTheme="minorEastAsia" w:eastAsiaTheme="minorEastAsia" w:hAnsiTheme="minorEastAsia" w:hint="eastAsia"/>
                <w:szCs w:val="21"/>
              </w:rPr>
              <w:t>.41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%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杭州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科欧博亿</w:t>
            </w:r>
            <w:r w:rsidRPr="00F205C8">
              <w:rPr>
                <w:rFonts w:asciiTheme="minorEastAsia" w:eastAsiaTheme="minorEastAsia" w:hAnsiTheme="minorEastAsia" w:hint="eastAsia"/>
                <w:szCs w:val="21"/>
              </w:rPr>
              <w:t>贸易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有限公司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18,240.00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4.34%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亿德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宝（</w:t>
            </w:r>
            <w:r w:rsidRPr="00F205C8">
              <w:rPr>
                <w:rFonts w:asciiTheme="minorEastAsia" w:eastAsiaTheme="minorEastAsia" w:hAnsiTheme="minorEastAsia" w:hint="eastAsia"/>
                <w:szCs w:val="21"/>
              </w:rPr>
              <w:t>北京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）</w:t>
            </w:r>
            <w:r w:rsidRPr="00F205C8">
              <w:rPr>
                <w:rFonts w:asciiTheme="minorEastAsia" w:eastAsiaTheme="minorEastAsia" w:hAnsiTheme="minorEastAsia" w:hint="eastAsia"/>
                <w:szCs w:val="21"/>
              </w:rPr>
              <w:t>科技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发展有限责任公司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17,760.00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4.23%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深圳市佳育世纪文化产业有限公司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14,371.20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3.42</w:t>
            </w:r>
            <w:r w:rsidR="007C7A5D" w:rsidRPr="00F205C8">
              <w:rPr>
                <w:rFonts w:asciiTheme="minorEastAsia" w:eastAsiaTheme="minorEastAsia" w:hAnsiTheme="minorEastAsia"/>
                <w:szCs w:val="21"/>
              </w:rPr>
              <w:t>%</w:t>
            </w:r>
          </w:p>
        </w:tc>
      </w:tr>
      <w:tr w:rsidR="00F205C8" w:rsidRPr="00F205C8" w:rsidTr="00DA446A">
        <w:trPr>
          <w:trHeight w:val="454"/>
          <w:tblHeader/>
          <w:jc w:val="center"/>
        </w:trPr>
        <w:tc>
          <w:tcPr>
            <w:tcW w:w="562" w:type="pct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2577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天津</w:t>
            </w:r>
            <w:r w:rsidRPr="00F205C8">
              <w:rPr>
                <w:rFonts w:asciiTheme="minorEastAsia" w:eastAsiaTheme="minorEastAsia" w:hAnsiTheme="minorEastAsia"/>
                <w:szCs w:val="21"/>
              </w:rPr>
              <w:t>滨海新天投资有限公司</w:t>
            </w:r>
          </w:p>
        </w:tc>
        <w:tc>
          <w:tcPr>
            <w:tcW w:w="1163" w:type="pc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7C7A5D" w:rsidRPr="00F205C8" w:rsidRDefault="00F205C8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 w:hint="eastAsia"/>
                <w:szCs w:val="21"/>
              </w:rPr>
              <w:t>13,920.00</w:t>
            </w:r>
          </w:p>
        </w:tc>
        <w:tc>
          <w:tcPr>
            <w:tcW w:w="698" w:type="pct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C7A5D" w:rsidRPr="00F205C8" w:rsidRDefault="007C7A5D" w:rsidP="00DA446A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205C8">
              <w:rPr>
                <w:rFonts w:asciiTheme="minorEastAsia" w:eastAsiaTheme="minorEastAsia" w:hAnsiTheme="minorEastAsia"/>
                <w:szCs w:val="21"/>
              </w:rPr>
              <w:t>3.31%</w:t>
            </w:r>
          </w:p>
        </w:tc>
      </w:tr>
    </w:tbl>
    <w:p w:rsidR="007C7A5D" w:rsidRDefault="007C7A5D" w:rsidP="007C7A5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0E62DE" w:rsidRPr="00456247" w:rsidRDefault="000E62DE" w:rsidP="007C7A5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</w:t>
      </w:r>
      <w:r w:rsidRPr="00456247">
        <w:rPr>
          <w:rFonts w:asciiTheme="minorEastAsia" w:eastAsiaTheme="minorEastAsia" w:hAnsiTheme="minorEastAsia" w:hint="eastAsia"/>
          <w:sz w:val="24"/>
        </w:rPr>
        <w:t>主要财务指标：</w:t>
      </w:r>
    </w:p>
    <w:p w:rsidR="000E62DE" w:rsidRPr="009E65F5" w:rsidRDefault="000E62DE" w:rsidP="000E62DE">
      <w:pPr>
        <w:snapToGrid w:val="0"/>
        <w:spacing w:line="39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E65F5">
        <w:rPr>
          <w:rFonts w:asciiTheme="minorEastAsia" w:eastAsiaTheme="minorEastAsia" w:hAnsiTheme="minorEastAsia" w:hint="eastAsia"/>
          <w:sz w:val="24"/>
        </w:rPr>
        <w:lastRenderedPageBreak/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</w:t>
      </w:r>
      <w:r w:rsidRPr="009E65F5">
        <w:rPr>
          <w:rFonts w:asciiTheme="minorEastAsia" w:eastAsiaTheme="minorEastAsia" w:hAnsiTheme="minorEastAsia" w:hint="eastAsia"/>
          <w:sz w:val="24"/>
        </w:rPr>
        <w:t>单位：万元</w:t>
      </w:r>
    </w:p>
    <w:tbl>
      <w:tblPr>
        <w:tblStyle w:val="a5"/>
        <w:tblW w:w="8505" w:type="dxa"/>
        <w:tblInd w:w="-34" w:type="dxa"/>
        <w:tblLook w:val="04A0" w:firstRow="1" w:lastRow="0" w:firstColumn="1" w:lastColumn="0" w:noHBand="0" w:noVBand="1"/>
      </w:tblPr>
      <w:tblGrid>
        <w:gridCol w:w="3403"/>
        <w:gridCol w:w="2551"/>
        <w:gridCol w:w="2551"/>
      </w:tblGrid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870" w:rsidRPr="00783194" w:rsidRDefault="00040870" w:rsidP="00D73F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项   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Default="007C7A5D" w:rsidP="00D73F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</w:t>
            </w:r>
            <w:r w:rsidR="00040870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="00040870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  <w:r w:rsidR="00040870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040870" w:rsidRPr="00783194" w:rsidRDefault="007C7A5D" w:rsidP="00D73F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040870">
              <w:rPr>
                <w:rFonts w:ascii="宋体" w:hAnsi="宋体" w:cs="宋体" w:hint="eastAsia"/>
                <w:kern w:val="0"/>
                <w:szCs w:val="21"/>
              </w:rPr>
              <w:t>经审计）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Default="007C7A5D" w:rsidP="00D73F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040870">
              <w:rPr>
                <w:rFonts w:ascii="宋体" w:hAnsi="宋体" w:cs="宋体" w:hint="eastAsia"/>
                <w:kern w:val="0"/>
                <w:szCs w:val="21"/>
              </w:rPr>
              <w:t>年12月31日</w:t>
            </w:r>
          </w:p>
          <w:p w:rsidR="00040870" w:rsidRPr="00783194" w:rsidRDefault="007C7A5D" w:rsidP="00D73F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040870">
              <w:rPr>
                <w:rFonts w:ascii="宋体" w:hAnsi="宋体" w:cs="宋体" w:hint="eastAsia"/>
                <w:kern w:val="0"/>
                <w:szCs w:val="21"/>
              </w:rPr>
              <w:t>经审计）</w:t>
            </w:r>
          </w:p>
        </w:tc>
      </w:tr>
      <w:tr w:rsidR="00040870" w:rsidRPr="00783194" w:rsidTr="007C7A5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D73F0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资产总额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604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576.67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104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448.30</w:t>
            </w:r>
          </w:p>
        </w:tc>
      </w:tr>
      <w:tr w:rsidR="00040870" w:rsidRPr="00783194" w:rsidTr="007C7A5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D73F0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负债总额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273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843.04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216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560.25</w:t>
            </w:r>
          </w:p>
        </w:tc>
      </w:tr>
      <w:tr w:rsidR="00040870" w:rsidRPr="00783194" w:rsidTr="007C7A5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437960" w:rsidP="00D73F0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归属于母公司的股东权益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214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347.34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824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788.17</w:t>
            </w:r>
          </w:p>
        </w:tc>
      </w:tr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870" w:rsidRPr="00783194" w:rsidRDefault="00040870" w:rsidP="00D73F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项    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132702" w:rsidP="00D73F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7C7A5D"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C7A5D">
              <w:rPr>
                <w:rFonts w:ascii="宋体" w:hAnsi="宋体" w:cs="宋体" w:hint="eastAsia"/>
                <w:kern w:val="0"/>
                <w:szCs w:val="21"/>
              </w:rPr>
              <w:t>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040870" w:rsidP="00D73F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7C7A5D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783194">
              <w:rPr>
                <w:rFonts w:ascii="宋体" w:hAnsi="宋体" w:cs="宋体" w:hint="eastAsia"/>
                <w:kern w:val="0"/>
                <w:szCs w:val="21"/>
              </w:rPr>
              <w:t>年度</w:t>
            </w:r>
          </w:p>
        </w:tc>
      </w:tr>
      <w:tr w:rsidR="00040870" w:rsidRPr="00783194" w:rsidTr="007C7A5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D73F0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营业收入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759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840.21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690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467.50</w:t>
            </w:r>
          </w:p>
        </w:tc>
      </w:tr>
      <w:tr w:rsidR="00040870" w:rsidRPr="00783194" w:rsidTr="007C7A5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D73F0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营业利润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225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991.16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207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784.64</w:t>
            </w:r>
          </w:p>
        </w:tc>
      </w:tr>
      <w:tr w:rsidR="00040870" w:rsidRPr="00783194" w:rsidTr="007C7A5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437960" w:rsidP="00D73F0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归属于母公司股东的</w:t>
            </w:r>
            <w:r w:rsidR="00040870" w:rsidRPr="00783194">
              <w:rPr>
                <w:rFonts w:ascii="宋体" w:hAnsi="宋体" w:cs="宋体" w:hint="eastAsia"/>
                <w:kern w:val="0"/>
                <w:szCs w:val="21"/>
              </w:rPr>
              <w:t>净利润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173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834.50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437960" w:rsidP="00D73F0C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161</w:t>
            </w:r>
            <w:r w:rsidR="00D73F0C"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150.07</w:t>
            </w:r>
          </w:p>
        </w:tc>
      </w:tr>
    </w:tbl>
    <w:p w:rsidR="00342F81" w:rsidRPr="00C40FE7" w:rsidRDefault="00C40FE7" w:rsidP="00C40FE7">
      <w:pPr>
        <w:spacing w:line="560" w:lineRule="exact"/>
        <w:ind w:firstLineChars="200" w:firstLine="480"/>
        <w:rPr>
          <w:rFonts w:ascii="宋体" w:hAnsi="宋体"/>
          <w:sz w:val="24"/>
        </w:rPr>
      </w:pPr>
      <w:r w:rsidRPr="00C40FE7">
        <w:rPr>
          <w:rFonts w:asciiTheme="minorEastAsia" w:eastAsiaTheme="minorEastAsia" w:hAnsiTheme="minorEastAsia" w:hint="eastAsia"/>
          <w:sz w:val="24"/>
        </w:rPr>
        <w:t>4、经核查，</w:t>
      </w:r>
      <w:r w:rsidR="00BF5358">
        <w:rPr>
          <w:rFonts w:asciiTheme="minorEastAsia" w:eastAsiaTheme="minorEastAsia" w:hAnsiTheme="minorEastAsia" w:hint="eastAsia"/>
          <w:sz w:val="24"/>
        </w:rPr>
        <w:t>稠州银行</w:t>
      </w:r>
      <w:r w:rsidRPr="00C40FE7">
        <w:rPr>
          <w:rFonts w:ascii="宋体" w:hAnsi="宋体" w:hint="eastAsia"/>
          <w:sz w:val="24"/>
        </w:rPr>
        <w:t>不属于失信被执行人。</w:t>
      </w:r>
    </w:p>
    <w:p w:rsidR="00C40FE7" w:rsidRDefault="00C40FE7" w:rsidP="00C40FE7">
      <w:pPr>
        <w:spacing w:line="56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2C666E" w:rsidRPr="005E19D9" w:rsidRDefault="004E2903" w:rsidP="002C666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</w:t>
      </w:r>
      <w:r w:rsidR="002C666E" w:rsidRPr="005E19D9">
        <w:rPr>
          <w:rFonts w:asciiTheme="minorEastAsia" w:eastAsiaTheme="minorEastAsia" w:hAnsiTheme="minorEastAsia" w:hint="eastAsia"/>
          <w:b/>
          <w:sz w:val="24"/>
        </w:rPr>
        <w:t>、放弃权利的定价政策及定价依据</w:t>
      </w:r>
    </w:p>
    <w:p w:rsidR="002C666E" w:rsidRPr="00476A58" w:rsidRDefault="002C666E" w:rsidP="002C666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76A58">
        <w:rPr>
          <w:rFonts w:asciiTheme="minorEastAsia" w:eastAsiaTheme="minorEastAsia" w:hAnsiTheme="minorEastAsia"/>
          <w:sz w:val="24"/>
        </w:rPr>
        <w:t>本次</w:t>
      </w:r>
      <w:r w:rsidR="00C27554" w:rsidRPr="00476A58">
        <w:rPr>
          <w:rFonts w:asciiTheme="minorEastAsia" w:eastAsiaTheme="minorEastAsia" w:hAnsiTheme="minorEastAsia"/>
          <w:sz w:val="24"/>
        </w:rPr>
        <w:t>稠州银行</w:t>
      </w:r>
      <w:r w:rsidR="006B21E1">
        <w:rPr>
          <w:rFonts w:asciiTheme="minorEastAsia" w:eastAsiaTheme="minorEastAsia" w:hAnsiTheme="minorEastAsia"/>
          <w:sz w:val="24"/>
        </w:rPr>
        <w:t>增资扩股发行</w:t>
      </w:r>
      <w:r w:rsidR="00C27554" w:rsidRPr="00476A58">
        <w:rPr>
          <w:rFonts w:asciiTheme="minorEastAsia" w:eastAsiaTheme="minorEastAsia" w:hAnsiTheme="minorEastAsia"/>
          <w:sz w:val="24"/>
        </w:rPr>
        <w:t>价格以资本公积金转增股本后的每股净资产的</w:t>
      </w:r>
      <w:r w:rsidR="00C27554" w:rsidRPr="00476A58">
        <w:rPr>
          <w:rFonts w:asciiTheme="minorEastAsia" w:eastAsiaTheme="minorEastAsia" w:hAnsiTheme="minorEastAsia" w:hint="eastAsia"/>
          <w:sz w:val="24"/>
        </w:rPr>
        <w:t>0.62倍确定，发行价格定为每股人民币2.80元。</w:t>
      </w:r>
    </w:p>
    <w:p w:rsidR="00127C02" w:rsidRPr="00476A58" w:rsidRDefault="00127C02" w:rsidP="00127C0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76A58">
        <w:rPr>
          <w:rFonts w:asciiTheme="minorEastAsia" w:eastAsiaTheme="minorEastAsia" w:hAnsiTheme="minorEastAsia" w:hint="eastAsia"/>
          <w:sz w:val="24"/>
        </w:rPr>
        <w:t>若公司不放弃本次</w:t>
      </w:r>
      <w:r w:rsidR="00BF5358" w:rsidRPr="00476A58">
        <w:rPr>
          <w:rFonts w:asciiTheme="minorEastAsia" w:eastAsiaTheme="minorEastAsia" w:hAnsiTheme="minorEastAsia" w:hint="eastAsia"/>
          <w:sz w:val="24"/>
        </w:rPr>
        <w:t>稠州银行</w:t>
      </w:r>
      <w:r w:rsidRPr="00476A58">
        <w:rPr>
          <w:rFonts w:asciiTheme="minorEastAsia" w:eastAsiaTheme="minorEastAsia" w:hAnsiTheme="minorEastAsia" w:hint="eastAsia"/>
          <w:sz w:val="24"/>
        </w:rPr>
        <w:t>增资扩股优先认购权，维持原持股比例所需出资的最高金额约为</w:t>
      </w:r>
      <w:r w:rsidR="00C27554" w:rsidRPr="00476A58">
        <w:rPr>
          <w:rFonts w:asciiTheme="minorEastAsia" w:eastAsiaTheme="minorEastAsia" w:hAnsiTheme="minorEastAsia" w:hint="eastAsia"/>
          <w:sz w:val="24"/>
        </w:rPr>
        <w:t>10,</w:t>
      </w:r>
      <w:r w:rsidR="00541011">
        <w:rPr>
          <w:rFonts w:asciiTheme="minorEastAsia" w:eastAsiaTheme="minorEastAsia" w:hAnsiTheme="minorEastAsia" w:hint="eastAsia"/>
          <w:sz w:val="24"/>
        </w:rPr>
        <w:t>790</w:t>
      </w:r>
      <w:r w:rsidRPr="00476A58">
        <w:rPr>
          <w:rFonts w:asciiTheme="minorEastAsia" w:eastAsiaTheme="minorEastAsia" w:hAnsiTheme="minorEastAsia" w:hint="eastAsia"/>
          <w:sz w:val="24"/>
        </w:rPr>
        <w:t>万元，占公司最近一期经审计净资产的</w:t>
      </w:r>
      <w:r w:rsidR="00C27554" w:rsidRPr="00476A58">
        <w:rPr>
          <w:rFonts w:asciiTheme="minorEastAsia" w:eastAsiaTheme="minorEastAsia" w:hAnsiTheme="minorEastAsia" w:hint="eastAsia"/>
          <w:sz w:val="24"/>
        </w:rPr>
        <w:t>2.16</w:t>
      </w:r>
      <w:r w:rsidRPr="00476A58">
        <w:rPr>
          <w:rFonts w:asciiTheme="minorEastAsia" w:eastAsiaTheme="minorEastAsia" w:hAnsiTheme="minorEastAsia" w:hint="eastAsia"/>
          <w:sz w:val="24"/>
        </w:rPr>
        <w:t>%。</w:t>
      </w:r>
    </w:p>
    <w:p w:rsidR="002C666E" w:rsidRPr="005E19D9" w:rsidRDefault="002C666E" w:rsidP="002C666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27C02" w:rsidRPr="00127C02" w:rsidRDefault="004E2903" w:rsidP="00127C02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2C666E" w:rsidRPr="00127C02">
        <w:rPr>
          <w:rFonts w:asciiTheme="minorEastAsia" w:eastAsiaTheme="minorEastAsia" w:hAnsiTheme="minorEastAsia" w:hint="eastAsia"/>
          <w:b/>
          <w:sz w:val="24"/>
        </w:rPr>
        <w:t>、</w:t>
      </w:r>
      <w:r w:rsidR="00127C02" w:rsidRPr="00127C02">
        <w:rPr>
          <w:rFonts w:asciiTheme="minorEastAsia" w:eastAsiaTheme="minorEastAsia" w:hAnsiTheme="minorEastAsia"/>
          <w:b/>
          <w:sz w:val="24"/>
        </w:rPr>
        <w:t>放弃</w:t>
      </w:r>
      <w:r w:rsidR="00E75F56">
        <w:rPr>
          <w:rFonts w:asciiTheme="minorEastAsia" w:eastAsiaTheme="minorEastAsia" w:hAnsiTheme="minorEastAsia"/>
          <w:b/>
          <w:sz w:val="24"/>
        </w:rPr>
        <w:t>权利的原因及</w:t>
      </w:r>
      <w:r w:rsidR="00127C02" w:rsidRPr="00127C02">
        <w:rPr>
          <w:rFonts w:asciiTheme="minorEastAsia" w:eastAsiaTheme="minorEastAsia" w:hAnsiTheme="minorEastAsia"/>
          <w:b/>
          <w:sz w:val="24"/>
        </w:rPr>
        <w:t>对公司的影响</w:t>
      </w:r>
    </w:p>
    <w:p w:rsidR="002C666E" w:rsidRDefault="00E75F56" w:rsidP="00F841A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基于公司目前战略规划，</w:t>
      </w:r>
      <w:r w:rsidR="00127C02" w:rsidRPr="00127C02">
        <w:rPr>
          <w:rFonts w:asciiTheme="minorEastAsia" w:eastAsiaTheme="minorEastAsia" w:hAnsiTheme="minorEastAsia"/>
          <w:sz w:val="24"/>
        </w:rPr>
        <w:t>公司同意</w:t>
      </w:r>
      <w:r w:rsidR="00AC2CA2">
        <w:rPr>
          <w:rFonts w:asciiTheme="minorEastAsia" w:eastAsiaTheme="minorEastAsia" w:hAnsiTheme="minorEastAsia"/>
          <w:sz w:val="24"/>
        </w:rPr>
        <w:t>华西资本</w:t>
      </w:r>
      <w:r w:rsidR="00127C02" w:rsidRPr="00127C02">
        <w:rPr>
          <w:rFonts w:asciiTheme="minorEastAsia" w:eastAsiaTheme="minorEastAsia" w:hAnsiTheme="minorEastAsia"/>
          <w:sz w:val="24"/>
        </w:rPr>
        <w:t>放弃</w:t>
      </w:r>
      <w:r w:rsidR="009114C7">
        <w:rPr>
          <w:rFonts w:asciiTheme="minorEastAsia" w:eastAsiaTheme="minorEastAsia" w:hAnsiTheme="minorEastAsia"/>
          <w:sz w:val="24"/>
        </w:rPr>
        <w:t>本次</w:t>
      </w:r>
      <w:r w:rsidR="00BF5358">
        <w:rPr>
          <w:rFonts w:asciiTheme="minorEastAsia" w:eastAsiaTheme="minorEastAsia" w:hAnsiTheme="minorEastAsia"/>
          <w:sz w:val="24"/>
        </w:rPr>
        <w:t>稠州银行</w:t>
      </w:r>
      <w:r w:rsidR="001474EB">
        <w:rPr>
          <w:rFonts w:asciiTheme="minorEastAsia" w:eastAsiaTheme="minorEastAsia" w:hAnsiTheme="minorEastAsia"/>
          <w:sz w:val="24"/>
        </w:rPr>
        <w:t>增资扩股的优先认购权。本次放弃权利</w:t>
      </w:r>
      <w:r w:rsidR="003C74FE">
        <w:rPr>
          <w:rFonts w:asciiTheme="minorEastAsia" w:eastAsiaTheme="minorEastAsia" w:hAnsiTheme="minorEastAsia"/>
          <w:sz w:val="24"/>
        </w:rPr>
        <w:t>事项</w:t>
      </w:r>
      <w:r w:rsidR="00127C02" w:rsidRPr="00127C02">
        <w:rPr>
          <w:rFonts w:asciiTheme="minorEastAsia" w:eastAsiaTheme="minorEastAsia" w:hAnsiTheme="minorEastAsia"/>
          <w:sz w:val="24"/>
        </w:rPr>
        <w:t>符合有关法律法规的规定，不会对公司财务及经营状况产生不利影响，不存在损害公司及全体股东利益的情形。</w:t>
      </w:r>
    </w:p>
    <w:p w:rsidR="00127C02" w:rsidRPr="003C74FE" w:rsidRDefault="00127C02" w:rsidP="00127C0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201BD9" w:rsidRPr="005E19D9" w:rsidRDefault="003A7222" w:rsidP="00F1414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 w:rsidR="00201BD9" w:rsidRPr="005E19D9">
        <w:rPr>
          <w:rFonts w:asciiTheme="minorEastAsia" w:eastAsiaTheme="minorEastAsia" w:hAnsiTheme="minorEastAsia" w:hint="eastAsia"/>
          <w:b/>
          <w:sz w:val="24"/>
        </w:rPr>
        <w:t>、备查文件</w:t>
      </w:r>
    </w:p>
    <w:p w:rsidR="00201BD9" w:rsidRPr="00476A58" w:rsidRDefault="00A315A2" w:rsidP="00F1414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76A58">
        <w:rPr>
          <w:rFonts w:asciiTheme="minorEastAsia" w:eastAsiaTheme="minorEastAsia" w:hAnsiTheme="minorEastAsia" w:hint="eastAsia"/>
          <w:sz w:val="24"/>
        </w:rPr>
        <w:t>1、第八届董事会第</w:t>
      </w:r>
      <w:r w:rsidR="004E2903" w:rsidRPr="00476A58">
        <w:rPr>
          <w:rFonts w:asciiTheme="minorEastAsia" w:eastAsiaTheme="minorEastAsia" w:hAnsiTheme="minorEastAsia" w:hint="eastAsia"/>
          <w:sz w:val="24"/>
        </w:rPr>
        <w:t>十四</w:t>
      </w:r>
      <w:r w:rsidRPr="00476A58">
        <w:rPr>
          <w:rFonts w:asciiTheme="minorEastAsia" w:eastAsiaTheme="minorEastAsia" w:hAnsiTheme="minorEastAsia" w:hint="eastAsia"/>
          <w:sz w:val="24"/>
        </w:rPr>
        <w:t>次会议决议</w:t>
      </w:r>
      <w:r w:rsidR="00201BD9" w:rsidRPr="00476A58">
        <w:rPr>
          <w:rFonts w:asciiTheme="minorEastAsia" w:eastAsiaTheme="minorEastAsia" w:hAnsiTheme="minorEastAsia" w:hint="eastAsia"/>
          <w:sz w:val="24"/>
        </w:rPr>
        <w:t>；</w:t>
      </w:r>
    </w:p>
    <w:p w:rsidR="00201BD9" w:rsidRPr="00F1414E" w:rsidRDefault="004E2903" w:rsidP="00F1414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A315A2" w:rsidRPr="00F1414E">
        <w:rPr>
          <w:rFonts w:asciiTheme="minorEastAsia" w:eastAsiaTheme="minorEastAsia" w:hAnsiTheme="minorEastAsia" w:hint="eastAsia"/>
          <w:sz w:val="24"/>
        </w:rPr>
        <w:t>、</w:t>
      </w:r>
      <w:r w:rsidR="00BF5358">
        <w:rPr>
          <w:rFonts w:asciiTheme="minorEastAsia" w:eastAsiaTheme="minorEastAsia" w:hAnsiTheme="minorEastAsia" w:hint="eastAsia"/>
          <w:sz w:val="24"/>
        </w:rPr>
        <w:t>稠州银行</w:t>
      </w:r>
      <w:r w:rsidR="00F1414E" w:rsidRPr="00F1414E">
        <w:rPr>
          <w:rFonts w:asciiTheme="minorEastAsia" w:eastAsiaTheme="minorEastAsia" w:hAnsiTheme="minorEastAsia" w:hint="eastAsia"/>
          <w:sz w:val="24"/>
        </w:rPr>
        <w:t>增资</w:t>
      </w:r>
      <w:r>
        <w:rPr>
          <w:rFonts w:asciiTheme="minorEastAsia" w:eastAsiaTheme="minorEastAsia" w:hAnsiTheme="minorEastAsia" w:hint="eastAsia"/>
          <w:sz w:val="24"/>
        </w:rPr>
        <w:t>扩股方案</w:t>
      </w:r>
      <w:r w:rsidR="00F1414E" w:rsidRPr="00F1414E">
        <w:rPr>
          <w:rFonts w:asciiTheme="minorEastAsia" w:eastAsiaTheme="minorEastAsia" w:hAnsiTheme="minorEastAsia" w:hint="eastAsia"/>
          <w:sz w:val="24"/>
        </w:rPr>
        <w:t>。</w:t>
      </w:r>
    </w:p>
    <w:p w:rsidR="001770C6" w:rsidRDefault="008B2B27" w:rsidP="00F1414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特此公告。</w:t>
      </w:r>
    </w:p>
    <w:p w:rsidR="00201BD9" w:rsidRPr="005E19D9" w:rsidRDefault="00A315A2" w:rsidP="00266DC0">
      <w:pPr>
        <w:adjustRightInd w:val="0"/>
        <w:snapToGrid w:val="0"/>
        <w:spacing w:line="360" w:lineRule="auto"/>
        <w:ind w:right="360" w:firstLineChars="176" w:firstLine="422"/>
        <w:jc w:val="righ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江苏华西村</w:t>
      </w:r>
      <w:r w:rsidR="00201BD9" w:rsidRPr="005E19D9">
        <w:rPr>
          <w:rFonts w:asciiTheme="minorEastAsia" w:eastAsiaTheme="minorEastAsia" w:hAnsiTheme="minorEastAsia" w:hint="eastAsia"/>
          <w:sz w:val="24"/>
        </w:rPr>
        <w:t>股份有限公司董事会</w:t>
      </w:r>
    </w:p>
    <w:p w:rsidR="00DE755F" w:rsidRPr="005E19D9" w:rsidRDefault="001770C6" w:rsidP="00F1414E">
      <w:pPr>
        <w:adjustRightInd w:val="0"/>
        <w:snapToGrid w:val="0"/>
        <w:spacing w:line="360" w:lineRule="auto"/>
        <w:ind w:right="480" w:firstLineChars="176" w:firstLine="422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</w:t>
      </w:r>
      <w:r w:rsidR="00266DC0">
        <w:rPr>
          <w:rFonts w:asciiTheme="minorEastAsia" w:eastAsiaTheme="minorEastAsia" w:hAnsiTheme="minorEastAsia" w:hint="eastAsia"/>
          <w:sz w:val="24"/>
        </w:rPr>
        <w:t xml:space="preserve">                            </w:t>
      </w:r>
      <w:r w:rsidR="00A315A2">
        <w:rPr>
          <w:rFonts w:asciiTheme="minorEastAsia" w:eastAsiaTheme="minorEastAsia" w:hAnsiTheme="minorEastAsia" w:hint="eastAsia"/>
          <w:sz w:val="24"/>
        </w:rPr>
        <w:t>202</w:t>
      </w:r>
      <w:r w:rsidR="004E2903">
        <w:rPr>
          <w:rFonts w:asciiTheme="minorEastAsia" w:eastAsiaTheme="minorEastAsia" w:hAnsiTheme="minorEastAsia" w:hint="eastAsia"/>
          <w:sz w:val="24"/>
        </w:rPr>
        <w:t>2</w:t>
      </w:r>
      <w:r w:rsidR="00201BD9" w:rsidRPr="005E19D9">
        <w:rPr>
          <w:rFonts w:asciiTheme="minorEastAsia" w:eastAsiaTheme="minorEastAsia" w:hAnsiTheme="minorEastAsia" w:hint="eastAsia"/>
          <w:sz w:val="24"/>
        </w:rPr>
        <w:t>年</w:t>
      </w:r>
      <w:r w:rsidR="004E2903">
        <w:rPr>
          <w:rFonts w:asciiTheme="minorEastAsia" w:eastAsiaTheme="minorEastAsia" w:hAnsiTheme="minorEastAsia" w:hint="eastAsia"/>
          <w:sz w:val="24"/>
        </w:rPr>
        <w:t>10</w:t>
      </w:r>
      <w:r w:rsidR="00201BD9" w:rsidRPr="005E19D9">
        <w:rPr>
          <w:rFonts w:asciiTheme="minorEastAsia" w:eastAsiaTheme="minorEastAsia" w:hAnsiTheme="minorEastAsia" w:hint="eastAsia"/>
          <w:sz w:val="24"/>
        </w:rPr>
        <w:t>月</w:t>
      </w:r>
      <w:r w:rsidR="00476A58">
        <w:rPr>
          <w:rFonts w:asciiTheme="minorEastAsia" w:eastAsiaTheme="minorEastAsia" w:hAnsiTheme="minorEastAsia" w:hint="eastAsia"/>
          <w:sz w:val="24"/>
        </w:rPr>
        <w:t>27</w:t>
      </w:r>
      <w:r w:rsidR="007C3BC3">
        <w:rPr>
          <w:rFonts w:asciiTheme="minorEastAsia" w:eastAsiaTheme="minorEastAsia" w:hAnsiTheme="minorEastAsia" w:hint="eastAsia"/>
          <w:sz w:val="24"/>
        </w:rPr>
        <w:t>日</w:t>
      </w:r>
    </w:p>
    <w:sectPr w:rsidR="00DE755F" w:rsidRPr="005E19D9" w:rsidSect="00DE75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13" w:rsidRDefault="00A05813" w:rsidP="005E19D9">
      <w:r>
        <w:separator/>
      </w:r>
    </w:p>
  </w:endnote>
  <w:endnote w:type="continuationSeparator" w:id="0">
    <w:p w:rsidR="00A05813" w:rsidRDefault="00A05813" w:rsidP="005E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985251"/>
      <w:docPartObj>
        <w:docPartGallery w:val="Page Numbers (Bottom of Page)"/>
        <w:docPartUnique/>
      </w:docPartObj>
    </w:sdtPr>
    <w:sdtEndPr/>
    <w:sdtContent>
      <w:p w:rsidR="00492993" w:rsidRDefault="00675A3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1C8" w:rsidRPr="001141C8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492993" w:rsidRDefault="004929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13" w:rsidRDefault="00A05813" w:rsidP="005E19D9">
      <w:r>
        <w:separator/>
      </w:r>
    </w:p>
  </w:footnote>
  <w:footnote w:type="continuationSeparator" w:id="0">
    <w:p w:rsidR="00A05813" w:rsidRDefault="00A05813" w:rsidP="005E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BD9"/>
    <w:rsid w:val="0000303B"/>
    <w:rsid w:val="00013E6F"/>
    <w:rsid w:val="00026CC7"/>
    <w:rsid w:val="000273F8"/>
    <w:rsid w:val="00040870"/>
    <w:rsid w:val="00053891"/>
    <w:rsid w:val="000E62DE"/>
    <w:rsid w:val="000F3DAD"/>
    <w:rsid w:val="000F4E8B"/>
    <w:rsid w:val="001141C8"/>
    <w:rsid w:val="0012121A"/>
    <w:rsid w:val="00127C02"/>
    <w:rsid w:val="00132702"/>
    <w:rsid w:val="0014490C"/>
    <w:rsid w:val="001474EB"/>
    <w:rsid w:val="001770C6"/>
    <w:rsid w:val="00183944"/>
    <w:rsid w:val="001940DE"/>
    <w:rsid w:val="00197445"/>
    <w:rsid w:val="001C36D8"/>
    <w:rsid w:val="001C3ABF"/>
    <w:rsid w:val="001C5E3B"/>
    <w:rsid w:val="00201BD9"/>
    <w:rsid w:val="00264B89"/>
    <w:rsid w:val="00266DC0"/>
    <w:rsid w:val="00274879"/>
    <w:rsid w:val="002C666E"/>
    <w:rsid w:val="002F608C"/>
    <w:rsid w:val="0030474D"/>
    <w:rsid w:val="00307FE7"/>
    <w:rsid w:val="00315359"/>
    <w:rsid w:val="00315EC4"/>
    <w:rsid w:val="003238EB"/>
    <w:rsid w:val="0032550B"/>
    <w:rsid w:val="00334E72"/>
    <w:rsid w:val="00342F81"/>
    <w:rsid w:val="0034536A"/>
    <w:rsid w:val="00366D95"/>
    <w:rsid w:val="003A0E7A"/>
    <w:rsid w:val="003A7222"/>
    <w:rsid w:val="003B2B89"/>
    <w:rsid w:val="003B5EF7"/>
    <w:rsid w:val="003C4066"/>
    <w:rsid w:val="003C5F4D"/>
    <w:rsid w:val="003C74FE"/>
    <w:rsid w:val="003E0859"/>
    <w:rsid w:val="003F262A"/>
    <w:rsid w:val="003F7DC4"/>
    <w:rsid w:val="00422787"/>
    <w:rsid w:val="00437960"/>
    <w:rsid w:val="004608B6"/>
    <w:rsid w:val="00467E8A"/>
    <w:rsid w:val="004757E6"/>
    <w:rsid w:val="00476A58"/>
    <w:rsid w:val="00492993"/>
    <w:rsid w:val="004C4032"/>
    <w:rsid w:val="004D6FAC"/>
    <w:rsid w:val="004D7ACF"/>
    <w:rsid w:val="004E2903"/>
    <w:rsid w:val="004E35B5"/>
    <w:rsid w:val="005063D4"/>
    <w:rsid w:val="00525C0C"/>
    <w:rsid w:val="005273A9"/>
    <w:rsid w:val="0053586D"/>
    <w:rsid w:val="00541011"/>
    <w:rsid w:val="005566AD"/>
    <w:rsid w:val="00560404"/>
    <w:rsid w:val="00567C2A"/>
    <w:rsid w:val="005765BF"/>
    <w:rsid w:val="005C4F3F"/>
    <w:rsid w:val="005E19D9"/>
    <w:rsid w:val="006022CE"/>
    <w:rsid w:val="00607281"/>
    <w:rsid w:val="006426A3"/>
    <w:rsid w:val="00646A39"/>
    <w:rsid w:val="00667816"/>
    <w:rsid w:val="00675A3A"/>
    <w:rsid w:val="006850A8"/>
    <w:rsid w:val="00686477"/>
    <w:rsid w:val="00686483"/>
    <w:rsid w:val="006B21E1"/>
    <w:rsid w:val="007357D4"/>
    <w:rsid w:val="007442C2"/>
    <w:rsid w:val="00744EEE"/>
    <w:rsid w:val="00783194"/>
    <w:rsid w:val="007A41CB"/>
    <w:rsid w:val="007A6F05"/>
    <w:rsid w:val="007C3BC3"/>
    <w:rsid w:val="007C7A5D"/>
    <w:rsid w:val="007D5855"/>
    <w:rsid w:val="007F6E8B"/>
    <w:rsid w:val="007F7B04"/>
    <w:rsid w:val="008502C2"/>
    <w:rsid w:val="0087250C"/>
    <w:rsid w:val="00876747"/>
    <w:rsid w:val="00881EB5"/>
    <w:rsid w:val="00884818"/>
    <w:rsid w:val="008A568F"/>
    <w:rsid w:val="008B2B27"/>
    <w:rsid w:val="008D6502"/>
    <w:rsid w:val="008D6881"/>
    <w:rsid w:val="008E10A8"/>
    <w:rsid w:val="009054DE"/>
    <w:rsid w:val="00905D3D"/>
    <w:rsid w:val="009114C7"/>
    <w:rsid w:val="00924E4C"/>
    <w:rsid w:val="009567E7"/>
    <w:rsid w:val="00995A50"/>
    <w:rsid w:val="009A56AA"/>
    <w:rsid w:val="009F4C72"/>
    <w:rsid w:val="00A05813"/>
    <w:rsid w:val="00A23006"/>
    <w:rsid w:val="00A2709D"/>
    <w:rsid w:val="00A3054C"/>
    <w:rsid w:val="00A315A2"/>
    <w:rsid w:val="00A74288"/>
    <w:rsid w:val="00AC2CA2"/>
    <w:rsid w:val="00B03B7D"/>
    <w:rsid w:val="00BA5631"/>
    <w:rsid w:val="00BC1E15"/>
    <w:rsid w:val="00BC3C1E"/>
    <w:rsid w:val="00BE5003"/>
    <w:rsid w:val="00BF5358"/>
    <w:rsid w:val="00BF681E"/>
    <w:rsid w:val="00C27554"/>
    <w:rsid w:val="00C350B0"/>
    <w:rsid w:val="00C40FE7"/>
    <w:rsid w:val="00C4601E"/>
    <w:rsid w:val="00C94870"/>
    <w:rsid w:val="00CB066F"/>
    <w:rsid w:val="00CB0D2C"/>
    <w:rsid w:val="00CB4500"/>
    <w:rsid w:val="00CB6C72"/>
    <w:rsid w:val="00D05386"/>
    <w:rsid w:val="00D10749"/>
    <w:rsid w:val="00D6110E"/>
    <w:rsid w:val="00D73F0C"/>
    <w:rsid w:val="00D7498E"/>
    <w:rsid w:val="00D82F13"/>
    <w:rsid w:val="00D8334F"/>
    <w:rsid w:val="00D83A1D"/>
    <w:rsid w:val="00DE53FE"/>
    <w:rsid w:val="00DE6A64"/>
    <w:rsid w:val="00DE755F"/>
    <w:rsid w:val="00E60B94"/>
    <w:rsid w:val="00E75F56"/>
    <w:rsid w:val="00EC1D2E"/>
    <w:rsid w:val="00F12FC7"/>
    <w:rsid w:val="00F1414E"/>
    <w:rsid w:val="00F14183"/>
    <w:rsid w:val="00F205C8"/>
    <w:rsid w:val="00F24EAA"/>
    <w:rsid w:val="00F841A0"/>
    <w:rsid w:val="00F91662"/>
    <w:rsid w:val="00FB5BBC"/>
    <w:rsid w:val="00F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68648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9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9D9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F6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8648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efault">
    <w:name w:val="Default"/>
    <w:rsid w:val="004E35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E29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68</cp:revision>
  <cp:lastPrinted>2022-10-24T05:41:00Z</cp:lastPrinted>
  <dcterms:created xsi:type="dcterms:W3CDTF">2020-09-03T00:08:00Z</dcterms:created>
  <dcterms:modified xsi:type="dcterms:W3CDTF">2022-10-24T05:41:00Z</dcterms:modified>
</cp:coreProperties>
</file>