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7B" w:rsidRPr="007D0A8D" w:rsidRDefault="00817813" w:rsidP="007D0A8D">
      <w:pPr>
        <w:spacing w:before="200" w:after="360" w:line="560" w:lineRule="exact"/>
        <w:jc w:val="center"/>
        <w:rPr>
          <w:rFonts w:ascii="宋体" w:eastAsia="宋体" w:hAnsi="宋体" w:cs="宋体"/>
          <w:sz w:val="24"/>
          <w:szCs w:val="24"/>
        </w:rPr>
      </w:pPr>
      <w:r w:rsidRPr="007D0A8D">
        <w:rPr>
          <w:rFonts w:ascii="宋体" w:eastAsia="宋体" w:hAnsi="宋体" w:cs="宋体"/>
          <w:sz w:val="24"/>
          <w:szCs w:val="24"/>
        </w:rPr>
        <w:t>证券代码：000936                证券简称：华西股份        公告编号：2022-048</w:t>
      </w:r>
    </w:p>
    <w:p w:rsidR="00D2767B" w:rsidRPr="007D0A8D" w:rsidRDefault="00817813">
      <w:pPr>
        <w:spacing w:before="200" w:after="200" w:line="400" w:lineRule="exact"/>
        <w:jc w:val="center"/>
        <w:rPr>
          <w:rFonts w:ascii="黑体" w:eastAsia="黑体" w:hAnsi="黑体" w:cs="宋体"/>
          <w:b/>
          <w:bCs/>
          <w:sz w:val="30"/>
          <w:szCs w:val="30"/>
        </w:rPr>
      </w:pPr>
      <w:r w:rsidRPr="007D0A8D">
        <w:rPr>
          <w:rFonts w:ascii="黑体" w:eastAsia="黑体" w:hAnsi="黑体" w:cs="宋体"/>
          <w:b/>
          <w:bCs/>
          <w:sz w:val="30"/>
          <w:szCs w:val="30"/>
        </w:rPr>
        <w:t>江苏华西村股份有限公司</w:t>
      </w:r>
    </w:p>
    <w:p w:rsidR="00D2767B" w:rsidRDefault="00817813">
      <w:pPr>
        <w:spacing w:before="200" w:after="200" w:line="400" w:lineRule="exact"/>
        <w:jc w:val="center"/>
        <w:rPr>
          <w:rFonts w:ascii="黑体" w:eastAsia="黑体" w:hAnsi="黑体" w:cs="宋体"/>
          <w:b/>
          <w:bCs/>
          <w:sz w:val="30"/>
          <w:szCs w:val="30"/>
        </w:rPr>
      </w:pPr>
      <w:r w:rsidRPr="007D0A8D">
        <w:rPr>
          <w:rFonts w:ascii="黑体" w:eastAsia="黑体" w:hAnsi="黑体" w:cs="宋体"/>
          <w:b/>
          <w:bCs/>
          <w:sz w:val="30"/>
          <w:szCs w:val="30"/>
        </w:rPr>
        <w:t>2022年第三季度报告</w:t>
      </w:r>
    </w:p>
    <w:p w:rsidR="007D0A8D" w:rsidRDefault="007D0A8D" w:rsidP="007D0A8D">
      <w:pPr>
        <w:adjustRightInd w:val="0"/>
        <w:snapToGrid w:val="0"/>
        <w:spacing w:line="360" w:lineRule="auto"/>
        <w:rPr>
          <w:sz w:val="24"/>
          <w:szCs w:val="24"/>
        </w:rPr>
      </w:pPr>
      <w:r>
        <w:rPr>
          <w:sz w:val="24"/>
          <w:szCs w:val="24"/>
        </w:rPr>
        <w:t xml:space="preserve">  </w:t>
      </w:r>
    </w:p>
    <w:p w:rsidR="007D0A8D" w:rsidRPr="000F341E" w:rsidRDefault="007D0A8D" w:rsidP="000F341E">
      <w:pPr>
        <w:adjustRightInd w:val="0"/>
        <w:snapToGrid w:val="0"/>
        <w:spacing w:line="360" w:lineRule="auto"/>
        <w:ind w:firstLineChars="200" w:firstLine="420"/>
        <w:rPr>
          <w:rFonts w:ascii="黑体" w:eastAsia="黑体" w:hAnsi="黑体" w:cs="宋体"/>
          <w:b/>
          <w:bCs/>
          <w:szCs w:val="21"/>
        </w:rPr>
      </w:pPr>
      <w:r w:rsidRPr="000F341E">
        <w:rPr>
          <w:rFonts w:hint="eastAsia"/>
          <w:szCs w:val="21"/>
        </w:rPr>
        <w:t>本公司及董事会全体成员保证信息披露的内容真实、准确、完整，没有虚假记载、误导性陈述或重大遗漏。</w:t>
      </w:r>
    </w:p>
    <w:p w:rsidR="00D2767B" w:rsidRDefault="00817813">
      <w:pPr>
        <w:spacing w:before="40" w:after="40" w:line="420" w:lineRule="exact"/>
        <w:rPr>
          <w:rFonts w:ascii="宋体" w:eastAsia="宋体" w:hAnsi="宋体" w:cs="宋体"/>
          <w:b/>
          <w:bCs/>
          <w:sz w:val="24"/>
          <w:szCs w:val="24"/>
        </w:rPr>
      </w:pPr>
      <w:r>
        <w:rPr>
          <w:rFonts w:ascii="宋体" w:eastAsia="宋体" w:hAnsi="宋体" w:cs="宋体"/>
          <w:b/>
          <w:bCs/>
          <w:sz w:val="24"/>
          <w:szCs w:val="24"/>
        </w:rPr>
        <w:t>重要内容提示：</w:t>
      </w:r>
    </w:p>
    <w:p w:rsidR="00D2767B" w:rsidRPr="007D0A8D" w:rsidRDefault="00817813" w:rsidP="007D0A8D">
      <w:pPr>
        <w:spacing w:before="100" w:after="100" w:line="276" w:lineRule="auto"/>
        <w:rPr>
          <w:rFonts w:ascii="宋体" w:eastAsia="宋体" w:hAnsi="宋体" w:cs="宋体"/>
          <w:szCs w:val="21"/>
        </w:rPr>
      </w:pPr>
      <w:r w:rsidRPr="007D0A8D">
        <w:rPr>
          <w:rFonts w:ascii="宋体" w:eastAsia="宋体" w:hAnsi="宋体" w:cs="宋体"/>
          <w:szCs w:val="21"/>
        </w:rPr>
        <w:t>1.董事会、监事会及董事、监事、高级管理人员保证季度报告的真实、准确、完整，不存在虚假记载、误导性陈述或重大遗漏，并承担个别和连带的法律责任。</w:t>
      </w:r>
    </w:p>
    <w:p w:rsidR="00D2767B" w:rsidRPr="007D0A8D" w:rsidRDefault="00817813" w:rsidP="007D0A8D">
      <w:pPr>
        <w:spacing w:before="100" w:after="100" w:line="276" w:lineRule="auto"/>
        <w:rPr>
          <w:rFonts w:ascii="宋体" w:eastAsia="宋体" w:hAnsi="宋体" w:cs="宋体"/>
          <w:szCs w:val="21"/>
        </w:rPr>
      </w:pPr>
      <w:r w:rsidRPr="007D0A8D">
        <w:rPr>
          <w:rFonts w:ascii="宋体" w:eastAsia="宋体" w:hAnsi="宋体" w:cs="宋体"/>
          <w:szCs w:val="21"/>
        </w:rPr>
        <w:t>2.公司负责人、主管会计工作负责人及会计机构负责人(会计主管人员)声明：保证季度报告中财务信息的真实、准确、完整。</w:t>
      </w:r>
    </w:p>
    <w:p w:rsidR="00D2767B" w:rsidRPr="007D0A8D" w:rsidRDefault="00817813" w:rsidP="007D0A8D">
      <w:pPr>
        <w:spacing w:before="100" w:after="100" w:line="276" w:lineRule="auto"/>
        <w:rPr>
          <w:rFonts w:ascii="宋体" w:eastAsia="宋体" w:hAnsi="宋体" w:cs="宋体"/>
          <w:szCs w:val="21"/>
        </w:rPr>
      </w:pPr>
      <w:r w:rsidRPr="007D0A8D">
        <w:rPr>
          <w:rFonts w:ascii="宋体" w:eastAsia="宋体" w:hAnsi="宋体" w:cs="宋体"/>
          <w:szCs w:val="21"/>
        </w:rPr>
        <w:t>3.第三季度报告是否经过审计</w:t>
      </w:r>
      <w:bookmarkStart w:id="0" w:name="_GoBack"/>
      <w:bookmarkEnd w:id="0"/>
    </w:p>
    <w:p w:rsidR="00D2767B" w:rsidRPr="007D0A8D" w:rsidRDefault="00817813" w:rsidP="007D0A8D">
      <w:pPr>
        <w:spacing w:before="100" w:after="100" w:line="276" w:lineRule="auto"/>
        <w:rPr>
          <w:rFonts w:ascii="宋体" w:eastAsia="宋体" w:hAnsi="宋体" w:cs="宋体"/>
          <w:szCs w:val="21"/>
        </w:rPr>
      </w:pPr>
      <w:r w:rsidRPr="007D0A8D">
        <w:rPr>
          <w:rFonts w:ascii="宋体" w:eastAsia="宋体" w:hAnsi="宋体" w:cs="宋体"/>
          <w:szCs w:val="21"/>
        </w:rPr>
        <w:t xml:space="preserve">□是 </w:t>
      </w:r>
      <w:r w:rsidRPr="007D0A8D">
        <w:rPr>
          <w:rFonts w:ascii="宋体" w:eastAsia="宋体" w:hAnsi="宋体" w:cs="宋体"/>
          <w:szCs w:val="21"/>
        </w:rPr>
        <w:sym w:font="Wingdings 2" w:char="F052"/>
      </w:r>
      <w:r w:rsidRPr="007D0A8D">
        <w:rPr>
          <w:rFonts w:ascii="宋体" w:eastAsia="宋体" w:hAnsi="宋体" w:cs="宋体"/>
          <w:szCs w:val="21"/>
        </w:rPr>
        <w:t>否</w:t>
      </w:r>
    </w:p>
    <w:p w:rsidR="007D0A8D" w:rsidRDefault="007D0A8D" w:rsidP="007D0A8D">
      <w:pPr>
        <w:rPr>
          <w:rFonts w:ascii="宋体" w:eastAsia="宋体" w:hAnsi="宋体" w:cs="宋体"/>
          <w:b/>
          <w:bCs/>
          <w:sz w:val="24"/>
          <w:szCs w:val="24"/>
        </w:rPr>
      </w:pPr>
      <w:bookmarkStart w:id="1" w:name="_Toc988889"/>
    </w:p>
    <w:p w:rsidR="00D2767B" w:rsidRDefault="00817813" w:rsidP="007D0A8D">
      <w:pPr>
        <w:rPr>
          <w:rFonts w:ascii="宋体" w:eastAsia="宋体" w:hAnsi="宋体" w:cs="宋体"/>
          <w:b/>
          <w:bCs/>
          <w:sz w:val="24"/>
          <w:szCs w:val="24"/>
        </w:rPr>
      </w:pPr>
      <w:r>
        <w:rPr>
          <w:rFonts w:ascii="宋体" w:eastAsia="宋体" w:hAnsi="宋体" w:cs="宋体"/>
          <w:b/>
          <w:bCs/>
          <w:sz w:val="24"/>
          <w:szCs w:val="24"/>
        </w:rPr>
        <w:t>一、主要财务数据</w:t>
      </w:r>
      <w:bookmarkEnd w:id="1"/>
    </w:p>
    <w:p w:rsidR="00D2767B" w:rsidRDefault="00817813">
      <w:pPr>
        <w:pStyle w:val="2"/>
        <w:spacing w:before="300" w:after="300" w:line="280" w:lineRule="exact"/>
        <w:rPr>
          <w:rFonts w:ascii="宋体" w:eastAsia="宋体" w:hAnsi="宋体" w:cs="宋体"/>
          <w:b/>
          <w:bCs/>
        </w:rPr>
      </w:pPr>
      <w:bookmarkStart w:id="2" w:name="_Toc988890"/>
      <w:r>
        <w:rPr>
          <w:rFonts w:ascii="宋体" w:eastAsia="宋体" w:hAnsi="宋体" w:cs="宋体"/>
          <w:b/>
          <w:bCs/>
        </w:rPr>
        <w:t>（一） 主要会计数据和财务指标</w:t>
      </w:r>
      <w:bookmarkEnd w:id="2"/>
    </w:p>
    <w:p w:rsidR="00D2767B" w:rsidRDefault="00817813">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D2767B" w:rsidRDefault="00817813">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期末比上年同期增减</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739,557,993.62</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27.86%</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2,216,949,007.76</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23.96%</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48,923,201.81</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160.64%</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147,651,252.88</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-52.65%</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49,100,188.05</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160.76%</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147,303,670.59</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-52.65%</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-117,381,346.31</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-213.33%</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166.67%</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-51.43%</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166.67%</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-51.43%</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0.97%</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1924F2" w:rsidP="001924F2">
            <w:pPr>
              <w:spacing w:line="240" w:lineRule="exact"/>
              <w:jc w:val="right"/>
              <w:rPr>
                <w:rFonts w:ascii="宋体" w:eastAsia="宋体" w:hAnsi="宋体" w:cs="宋体"/>
                <w:sz w:val="18"/>
                <w:szCs w:val="18"/>
              </w:rPr>
            </w:pPr>
            <w:r>
              <w:rPr>
                <w:rFonts w:ascii="宋体" w:eastAsia="宋体" w:hAnsi="宋体" w:cs="宋体"/>
                <w:sz w:val="18"/>
                <w:szCs w:val="18"/>
              </w:rPr>
              <w:t>增加了</w:t>
            </w:r>
            <w:r w:rsidR="00817813">
              <w:rPr>
                <w:rFonts w:ascii="宋体" w:eastAsia="宋体" w:hAnsi="宋体" w:cs="宋体"/>
                <w:sz w:val="18"/>
                <w:szCs w:val="18"/>
              </w:rPr>
              <w:t>2.55</w:t>
            </w:r>
            <w:r>
              <w:rPr>
                <w:rFonts w:ascii="宋体" w:eastAsia="宋体" w:hAnsi="宋体" w:cs="宋体"/>
                <w:sz w:val="18"/>
                <w:szCs w:val="18"/>
              </w:rPr>
              <w:t>个百分点</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2.92%</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1924F2" w:rsidP="001924F2">
            <w:pPr>
              <w:spacing w:line="240" w:lineRule="exact"/>
              <w:jc w:val="right"/>
              <w:rPr>
                <w:rFonts w:ascii="宋体" w:eastAsia="宋体" w:hAnsi="宋体" w:cs="宋体"/>
                <w:sz w:val="18"/>
                <w:szCs w:val="18"/>
              </w:rPr>
            </w:pPr>
            <w:r>
              <w:rPr>
                <w:rFonts w:ascii="宋体" w:eastAsia="宋体" w:hAnsi="宋体" w:cs="宋体"/>
                <w:sz w:val="18"/>
                <w:szCs w:val="18"/>
              </w:rPr>
              <w:t>减少了</w:t>
            </w:r>
            <w:r w:rsidR="00817813">
              <w:rPr>
                <w:rFonts w:ascii="宋体" w:eastAsia="宋体" w:hAnsi="宋体" w:cs="宋体"/>
                <w:sz w:val="18"/>
                <w:szCs w:val="18"/>
              </w:rPr>
              <w:t>3.51</w:t>
            </w:r>
            <w:r>
              <w:rPr>
                <w:rFonts w:ascii="宋体" w:eastAsia="宋体" w:hAnsi="宋体" w:cs="宋体"/>
                <w:sz w:val="18"/>
                <w:szCs w:val="18"/>
              </w:rPr>
              <w:t>个百分点</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6,435,325,881.22</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6,723,135,632.50</w:t>
            </w:r>
          </w:p>
        </w:tc>
        <w:tc>
          <w:tcPr>
            <w:tcW w:w="3856"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-4.28%</w:t>
            </w:r>
          </w:p>
        </w:tc>
      </w:tr>
      <w:tr w:rsidR="00D2767B">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5,008,033,101.58</w:t>
            </w:r>
          </w:p>
        </w:tc>
        <w:tc>
          <w:tcPr>
            <w:tcW w:w="1928"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3856"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0.03%</w:t>
            </w:r>
          </w:p>
        </w:tc>
      </w:tr>
    </w:tbl>
    <w:p w:rsidR="00D2767B" w:rsidRDefault="00D2767B">
      <w:pPr>
        <w:spacing w:before="100" w:after="100" w:line="0" w:lineRule="atLeast"/>
      </w:pPr>
    </w:p>
    <w:p w:rsidR="00D2767B" w:rsidRDefault="00817813">
      <w:pPr>
        <w:pStyle w:val="2"/>
        <w:spacing w:before="300" w:after="300" w:line="280" w:lineRule="exact"/>
        <w:rPr>
          <w:rFonts w:ascii="宋体" w:eastAsia="宋体" w:hAnsi="宋体" w:cs="宋体"/>
          <w:b/>
          <w:bCs/>
        </w:rPr>
      </w:pPr>
      <w:bookmarkStart w:id="3" w:name="_Toc988891"/>
      <w:r>
        <w:rPr>
          <w:rFonts w:ascii="宋体" w:eastAsia="宋体" w:hAnsi="宋体" w:cs="宋体"/>
          <w:b/>
          <w:bCs/>
        </w:rPr>
        <w:t>（二） 非经常性损益项目和金额</w:t>
      </w:r>
      <w:bookmarkEnd w:id="3"/>
    </w:p>
    <w:p w:rsidR="00D2767B" w:rsidRDefault="00817813">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2767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说明</w:t>
            </w:r>
          </w:p>
        </w:tc>
      </w:tr>
      <w:tr w:rsidR="00D2767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r>
      <w:tr w:rsidR="00D2767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168,656.94</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1,463,788.10</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r>
      <w:tr w:rsidR="00D2767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-397,877.24</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-792,728.59</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r>
      <w:tr w:rsidR="00D2767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减：所得税影响额</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-57,305.08</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166,619.24</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r>
      <w:tr w:rsidR="00D2767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5,071.02</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152,275.45</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r>
      <w:tr w:rsidR="00D2767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-176,986.24</w:t>
            </w:r>
          </w:p>
        </w:tc>
        <w:tc>
          <w:tcPr>
            <w:tcW w:w="2410"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347,582.29</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D2767B" w:rsidRDefault="00817813">
      <w:pPr>
        <w:spacing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D2767B" w:rsidRDefault="00817813">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2767B" w:rsidRDefault="00817813">
      <w:pPr>
        <w:spacing w:before="40" w:after="4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D2767B" w:rsidRDefault="00817813">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D2767B" w:rsidRDefault="00817813">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原因</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18,804,294.75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rsidP="000F2B5A">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生的公允价值变动损益，以及处置交易性金融资产和可供出售金融资产取得的投资收益均来自于公司及子公司，系公司的经常性损益。</w:t>
            </w:r>
          </w:p>
        </w:tc>
      </w:tr>
    </w:tbl>
    <w:p w:rsidR="00D2767B" w:rsidRDefault="00817813">
      <w:pPr>
        <w:pStyle w:val="2"/>
        <w:spacing w:before="300" w:after="300" w:line="280" w:lineRule="exact"/>
        <w:rPr>
          <w:rFonts w:ascii="宋体" w:eastAsia="宋体" w:hAnsi="宋体" w:cs="宋体"/>
          <w:b/>
          <w:bCs/>
        </w:rPr>
      </w:pPr>
      <w:bookmarkStart w:id="4" w:name="_Toc988892"/>
      <w:r>
        <w:rPr>
          <w:rFonts w:ascii="宋体" w:eastAsia="宋体" w:hAnsi="宋体" w:cs="宋体"/>
          <w:b/>
          <w:bCs/>
        </w:rPr>
        <w:t>（三） 主要会计数据和财务指标发生变动的情况及原因</w:t>
      </w:r>
      <w:bookmarkEnd w:id="4"/>
    </w:p>
    <w:p w:rsidR="00D2767B" w:rsidRDefault="00817813">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1、交易性金融资产期末余额较年初数减少了47.27%，主要原因是本期处置了部分江苏银行股票和赎回了银行理财产品。</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2、应收账款期末余额较年初数增加了38.22%，主要原因是期末应收的化纤出口销售货款增加。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3、预付款项期末余额较年初数增加了456.31%，主要原因是期末预付的化纤原材料款增加。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4、其他应收款期末余额较年初数增加了2,034.80万元，主要原因是期末增加了被投资单位宣告发放尚未收到的股利分配款。</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5、其他流动资产期末余额较年初数减少了72.05%，主要原因是期末增值税的留抵税额减少。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6、在建工程期末余额较年初数增加了76.30%，主要原因是本期增加了聚酯车间技改、化工码头废气回收设备改造等投入。</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7、其他非流动资产期末余额较年初数减少了54.49%，主要原因是期末预付的长期资产构建款项减少。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8、应付票据期末余额较年初数减少了5,000万元，主要原因是减少了使用票据结算方式采购原材料。</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lastRenderedPageBreak/>
        <w:t>9、应付账款期末余额较年初数增加了49.51%，主要原因是期末应付的进口原材料款增加。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10、预收款项期末余额较年初数增加了90.46%，主要原因是期末预收的</w:t>
      </w:r>
      <w:proofErr w:type="gramStart"/>
      <w:r>
        <w:rPr>
          <w:rFonts w:cs="Times New Roman" w:hint="eastAsia"/>
          <w:sz w:val="18"/>
          <w:szCs w:val="18"/>
        </w:rPr>
        <w:t>仓储款</w:t>
      </w:r>
      <w:proofErr w:type="gramEnd"/>
      <w:r>
        <w:rPr>
          <w:rFonts w:cs="Times New Roman" w:hint="eastAsia"/>
          <w:sz w:val="18"/>
          <w:szCs w:val="18"/>
        </w:rPr>
        <w:t>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11、应交税费期末余额较年初数减少了86.63%，主要原因是期末应交所得税减少。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12、其他应付款期末余额较年初数增加了94.40万元，主要原因是期末应付的押金款增加。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13、其他综合收益期末余额较年初数减少了187.45%，主要原因是期末权益法下在被投资单位以后将重分类进损益的其他综合收益中享有的份额减少。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14、少数股东权益期末余额较年初数减少了12,361.39万元，主要原因是公司收购了控股子公司江阴华西化工码头有限公司25%少数股权。</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15、营业成本本期金额比上年同期增加了31.44%，主要原因是本期</w:t>
      </w:r>
      <w:r w:rsidR="003200EA">
        <w:rPr>
          <w:rFonts w:cs="Times New Roman" w:hint="eastAsia"/>
          <w:sz w:val="18"/>
          <w:szCs w:val="18"/>
        </w:rPr>
        <w:t>化纤</w:t>
      </w:r>
      <w:r>
        <w:rPr>
          <w:rFonts w:cs="Times New Roman" w:hint="eastAsia"/>
          <w:sz w:val="18"/>
          <w:szCs w:val="18"/>
        </w:rPr>
        <w:t>原材料</w:t>
      </w:r>
      <w:r w:rsidR="003200EA">
        <w:rPr>
          <w:rFonts w:cs="Times New Roman" w:hint="eastAsia"/>
          <w:sz w:val="18"/>
          <w:szCs w:val="18"/>
        </w:rPr>
        <w:t>精对苯二甲酸</w:t>
      </w:r>
      <w:r>
        <w:rPr>
          <w:rFonts w:cs="Times New Roman" w:hint="eastAsia"/>
          <w:sz w:val="18"/>
          <w:szCs w:val="18"/>
        </w:rPr>
        <w:t>价格上涨。</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16、销售费用本期金额比上年同期增加了171.01万元，主要原因是本期销售业务费比上年同期增加。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17、财务费用本期金额比上年同期减少了82.42%，主要原因是上年同期公司持有应付债券和长期借款，而本年</w:t>
      </w:r>
      <w:proofErr w:type="gramStart"/>
      <w:r>
        <w:rPr>
          <w:rFonts w:cs="Times New Roman" w:hint="eastAsia"/>
          <w:sz w:val="18"/>
          <w:szCs w:val="18"/>
        </w:rPr>
        <w:t>同期无</w:t>
      </w:r>
      <w:proofErr w:type="gramEnd"/>
      <w:r>
        <w:rPr>
          <w:rFonts w:cs="Times New Roman" w:hint="eastAsia"/>
          <w:sz w:val="18"/>
          <w:szCs w:val="18"/>
        </w:rPr>
        <w:t>此项，相应利息支出减少。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18、其他收益本期金额比上年同期增加了50.78%，主要原因是本期收到的政府补助款比上年同期增加。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19、投资收益本期金额比上年同期减少了45.61%，主要原因是本期处置交易性金融资产取得的投资收益比上年同期减少。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20、公允价值变动收益本期金额比上年同期减少了132.48%，主要原因是本期持有的金融资产产生的公允价值变动收益比上年同期减少。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21、信用减值损失本期金额比上年同期减少了125.52%，主要原因是本期计提的坏账准备比上年同期增加。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22、营业外支出本期金额比上年同期增加了98.44万元，主要原因是本期对外捐赠款比上年同期增加。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23、所得税费用本期金额比上年同期减少了62.80%，主要原因是本期利润总额减少影响本期所得税费用比上年同期减少。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24、归属于母公司所有者的净利润本期金额比上年同期减少了52.65%，主要原因是公司持有的金融资产本期的处置收益和公允价值变动收益比上年同期减少。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25、经营活动产生的现金流量净额本期金额比上年同期金额减少了213.33%，主要原因是本期支付的各项税费比上年同期增加。</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26、投资活动产生的现金流量净额本期金额比上年同期金额减少了77.36%，主要原因是是本期处置交易性金融资产收到的现金比上年同期减少。</w:t>
      </w:r>
    </w:p>
    <w:p w:rsidR="00B53893" w:rsidRDefault="00817813">
      <w:pPr>
        <w:pStyle w:val="a3"/>
        <w:spacing w:before="0" w:beforeAutospacing="0" w:after="0" w:afterAutospacing="0"/>
        <w:ind w:firstLine="360"/>
        <w:jc w:val="both"/>
        <w:divId w:val="427821950"/>
        <w:rPr>
          <w:rFonts w:ascii="Times New Roman" w:hAnsi="Times New Roman" w:cs="Times New Roman"/>
          <w:sz w:val="18"/>
          <w:szCs w:val="18"/>
        </w:rPr>
      </w:pPr>
      <w:r>
        <w:rPr>
          <w:rFonts w:cs="Times New Roman" w:hint="eastAsia"/>
          <w:sz w:val="18"/>
          <w:szCs w:val="18"/>
        </w:rPr>
        <w:t>27、筹资活动产生的现金流量净额本期金额比上年同期金额增加了76.48%，主要原因是是本期偿还债务支付的现金比上年同期减少。</w:t>
      </w:r>
    </w:p>
    <w:p w:rsidR="00D2767B" w:rsidRDefault="00817813">
      <w:pPr>
        <w:pStyle w:val="headingh1"/>
        <w:spacing w:before="300" w:after="300" w:line="320" w:lineRule="exact"/>
        <w:rPr>
          <w:rFonts w:ascii="宋体" w:eastAsia="宋体" w:hAnsi="宋体" w:cs="宋体"/>
          <w:b/>
          <w:bCs/>
          <w:sz w:val="24"/>
          <w:szCs w:val="24"/>
        </w:rPr>
      </w:pPr>
      <w:bookmarkStart w:id="5" w:name="_Toc988893"/>
      <w:r>
        <w:rPr>
          <w:rFonts w:ascii="宋体" w:eastAsia="宋体" w:hAnsi="宋体" w:cs="宋体"/>
          <w:b/>
          <w:bCs/>
          <w:sz w:val="24"/>
          <w:szCs w:val="24"/>
        </w:rPr>
        <w:t xml:space="preserve">二、股东信息 </w:t>
      </w:r>
      <w:bookmarkEnd w:id="5"/>
    </w:p>
    <w:p w:rsidR="00D2767B" w:rsidRDefault="00817813">
      <w:pPr>
        <w:pStyle w:val="2"/>
        <w:spacing w:before="300" w:after="300" w:line="280" w:lineRule="exact"/>
        <w:rPr>
          <w:rFonts w:ascii="宋体" w:eastAsia="宋体" w:hAnsi="宋体" w:cs="宋体"/>
          <w:b/>
          <w:bCs/>
        </w:rPr>
      </w:pPr>
      <w:bookmarkStart w:id="6" w:name="_Toc988894"/>
      <w:r>
        <w:rPr>
          <w:rFonts w:ascii="宋体" w:eastAsia="宋体" w:hAnsi="宋体" w:cs="宋体"/>
          <w:b/>
          <w:bCs/>
        </w:rPr>
        <w:t>（一） 普通股股东总数和表决权恢复的优先股股东数量及前十名股东持股情况表</w:t>
      </w:r>
      <w:bookmarkEnd w:id="6"/>
    </w:p>
    <w:p w:rsidR="00D2767B" w:rsidRDefault="00817813">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 xml:space="preserve">报告期末普通股股东总数 </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61,908</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2767B">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D2767B">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质押、标记 或冻结情况</w:t>
            </w:r>
          </w:p>
        </w:tc>
      </w:tr>
      <w:tr w:rsidR="00D2767B">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40.59%</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359,629,483.00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359,629,483</w:t>
            </w: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陈朝晖</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1.51%</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13,349,306.00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0.64%</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5,710,004.00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李蓬勃</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0.48%</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4,229,100.00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沈加权</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0.36%</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3,223,300.00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李敏</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lastRenderedPageBreak/>
              <w:t>薛培源</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2,897,600.00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任海森</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2,605,700.00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proofErr w:type="gramStart"/>
            <w:r>
              <w:rPr>
                <w:rFonts w:ascii="宋体" w:eastAsia="宋体" w:hAnsi="宋体" w:cs="宋体"/>
                <w:sz w:val="18"/>
                <w:szCs w:val="18"/>
              </w:rPr>
              <w:t>王申安</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2,508,000.00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黄跃</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0.27%</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2,356,600.00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股东持股情况</w:t>
            </w:r>
          </w:p>
        </w:tc>
      </w:tr>
      <w:tr w:rsidR="00D2767B">
        <w:trPr>
          <w:trHeight w:val="240"/>
        </w:trPr>
        <w:tc>
          <w:tcPr>
            <w:tcW w:w="275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4131"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持有无限</w:t>
            </w:r>
            <w:proofErr w:type="gramStart"/>
            <w:r>
              <w:rPr>
                <w:rFonts w:ascii="宋体" w:eastAsia="宋体" w:hAnsi="宋体" w:cs="宋体"/>
                <w:sz w:val="18"/>
                <w:szCs w:val="18"/>
              </w:rPr>
              <w:t>售条件</w:t>
            </w:r>
            <w:proofErr w:type="gramEnd"/>
            <w:r>
              <w:rPr>
                <w:rFonts w:ascii="宋体" w:eastAsia="宋体" w:hAnsi="宋体" w:cs="宋体"/>
                <w:sz w:val="18"/>
                <w:szCs w:val="18"/>
              </w:rPr>
              <w:t>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股份种类</w:t>
            </w:r>
          </w:p>
        </w:tc>
      </w:tr>
      <w:tr w:rsidR="00D2767B">
        <w:trPr>
          <w:trHeight w:val="240"/>
        </w:trPr>
        <w:tc>
          <w:tcPr>
            <w:tcW w:w="275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4131"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359,629,483.00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359,629,483</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陈朝晖</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13,349,306.00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13,349,306</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5,710,004.00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5,710,004</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李蓬勃</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4,229,100.00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4,229,100</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沈加权</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3,223,300.00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3,223,300</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李敏</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2,920,100</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薛培源</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2,897,600.00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2,897,600</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任海森</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2,605,700.00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2,605,700</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proofErr w:type="gramStart"/>
            <w:r>
              <w:rPr>
                <w:rFonts w:ascii="宋体" w:eastAsia="宋体" w:hAnsi="宋体" w:cs="宋体"/>
                <w:sz w:val="18"/>
                <w:szCs w:val="18"/>
              </w:rPr>
              <w:t>王申安</w:t>
            </w:r>
            <w:proofErr w:type="gramEnd"/>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2,508,000.00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2,508,000</w:t>
            </w:r>
          </w:p>
        </w:tc>
      </w:tr>
      <w:tr w:rsidR="00D2767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黄跃</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2,356,600.00</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2,356,600</w:t>
            </w:r>
          </w:p>
        </w:tc>
      </w:tr>
      <w:tr w:rsidR="00D2767B">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5508" w:type="dxa"/>
            <w:gridSpan w:val="4"/>
            <w:tcBorders>
              <w:top w:val="single" w:sz="2" w:space="0" w:color="auto"/>
              <w:left w:val="single" w:sz="2" w:space="0" w:color="auto"/>
              <w:bottom w:val="single" w:sz="2" w:space="0" w:color="auto"/>
              <w:right w:val="single" w:sz="2" w:space="0" w:color="auto"/>
            </w:tcBorders>
            <w:vAlign w:val="center"/>
          </w:tcPr>
          <w:p w:rsidR="00D2767B" w:rsidRDefault="00817813" w:rsidP="000F2B5A">
            <w:pPr>
              <w:spacing w:line="240" w:lineRule="exact"/>
              <w:jc w:val="both"/>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D2767B">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前10名股东参与融资融券业务情况说明（如有）</w:t>
            </w:r>
          </w:p>
        </w:tc>
        <w:tc>
          <w:tcPr>
            <w:tcW w:w="5508" w:type="dxa"/>
            <w:gridSpan w:val="4"/>
            <w:tcBorders>
              <w:top w:val="single" w:sz="2" w:space="0" w:color="auto"/>
              <w:left w:val="single" w:sz="2" w:space="0" w:color="auto"/>
              <w:bottom w:val="single" w:sz="2" w:space="0" w:color="auto"/>
              <w:right w:val="single" w:sz="2" w:space="0" w:color="auto"/>
            </w:tcBorders>
            <w:vAlign w:val="center"/>
          </w:tcPr>
          <w:p w:rsidR="00D2767B" w:rsidRDefault="00817813" w:rsidP="007D0A8D">
            <w:pPr>
              <w:spacing w:line="240" w:lineRule="exact"/>
              <w:jc w:val="both"/>
              <w:rPr>
                <w:rFonts w:ascii="宋体" w:eastAsia="宋体" w:hAnsi="宋体" w:cs="宋体"/>
                <w:sz w:val="18"/>
                <w:szCs w:val="18"/>
              </w:rPr>
            </w:pPr>
            <w:r>
              <w:rPr>
                <w:rFonts w:ascii="宋体" w:eastAsia="宋体" w:hAnsi="宋体" w:cs="宋体"/>
                <w:sz w:val="18"/>
                <w:szCs w:val="18"/>
              </w:rPr>
              <w:t>股东“陈朝晖”通过信用交易担保证券账户持有公司股票13,349,306股。</w:t>
            </w:r>
          </w:p>
          <w:p w:rsidR="00D2767B" w:rsidRDefault="00817813" w:rsidP="007D0A8D">
            <w:pPr>
              <w:spacing w:line="240" w:lineRule="exact"/>
              <w:jc w:val="both"/>
              <w:rPr>
                <w:rFonts w:ascii="宋体" w:eastAsia="宋体" w:hAnsi="宋体" w:cs="宋体"/>
                <w:sz w:val="18"/>
                <w:szCs w:val="18"/>
              </w:rPr>
            </w:pPr>
            <w:r>
              <w:rPr>
                <w:rFonts w:ascii="宋体" w:eastAsia="宋体" w:hAnsi="宋体" w:cs="宋体"/>
                <w:sz w:val="18"/>
                <w:szCs w:val="18"/>
              </w:rPr>
              <w:t>股东“杨光勇”通过信用交易担保证券账户持有公司股票5,710,004股。</w:t>
            </w:r>
          </w:p>
          <w:p w:rsidR="00D2767B" w:rsidRDefault="00817813" w:rsidP="007D0A8D">
            <w:pPr>
              <w:spacing w:line="240" w:lineRule="exact"/>
              <w:jc w:val="both"/>
              <w:rPr>
                <w:rFonts w:ascii="宋体" w:eastAsia="宋体" w:hAnsi="宋体" w:cs="宋体"/>
                <w:sz w:val="18"/>
                <w:szCs w:val="18"/>
              </w:rPr>
            </w:pPr>
            <w:r>
              <w:rPr>
                <w:rFonts w:ascii="宋体" w:eastAsia="宋体" w:hAnsi="宋体" w:cs="宋体"/>
                <w:sz w:val="18"/>
                <w:szCs w:val="18"/>
              </w:rPr>
              <w:t>股东“沈加权”通过信用交易担保证券账户持有公司股票3,223,300股。</w:t>
            </w:r>
          </w:p>
          <w:p w:rsidR="00D2767B" w:rsidRDefault="00817813" w:rsidP="007D0A8D">
            <w:pPr>
              <w:spacing w:line="240" w:lineRule="exact"/>
              <w:jc w:val="both"/>
              <w:rPr>
                <w:rFonts w:ascii="宋体" w:eastAsia="宋体" w:hAnsi="宋体" w:cs="宋体"/>
                <w:sz w:val="18"/>
                <w:szCs w:val="18"/>
              </w:rPr>
            </w:pPr>
            <w:r>
              <w:rPr>
                <w:rFonts w:ascii="宋体" w:eastAsia="宋体" w:hAnsi="宋体" w:cs="宋体"/>
                <w:sz w:val="18"/>
                <w:szCs w:val="18"/>
              </w:rPr>
              <w:t>股东“李敏”通过普通账户持有公司股票100股，通过信用交易担保证券账户持有公司股票2,920,000股。</w:t>
            </w:r>
          </w:p>
          <w:p w:rsidR="00D2767B" w:rsidRDefault="00817813" w:rsidP="007D0A8D">
            <w:pPr>
              <w:spacing w:line="240" w:lineRule="exact"/>
              <w:jc w:val="both"/>
              <w:rPr>
                <w:rFonts w:ascii="宋体" w:eastAsia="宋体" w:hAnsi="宋体" w:cs="宋体"/>
                <w:sz w:val="18"/>
                <w:szCs w:val="18"/>
              </w:rPr>
            </w:pPr>
            <w:r>
              <w:rPr>
                <w:rFonts w:ascii="宋体" w:eastAsia="宋体" w:hAnsi="宋体" w:cs="宋体"/>
                <w:sz w:val="18"/>
                <w:szCs w:val="18"/>
              </w:rPr>
              <w:t>股东“任海森”通过信用交易担保证券账户持有公司股票2,605,700股。</w:t>
            </w:r>
          </w:p>
          <w:p w:rsidR="00D2767B" w:rsidRDefault="00817813" w:rsidP="007D0A8D">
            <w:pPr>
              <w:spacing w:line="240" w:lineRule="exact"/>
              <w:jc w:val="both"/>
              <w:rPr>
                <w:rFonts w:ascii="宋体" w:eastAsia="宋体" w:hAnsi="宋体" w:cs="宋体"/>
                <w:sz w:val="18"/>
                <w:szCs w:val="18"/>
              </w:rPr>
            </w:pPr>
            <w:r>
              <w:rPr>
                <w:rFonts w:ascii="宋体" w:eastAsia="宋体" w:hAnsi="宋体" w:cs="宋体"/>
                <w:sz w:val="18"/>
                <w:szCs w:val="18"/>
              </w:rPr>
              <w:t>股东“王申安”通过信用交易担保证券账户持有公司股票2,508,000股。</w:t>
            </w:r>
          </w:p>
          <w:p w:rsidR="00D2767B" w:rsidRDefault="00817813" w:rsidP="007D0A8D">
            <w:pPr>
              <w:spacing w:line="240" w:lineRule="exact"/>
              <w:jc w:val="both"/>
              <w:rPr>
                <w:rFonts w:ascii="宋体" w:eastAsia="宋体" w:hAnsi="宋体" w:cs="宋体"/>
                <w:sz w:val="18"/>
                <w:szCs w:val="18"/>
              </w:rPr>
            </w:pPr>
            <w:r>
              <w:rPr>
                <w:rFonts w:ascii="宋体" w:eastAsia="宋体" w:hAnsi="宋体" w:cs="宋体"/>
                <w:sz w:val="18"/>
                <w:szCs w:val="18"/>
              </w:rPr>
              <w:t>股东“黄跃”通过普通账户持有公司股票1,606,600股，通过信用交易担保证券账户持有公司股票750,000股。</w:t>
            </w:r>
          </w:p>
        </w:tc>
      </w:tr>
    </w:tbl>
    <w:p w:rsidR="00D2767B" w:rsidRDefault="00817813">
      <w:pPr>
        <w:pStyle w:val="2"/>
        <w:spacing w:before="300" w:after="300" w:line="280" w:lineRule="exact"/>
        <w:rPr>
          <w:rFonts w:ascii="宋体" w:eastAsia="宋体" w:hAnsi="宋体" w:cs="宋体"/>
          <w:b/>
          <w:bCs/>
        </w:rPr>
      </w:pPr>
      <w:bookmarkStart w:id="7" w:name="_Toc988895"/>
      <w:r>
        <w:rPr>
          <w:rFonts w:ascii="宋体" w:eastAsia="宋体" w:hAnsi="宋体" w:cs="宋体"/>
          <w:b/>
          <w:bCs/>
        </w:rPr>
        <w:t>（二） 公司优先股股东总数及前10名优先股股东持股情况表</w:t>
      </w:r>
      <w:bookmarkEnd w:id="7"/>
    </w:p>
    <w:p w:rsidR="00D2767B" w:rsidRDefault="00817813">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2767B" w:rsidRDefault="00817813">
      <w:pPr>
        <w:pStyle w:val="headingh1"/>
        <w:spacing w:before="300" w:after="300" w:line="320" w:lineRule="exact"/>
        <w:rPr>
          <w:rFonts w:ascii="宋体" w:eastAsia="宋体" w:hAnsi="宋体" w:cs="宋体"/>
          <w:b/>
          <w:bCs/>
          <w:sz w:val="24"/>
          <w:szCs w:val="24"/>
        </w:rPr>
      </w:pPr>
      <w:bookmarkStart w:id="8" w:name="_Toc988896"/>
      <w:r>
        <w:rPr>
          <w:rFonts w:ascii="宋体" w:eastAsia="宋体" w:hAnsi="宋体" w:cs="宋体"/>
          <w:b/>
          <w:bCs/>
          <w:sz w:val="24"/>
          <w:szCs w:val="24"/>
        </w:rPr>
        <w:t>三、其他重要事项</w:t>
      </w:r>
      <w:bookmarkEnd w:id="8"/>
    </w:p>
    <w:p w:rsidR="00D2767B" w:rsidRDefault="00817813">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53893" w:rsidRDefault="00817813" w:rsidP="000F2B5A">
      <w:pPr>
        <w:pStyle w:val="a3"/>
        <w:ind w:firstLine="360"/>
        <w:jc w:val="both"/>
        <w:divId w:val="1698239066"/>
      </w:pPr>
      <w:r>
        <w:rPr>
          <w:rFonts w:hint="eastAsia"/>
          <w:sz w:val="18"/>
          <w:szCs w:val="18"/>
        </w:rPr>
        <w:t>报告期内，公司第八届董事会第十次会议、2021年度股东大会审议通过了《关于收购股权暨关联交易的议案》，公司拟以自有资金收购澄华国际有限公司持有的</w:t>
      </w:r>
      <w:r w:rsidR="003E286B">
        <w:rPr>
          <w:rFonts w:cs="Times New Roman" w:hint="eastAsia"/>
          <w:sz w:val="18"/>
          <w:szCs w:val="18"/>
        </w:rPr>
        <w:t>江阴华西化工码头有限公司</w:t>
      </w:r>
      <w:r>
        <w:rPr>
          <w:rFonts w:hint="eastAsia"/>
          <w:sz w:val="18"/>
          <w:szCs w:val="18"/>
        </w:rPr>
        <w:t>25%股权，交易总金额为25,000万元。本次交易完成后，公司将持有</w:t>
      </w:r>
      <w:r w:rsidR="003E286B">
        <w:rPr>
          <w:rFonts w:cs="Times New Roman" w:hint="eastAsia"/>
          <w:sz w:val="18"/>
          <w:szCs w:val="18"/>
        </w:rPr>
        <w:t>江阴华西化工码头有限公司</w:t>
      </w:r>
      <w:r>
        <w:rPr>
          <w:rFonts w:hint="eastAsia"/>
          <w:sz w:val="18"/>
          <w:szCs w:val="18"/>
        </w:rPr>
        <w:t>100%股权。截止报告期末，该项股权收购已经完成。详见公司于2022年4月27日、6月25日、9月23日刊登在《证券时报》和巨潮资讯网上的《第八届董事会第十次会议决议公告》（公告编号：2022-021）、《关于收购股权暨关联交易的公告》（公告编号：2022-013）、《2021年度股东大会决议公告》（公告编号：2022-034）、《关于收购股权暨关联交易的进展公告》（公告编号：2022-047)。</w:t>
      </w:r>
    </w:p>
    <w:p w:rsidR="00D2767B" w:rsidRDefault="00817813">
      <w:pPr>
        <w:pStyle w:val="headingh1"/>
        <w:spacing w:before="300" w:after="300" w:line="320" w:lineRule="exact"/>
        <w:rPr>
          <w:rFonts w:ascii="宋体" w:eastAsia="宋体" w:hAnsi="宋体" w:cs="宋体"/>
          <w:b/>
          <w:bCs/>
          <w:sz w:val="24"/>
          <w:szCs w:val="24"/>
        </w:rPr>
      </w:pPr>
      <w:bookmarkStart w:id="9" w:name="_Toc988897"/>
      <w:r>
        <w:rPr>
          <w:rFonts w:ascii="宋体" w:eastAsia="宋体" w:hAnsi="宋体" w:cs="宋体"/>
          <w:b/>
          <w:bCs/>
          <w:sz w:val="24"/>
          <w:szCs w:val="24"/>
        </w:rPr>
        <w:lastRenderedPageBreak/>
        <w:t>四、季度财务报表</w:t>
      </w:r>
      <w:bookmarkEnd w:id="9"/>
    </w:p>
    <w:p w:rsidR="00D2767B" w:rsidRDefault="00817813">
      <w:pPr>
        <w:pStyle w:val="2"/>
        <w:spacing w:before="300" w:after="300" w:line="280" w:lineRule="exact"/>
        <w:rPr>
          <w:rFonts w:ascii="宋体" w:eastAsia="宋体" w:hAnsi="宋体" w:cs="宋体"/>
          <w:b/>
          <w:bCs/>
        </w:rPr>
      </w:pPr>
      <w:bookmarkStart w:id="10" w:name="_Toc988898"/>
      <w:r>
        <w:rPr>
          <w:rFonts w:ascii="宋体" w:eastAsia="宋体" w:hAnsi="宋体" w:cs="宋体"/>
          <w:b/>
          <w:bCs/>
        </w:rPr>
        <w:t>（一） 财务报表</w:t>
      </w:r>
      <w:bookmarkEnd w:id="10"/>
    </w:p>
    <w:p w:rsidR="00D2767B" w:rsidRDefault="00817813">
      <w:pPr>
        <w:pStyle w:val="3"/>
        <w:spacing w:line="280" w:lineRule="exact"/>
        <w:jc w:val="left"/>
        <w:rPr>
          <w:rFonts w:ascii="宋体" w:hAnsi="宋体" w:cs="宋体"/>
          <w:b/>
          <w:bCs/>
        </w:rPr>
      </w:pPr>
      <w:bookmarkStart w:id="11" w:name="_Toc988899"/>
      <w:r>
        <w:rPr>
          <w:rFonts w:ascii="宋体" w:hAnsi="宋体" w:cs="宋体"/>
          <w:b/>
          <w:bCs/>
        </w:rPr>
        <w:t>1、合并资产负债表</w:t>
      </w:r>
      <w:bookmarkEnd w:id="11"/>
    </w:p>
    <w:p w:rsidR="00D2767B" w:rsidRDefault="00817813">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2022年09月30日</w:t>
      </w:r>
    </w:p>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2022年9月30日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2022年1月1日</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614,988,225.53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596,014,660.45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398,122,026.78</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754,949,214.92</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148,801,391.65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107,657,700.49</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207,252,460.18</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238,823,006.16</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66,958,028.54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12,036,075.10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21,461,834.77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1,113,807.69</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20,462,078.81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182,844,376.52</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227,933,501.48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4,537,558.02</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16,235,685.15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1,644,965,901.99</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1,954,763,651.44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3,554,459,119.63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3,541,409,576.43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708,302,746.75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393,930,595.17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422,883,986.83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96,966,662.98</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55,001,809.08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21,071,527.68</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21,656,222.93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10,565,242.85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10,461,958.87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2,999,220.00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6,590,816.00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4,790,359,979.23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4,768,371,981.06</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6,435,325,881.22</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6,723,135,632.50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lastRenderedPageBreak/>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1,147,337,341.67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1,080,884,129.07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50,000,000.00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95,916,802.93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64,154,964.31</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6,198,288.35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3,254,312.14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66,976,228.77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77,503,569.97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32,092,792.74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33,250,134.06</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29,123,116.24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217,891,257.76</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1,025,152.02</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81,108.60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7,689,860.47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10,851,271.75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1,386,359,583.19</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1,537,870,747.66</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40,933,196.45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55,207,337.89</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40,933,196.45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55,207,337.89</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1,427,292,779.64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1,593,078,085.55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392,268,131.93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493,599,374.78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-659,338.16</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-229,378.59</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413,197,242.85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3,317,214,177.96</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3,213,863,569.43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5,008,033,101.58</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5,006,443,695.47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123,613,851.48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5,008,033,101.58</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5,130,057,546.95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6,435,325,881.22</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6,723,135,632.50</w:t>
            </w:r>
          </w:p>
        </w:tc>
      </w:tr>
    </w:tbl>
    <w:p w:rsidR="00D2767B" w:rsidRDefault="00817813">
      <w:pPr>
        <w:spacing w:line="240" w:lineRule="exact"/>
        <w:rPr>
          <w:rFonts w:ascii="宋体" w:eastAsia="宋体" w:hAnsi="宋体" w:cs="宋体"/>
          <w:sz w:val="18"/>
          <w:szCs w:val="18"/>
        </w:rPr>
      </w:pPr>
      <w:r>
        <w:rPr>
          <w:rFonts w:ascii="宋体" w:eastAsia="宋体" w:hAnsi="宋体" w:cs="宋体"/>
          <w:sz w:val="18"/>
          <w:szCs w:val="18"/>
        </w:rPr>
        <w:lastRenderedPageBreak/>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7D0A8D">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7D0A8D">
        <w:rPr>
          <w:rFonts w:ascii="宋体" w:eastAsia="宋体" w:hAnsi="宋体" w:cs="宋体" w:hint="eastAsia"/>
          <w:sz w:val="18"/>
          <w:szCs w:val="18"/>
        </w:rPr>
        <w:t xml:space="preserve">         </w:t>
      </w:r>
      <w:r>
        <w:rPr>
          <w:rFonts w:ascii="宋体" w:eastAsia="宋体" w:hAnsi="宋体" w:cs="宋体"/>
          <w:sz w:val="18"/>
          <w:szCs w:val="18"/>
        </w:rPr>
        <w:t>会计机构负责人：徐建蓉</w:t>
      </w:r>
    </w:p>
    <w:p w:rsidR="00D2767B" w:rsidRDefault="00817813">
      <w:pPr>
        <w:pStyle w:val="3"/>
        <w:spacing w:line="280" w:lineRule="exact"/>
        <w:jc w:val="left"/>
        <w:rPr>
          <w:rFonts w:ascii="宋体" w:hAnsi="宋体" w:cs="宋体"/>
          <w:b/>
          <w:bCs/>
        </w:rPr>
      </w:pPr>
      <w:bookmarkStart w:id="12" w:name="_Toc988900"/>
      <w:r>
        <w:rPr>
          <w:rFonts w:ascii="宋体" w:hAnsi="宋体" w:cs="宋体"/>
          <w:b/>
          <w:bCs/>
        </w:rPr>
        <w:t>2、合并年初到报告</w:t>
      </w:r>
      <w:proofErr w:type="gramStart"/>
      <w:r>
        <w:rPr>
          <w:rFonts w:ascii="宋体" w:hAnsi="宋体" w:cs="宋体"/>
          <w:b/>
          <w:bCs/>
        </w:rPr>
        <w:t>期末利润</w:t>
      </w:r>
      <w:proofErr w:type="gramEnd"/>
      <w:r>
        <w:rPr>
          <w:rFonts w:ascii="宋体" w:hAnsi="宋体" w:cs="宋体"/>
          <w:b/>
          <w:bCs/>
        </w:rPr>
        <w:t>表</w:t>
      </w:r>
      <w:bookmarkEnd w:id="12"/>
    </w:p>
    <w:p w:rsidR="00D2767B" w:rsidRDefault="0081781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2,216,949,007.76</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1,788,463,839.91</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2,216,949,007.76</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1,788,463,839.91</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2,123,712,019.34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1,694,812,366.55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2,053,659,758.72</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1,562,386,274.01</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6,822,546.96</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7,808,552.08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2,700,404.73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990,258.58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38,923,071.80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34,280,989.80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7,261,456.22</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7,736,272.94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14,344,780.91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81,610,019.14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35,794,827.64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89,204,758.21</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3,457,049.50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11,163,928.34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1,463,788.10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970,828.08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126,890,411.37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233,293,112.51</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45,476,719.63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-6,929,781.23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-24,643,881.51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75,876,753.51</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-2,463,456.33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9,653,866.27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-148,893.70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194,334,956.35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413,446,033.73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303,833.27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180,001.04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1,101,144.39</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116,695.19</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193,537,645.23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413,509,339.58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30,795,227.44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82,782,978.25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162,742,417.79</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330,726,361.33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162,742,417.79</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330,726,361.33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147,651,252.88</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311,840,672.63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15,091,164.91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18,885,688.70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-429,959.57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4,124,547.90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-429,959.57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4,124,547.90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-429,959.57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4,124,547.90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-429,959.57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4,124,547.90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162,312,458.22</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334,850,909.23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（一）归属于母公司所有者的综合收益总额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147,221,293.31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315,965,220.53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（二）归属于少数股东的综合收益总额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15,091,164.91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18,885,688.70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0.35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0.35</w:t>
            </w:r>
          </w:p>
        </w:tc>
      </w:tr>
    </w:tbl>
    <w:p w:rsidR="00D2767B" w:rsidRDefault="00817813">
      <w:pPr>
        <w:spacing w:line="240" w:lineRule="exact"/>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rsidR="00D2767B" w:rsidRDefault="00817813">
      <w:pPr>
        <w:spacing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7D0A8D">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7D0A8D">
        <w:rPr>
          <w:rFonts w:ascii="宋体" w:eastAsia="宋体" w:hAnsi="宋体" w:cs="宋体" w:hint="eastAsia"/>
          <w:sz w:val="18"/>
          <w:szCs w:val="18"/>
        </w:rPr>
        <w:t xml:space="preserve">           </w:t>
      </w:r>
      <w:r>
        <w:rPr>
          <w:rFonts w:ascii="宋体" w:eastAsia="宋体" w:hAnsi="宋体" w:cs="宋体"/>
          <w:sz w:val="18"/>
          <w:szCs w:val="18"/>
        </w:rPr>
        <w:t>会计机构负责人：徐建蓉</w:t>
      </w:r>
    </w:p>
    <w:p w:rsidR="00D2767B" w:rsidRDefault="00817813">
      <w:pPr>
        <w:pStyle w:val="3"/>
        <w:spacing w:line="280" w:lineRule="exact"/>
        <w:jc w:val="left"/>
        <w:rPr>
          <w:rFonts w:ascii="宋体" w:hAnsi="宋体" w:cs="宋体"/>
          <w:b/>
          <w:bCs/>
        </w:rPr>
      </w:pPr>
      <w:bookmarkStart w:id="13" w:name="_Toc988901"/>
      <w:r>
        <w:rPr>
          <w:rFonts w:ascii="宋体" w:hAnsi="宋体" w:cs="宋体"/>
          <w:b/>
          <w:bCs/>
        </w:rPr>
        <w:lastRenderedPageBreak/>
        <w:t>3、合并年初到报告期末现金流量表</w:t>
      </w:r>
      <w:bookmarkEnd w:id="13"/>
    </w:p>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2,424,809,719.07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1,993,958,291.68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41,966,531.76</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27,192,007.78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39,675,905.45</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16,251,172.98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2,506,452,156.28</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2,037,401,472.44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2,221,098,433.13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1,682,219,371.56</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84,102,338.40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85,044,106.77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264,550,466.66</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141,351,836.28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54,082,264.40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25,215,444.43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2,623,833,502.59</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1,933,830,759.04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-117,381,346.31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103,570,713.40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697,677,263.20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1,711,925,489.90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42,687,519.71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76,891,042.72</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10,000.00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262,327,870.64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765,384,782.91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2,051,154,403.26</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38,940,658.03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43,473,535.91</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303,871,167.34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141,193,167.46</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342,811,825.37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184,666,703.37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422,572,957.54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1,866,487,699.89</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D2767B"/>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1,304,500,000.00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1,192,146,671.44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1,304,500,000.00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1,192,146,671.44</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1,216,075,139.41</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2,644,894,493.20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80,554,543.96</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335,292,830.08</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D276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459,500,000.00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132,325,230.73</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1,756,129,683.37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3,112,512,554.01</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-451,629,683.37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-1,920,365,882.57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11,079,611.30</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-590,343.15</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-135,358,460.84</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49,102,187.57</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525,779,170.47</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826,899,844.52</w:t>
            </w:r>
          </w:p>
        </w:tc>
      </w:tr>
      <w:tr w:rsidR="00D2767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2767B" w:rsidRDefault="00817813">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390,420,709.63</w:t>
            </w:r>
          </w:p>
        </w:tc>
        <w:tc>
          <w:tcPr>
            <w:tcW w:w="3213" w:type="dxa"/>
            <w:tcBorders>
              <w:top w:val="single" w:sz="2" w:space="0" w:color="auto"/>
              <w:left w:val="single" w:sz="2" w:space="0" w:color="auto"/>
              <w:bottom w:val="single" w:sz="2" w:space="0" w:color="auto"/>
              <w:right w:val="single" w:sz="2" w:space="0" w:color="auto"/>
            </w:tcBorders>
            <w:vAlign w:val="center"/>
          </w:tcPr>
          <w:p w:rsidR="00D2767B" w:rsidRDefault="00817813">
            <w:pPr>
              <w:spacing w:line="240" w:lineRule="exact"/>
              <w:jc w:val="right"/>
              <w:rPr>
                <w:rFonts w:ascii="宋体" w:eastAsia="宋体" w:hAnsi="宋体" w:cs="宋体"/>
                <w:sz w:val="18"/>
                <w:szCs w:val="18"/>
              </w:rPr>
            </w:pPr>
            <w:r>
              <w:rPr>
                <w:rFonts w:ascii="宋体" w:eastAsia="宋体" w:hAnsi="宋体" w:cs="宋体"/>
                <w:sz w:val="18"/>
                <w:szCs w:val="18"/>
              </w:rPr>
              <w:t>876,002,032.09</w:t>
            </w:r>
          </w:p>
        </w:tc>
      </w:tr>
    </w:tbl>
    <w:p w:rsidR="00D2767B" w:rsidRDefault="00817813">
      <w:pPr>
        <w:pStyle w:val="2"/>
        <w:spacing w:before="300" w:after="300" w:line="280" w:lineRule="exact"/>
        <w:rPr>
          <w:rFonts w:ascii="宋体" w:eastAsia="宋体" w:hAnsi="宋体" w:cs="宋体"/>
          <w:b/>
          <w:bCs/>
          <w:sz w:val="25"/>
          <w:szCs w:val="25"/>
        </w:rPr>
      </w:pPr>
      <w:bookmarkStart w:id="14" w:name="_Toc988902"/>
      <w:r>
        <w:rPr>
          <w:rFonts w:ascii="宋体" w:eastAsia="宋体" w:hAnsi="宋体" w:cs="宋体"/>
          <w:b/>
          <w:bCs/>
          <w:sz w:val="25"/>
          <w:szCs w:val="25"/>
        </w:rPr>
        <w:t>（二） 审计报告</w:t>
      </w:r>
      <w:bookmarkEnd w:id="14"/>
    </w:p>
    <w:p w:rsidR="00D2767B" w:rsidRDefault="00817813">
      <w:pPr>
        <w:spacing w:before="40" w:after="40" w:line="240" w:lineRule="exact"/>
        <w:rPr>
          <w:rFonts w:ascii="宋体" w:eastAsia="宋体" w:hAnsi="宋体" w:cs="宋体"/>
          <w:sz w:val="18"/>
          <w:szCs w:val="18"/>
        </w:rPr>
      </w:pPr>
      <w:r>
        <w:rPr>
          <w:rFonts w:ascii="宋体" w:eastAsia="宋体" w:hAnsi="宋体" w:cs="宋体"/>
          <w:sz w:val="18"/>
          <w:szCs w:val="18"/>
        </w:rPr>
        <w:t>第三季度报告是否经过审计</w:t>
      </w:r>
    </w:p>
    <w:p w:rsidR="00D2767B" w:rsidRDefault="00817813">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2767B" w:rsidRDefault="00817813">
      <w:pPr>
        <w:spacing w:before="40" w:after="40" w:line="240" w:lineRule="exact"/>
        <w:rPr>
          <w:rFonts w:ascii="宋体" w:eastAsia="宋体" w:hAnsi="宋体" w:cs="宋体"/>
          <w:sz w:val="18"/>
          <w:szCs w:val="18"/>
        </w:rPr>
      </w:pPr>
      <w:r>
        <w:rPr>
          <w:rFonts w:ascii="宋体" w:eastAsia="宋体" w:hAnsi="宋体" w:cs="宋体"/>
          <w:sz w:val="18"/>
          <w:szCs w:val="18"/>
        </w:rPr>
        <w:t>公司第三季度报告未经审计。</w:t>
      </w:r>
    </w:p>
    <w:p w:rsidR="007D0A8D" w:rsidRDefault="007D0A8D">
      <w:pPr>
        <w:spacing w:before="40" w:after="40" w:line="240" w:lineRule="exact"/>
        <w:jc w:val="right"/>
        <w:rPr>
          <w:rFonts w:ascii="宋体" w:eastAsia="宋体" w:hAnsi="宋体" w:cs="宋体"/>
          <w:sz w:val="18"/>
          <w:szCs w:val="18"/>
        </w:rPr>
      </w:pPr>
    </w:p>
    <w:p w:rsidR="000F341E" w:rsidRDefault="000F341E">
      <w:pPr>
        <w:spacing w:before="40" w:after="40" w:line="240" w:lineRule="exact"/>
        <w:jc w:val="right"/>
        <w:rPr>
          <w:rFonts w:ascii="宋体" w:eastAsia="宋体" w:hAnsi="宋体" w:cs="宋体"/>
          <w:sz w:val="18"/>
          <w:szCs w:val="18"/>
        </w:rPr>
      </w:pPr>
    </w:p>
    <w:p w:rsidR="000F341E" w:rsidRDefault="000F341E">
      <w:pPr>
        <w:spacing w:before="40" w:after="40" w:line="240" w:lineRule="exact"/>
        <w:jc w:val="right"/>
        <w:rPr>
          <w:rFonts w:ascii="宋体" w:eastAsia="宋体" w:hAnsi="宋体" w:cs="宋体"/>
          <w:sz w:val="18"/>
          <w:szCs w:val="18"/>
        </w:rPr>
      </w:pPr>
    </w:p>
    <w:p w:rsidR="00D2767B" w:rsidRDefault="00817813">
      <w:pPr>
        <w:spacing w:before="40" w:after="40" w:line="240" w:lineRule="exact"/>
        <w:jc w:val="right"/>
        <w:rPr>
          <w:rFonts w:ascii="宋体" w:eastAsia="宋体" w:hAnsi="宋体" w:cs="宋体"/>
          <w:sz w:val="18"/>
          <w:szCs w:val="18"/>
        </w:rPr>
      </w:pPr>
      <w:r>
        <w:rPr>
          <w:rFonts w:ascii="宋体" w:eastAsia="宋体" w:hAnsi="宋体" w:cs="宋体"/>
          <w:sz w:val="18"/>
          <w:szCs w:val="18"/>
        </w:rPr>
        <w:t>江苏华西村股份有限公司董事会</w:t>
      </w:r>
    </w:p>
    <w:p w:rsidR="007D0A8D" w:rsidRDefault="007D0A8D" w:rsidP="000F341E">
      <w:pPr>
        <w:spacing w:before="40" w:after="40" w:line="240" w:lineRule="exact"/>
        <w:ind w:right="720"/>
        <w:jc w:val="center"/>
        <w:rPr>
          <w:rFonts w:ascii="宋体" w:eastAsia="宋体" w:hAnsi="宋体" w:cs="宋体"/>
          <w:sz w:val="18"/>
          <w:szCs w:val="18"/>
        </w:rPr>
      </w:pPr>
      <w:r>
        <w:rPr>
          <w:rFonts w:ascii="宋体" w:eastAsia="宋体" w:hAnsi="宋体" w:cs="宋体" w:hint="eastAsia"/>
          <w:sz w:val="18"/>
          <w:szCs w:val="18"/>
        </w:rPr>
        <w:t xml:space="preserve">                                                                                </w:t>
      </w:r>
    </w:p>
    <w:p w:rsidR="00D2767B" w:rsidRDefault="00817813" w:rsidP="007D0A8D">
      <w:pPr>
        <w:spacing w:line="240" w:lineRule="exact"/>
        <w:ind w:right="540"/>
        <w:jc w:val="right"/>
        <w:rPr>
          <w:rFonts w:ascii="宋体" w:eastAsia="宋体" w:hAnsi="宋体" w:cs="宋体"/>
          <w:sz w:val="18"/>
          <w:szCs w:val="18"/>
        </w:rPr>
      </w:pPr>
      <w:r>
        <w:rPr>
          <w:rFonts w:ascii="宋体" w:eastAsia="宋体" w:hAnsi="宋体" w:cs="宋体"/>
          <w:sz w:val="18"/>
          <w:szCs w:val="18"/>
        </w:rPr>
        <w:t>2022年10月27日</w:t>
      </w:r>
    </w:p>
    <w:sectPr w:rsidR="00D2767B">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C4" w:rsidRDefault="00291DC4">
      <w:r>
        <w:separator/>
      </w:r>
    </w:p>
  </w:endnote>
  <w:endnote w:type="continuationSeparator" w:id="0">
    <w:p w:rsidR="00291DC4" w:rsidRDefault="0029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41E" w:rsidRDefault="000F341E" w:rsidP="007D0A8D">
    <w:pPr>
      <w:pStyle w:val="fotter1"/>
      <w:jc w:val="center"/>
    </w:pPr>
    <w:r>
      <w:fldChar w:fldCharType="begin"/>
    </w:r>
    <w:r>
      <w:instrText>PAGE   \* MERGEFORMAT</w:instrText>
    </w:r>
    <w:r>
      <w:fldChar w:fldCharType="separate"/>
    </w:r>
    <w:r w:rsidR="005F3B6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C4" w:rsidRDefault="00291DC4">
      <w:r>
        <w:separator/>
      </w:r>
    </w:p>
  </w:footnote>
  <w:footnote w:type="continuationSeparator" w:id="0">
    <w:p w:rsidR="00291DC4" w:rsidRDefault="00291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41E" w:rsidRDefault="000F341E">
    <w:pPr>
      <w:pStyle w:val="Header1"/>
      <w:pBdr>
        <w:bottom w:val="single" w:sz="6" w:space="1" w:color="auto"/>
      </w:pBdr>
    </w:pPr>
    <w:r>
      <w:t>江苏华西村股份有限公司2022年第三季度报告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2767B"/>
    <w:rsid w:val="000F2B5A"/>
    <w:rsid w:val="000F341E"/>
    <w:rsid w:val="001924F2"/>
    <w:rsid w:val="00212CFB"/>
    <w:rsid w:val="00291DC4"/>
    <w:rsid w:val="00292C48"/>
    <w:rsid w:val="003200EA"/>
    <w:rsid w:val="003E286B"/>
    <w:rsid w:val="004F3894"/>
    <w:rsid w:val="005B0DFF"/>
    <w:rsid w:val="005F3B6C"/>
    <w:rsid w:val="007D0A8D"/>
    <w:rsid w:val="00817813"/>
    <w:rsid w:val="00976848"/>
    <w:rsid w:val="00993B00"/>
    <w:rsid w:val="00B53893"/>
    <w:rsid w:val="00C934EC"/>
    <w:rsid w:val="00D2767B"/>
    <w:rsid w:val="00D5359C"/>
    <w:rsid w:val="00ED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7D0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D0A8D"/>
    <w:rPr>
      <w:sz w:val="18"/>
      <w:szCs w:val="18"/>
    </w:rPr>
  </w:style>
  <w:style w:type="paragraph" w:styleId="a5">
    <w:name w:val="footer"/>
    <w:basedOn w:val="a"/>
    <w:link w:val="Char0"/>
    <w:uiPriority w:val="99"/>
    <w:unhideWhenUsed/>
    <w:rsid w:val="007D0A8D"/>
    <w:pPr>
      <w:tabs>
        <w:tab w:val="center" w:pos="4153"/>
        <w:tab w:val="right" w:pos="8306"/>
      </w:tabs>
      <w:snapToGrid w:val="0"/>
    </w:pPr>
    <w:rPr>
      <w:sz w:val="18"/>
      <w:szCs w:val="18"/>
    </w:rPr>
  </w:style>
  <w:style w:type="character" w:customStyle="1" w:styleId="Char0">
    <w:name w:val="页脚 Char"/>
    <w:basedOn w:val="a0"/>
    <w:link w:val="a5"/>
    <w:uiPriority w:val="99"/>
    <w:rsid w:val="007D0A8D"/>
    <w:rPr>
      <w:sz w:val="18"/>
      <w:szCs w:val="18"/>
    </w:rPr>
  </w:style>
  <w:style w:type="paragraph" w:styleId="a6">
    <w:name w:val="Balloon Text"/>
    <w:basedOn w:val="a"/>
    <w:link w:val="Char1"/>
    <w:uiPriority w:val="99"/>
    <w:semiHidden/>
    <w:unhideWhenUsed/>
    <w:rsid w:val="004F3894"/>
    <w:rPr>
      <w:sz w:val="18"/>
      <w:szCs w:val="18"/>
    </w:rPr>
  </w:style>
  <w:style w:type="character" w:customStyle="1" w:styleId="Char1">
    <w:name w:val="批注框文本 Char"/>
    <w:basedOn w:val="a0"/>
    <w:link w:val="a6"/>
    <w:uiPriority w:val="99"/>
    <w:semiHidden/>
    <w:rsid w:val="004F38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7D0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D0A8D"/>
    <w:rPr>
      <w:sz w:val="18"/>
      <w:szCs w:val="18"/>
    </w:rPr>
  </w:style>
  <w:style w:type="paragraph" w:styleId="a5">
    <w:name w:val="footer"/>
    <w:basedOn w:val="a"/>
    <w:link w:val="Char0"/>
    <w:uiPriority w:val="99"/>
    <w:unhideWhenUsed/>
    <w:rsid w:val="007D0A8D"/>
    <w:pPr>
      <w:tabs>
        <w:tab w:val="center" w:pos="4153"/>
        <w:tab w:val="right" w:pos="8306"/>
      </w:tabs>
      <w:snapToGrid w:val="0"/>
    </w:pPr>
    <w:rPr>
      <w:sz w:val="18"/>
      <w:szCs w:val="18"/>
    </w:rPr>
  </w:style>
  <w:style w:type="character" w:customStyle="1" w:styleId="Char0">
    <w:name w:val="页脚 Char"/>
    <w:basedOn w:val="a0"/>
    <w:link w:val="a5"/>
    <w:uiPriority w:val="99"/>
    <w:rsid w:val="007D0A8D"/>
    <w:rPr>
      <w:sz w:val="18"/>
      <w:szCs w:val="18"/>
    </w:rPr>
  </w:style>
  <w:style w:type="paragraph" w:styleId="a6">
    <w:name w:val="Balloon Text"/>
    <w:basedOn w:val="a"/>
    <w:link w:val="Char1"/>
    <w:uiPriority w:val="99"/>
    <w:semiHidden/>
    <w:unhideWhenUsed/>
    <w:rsid w:val="004F3894"/>
    <w:rPr>
      <w:sz w:val="18"/>
      <w:szCs w:val="18"/>
    </w:rPr>
  </w:style>
  <w:style w:type="character" w:customStyle="1" w:styleId="Char1">
    <w:name w:val="批注框文本 Char"/>
    <w:basedOn w:val="a0"/>
    <w:link w:val="a6"/>
    <w:uiPriority w:val="99"/>
    <w:semiHidden/>
    <w:rsid w:val="004F38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21950">
      <w:bodyDiv w:val="1"/>
      <w:marLeft w:val="0"/>
      <w:marRight w:val="0"/>
      <w:marTop w:val="0"/>
      <w:marBottom w:val="0"/>
      <w:divBdr>
        <w:top w:val="none" w:sz="0" w:space="0" w:color="auto"/>
        <w:left w:val="none" w:sz="0" w:space="0" w:color="auto"/>
        <w:bottom w:val="none" w:sz="0" w:space="0" w:color="auto"/>
        <w:right w:val="none" w:sz="0" w:space="0" w:color="auto"/>
      </w:divBdr>
    </w:div>
    <w:div w:id="1698239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13</cp:revision>
  <cp:lastPrinted>2022-10-21T02:52:00Z</cp:lastPrinted>
  <dcterms:created xsi:type="dcterms:W3CDTF">2022-10-21T02:05:00Z</dcterms:created>
  <dcterms:modified xsi:type="dcterms:W3CDTF">2022-10-26T23:57:00Z</dcterms:modified>
</cp:coreProperties>
</file>